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AE7" w:rsidRPr="00796587" w:rsidRDefault="00132AE7" w:rsidP="00CE52DC">
      <w:pPr>
        <w:jc w:val="center"/>
        <w:rPr>
          <w:rFonts w:asciiTheme="majorEastAsia" w:eastAsiaTheme="majorEastAsia" w:hAnsiTheme="majorEastAsia"/>
          <w:b/>
          <w:sz w:val="44"/>
          <w:szCs w:val="44"/>
        </w:rPr>
      </w:pPr>
      <w:r w:rsidRPr="00796587">
        <w:rPr>
          <w:rFonts w:asciiTheme="majorEastAsia" w:eastAsiaTheme="majorEastAsia" w:hAnsiTheme="majorEastAsia" w:hint="eastAsia"/>
          <w:b/>
          <w:sz w:val="44"/>
          <w:szCs w:val="44"/>
        </w:rPr>
        <w:t>淮南市八公山区20</w:t>
      </w:r>
      <w:bookmarkStart w:id="0" w:name="_GoBack"/>
      <w:bookmarkEnd w:id="0"/>
      <w:r w:rsidRPr="00796587">
        <w:rPr>
          <w:rFonts w:asciiTheme="majorEastAsia" w:eastAsiaTheme="majorEastAsia" w:hAnsiTheme="majorEastAsia" w:hint="eastAsia"/>
          <w:b/>
          <w:sz w:val="44"/>
          <w:szCs w:val="44"/>
        </w:rPr>
        <w:t>25年政府预算情况说明</w:t>
      </w:r>
    </w:p>
    <w:p w:rsidR="00132AE7" w:rsidRDefault="00132AE7" w:rsidP="00132AE7"/>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为贯彻落实《中华人民共和国预算法》、《中华人民共和国预算法实施条例》等规定，根据安徽省财政厅关于2025年预算公开工作要求，现将淮南市八公山区2025年政府预算情况说明如下：</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一、政府收支预算安排情况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（一）2025年公共财政预算安排情况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全区公共预算收入安排情况：2025年，全区地方财政收入预期目标安排24260万元。其中：税收收入8450万元，非税收入15810万元。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全区公共预算支出项目安排情况：一般公共服务支出3990万元；国防支出150万元；公共安全支出380万元；教育支出12280万元；科学技术支出440万元；文化旅游体育与传媒支出680万元；社会保障和就业支出17080万元；卫生健康支出4600万元；节能环保支出1400万元；城乡社区支出3044万元；农林水支出3900万元；交通运输支出21万元；资源勘探工业信息等支出150万元；商业服务业等支出150万元；自然资源海洋气象等支出3435万元；住房保障支出3007万元；灾害防治及应急管理支出600万元；预备费支出600万元；债务付息支出593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（二）2025年政府性基金预算安排情况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八公山区本级政府性基金收入预算安排0万元，加上上级提前下达补助收入546万元，上年结余收入2944万元，可安排的政府性基金收入总量为3490万元。2025年八公山区本级政府性基金预算支出3490万元，其中：旅游</w:t>
      </w:r>
      <w:r w:rsidRPr="00132AE7">
        <w:rPr>
          <w:rFonts w:ascii="仿宋_GB2312" w:eastAsia="仿宋_GB2312" w:hint="eastAsia"/>
          <w:sz w:val="32"/>
          <w:szCs w:val="32"/>
        </w:rPr>
        <w:lastRenderedPageBreak/>
        <w:t>发展基金支出10万元，国有土地使用权出让收入安排的支出2817万元，城市基础设施配套</w:t>
      </w:r>
      <w:proofErr w:type="gramStart"/>
      <w:r w:rsidRPr="00132AE7">
        <w:rPr>
          <w:rFonts w:ascii="仿宋_GB2312" w:eastAsia="仿宋_GB2312" w:hint="eastAsia"/>
          <w:sz w:val="32"/>
          <w:szCs w:val="32"/>
        </w:rPr>
        <w:t>费安排</w:t>
      </w:r>
      <w:proofErr w:type="gramEnd"/>
      <w:r w:rsidRPr="00132AE7">
        <w:rPr>
          <w:rFonts w:ascii="仿宋_GB2312" w:eastAsia="仿宋_GB2312" w:hint="eastAsia"/>
          <w:sz w:val="32"/>
          <w:szCs w:val="32"/>
        </w:rPr>
        <w:t>的支出20万元，大中型水库移民后期扶持基金支出2万元，彩票公益金安排的支出140万元，地方政府专项债券发行费用支出501万元。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（三）2025年国有资本经营预算安排情况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2025年八公山区本级无国有资本经营收支预算安排。</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（四）2024年社会保险基金预算安排情况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2025年八公山区本级无社会保险基金收支预算安排。</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二、财政转移支付等情况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（一）财政转移支付安排情况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2025年，预计下达转移支付31595万元，其中一般性转移支付27778万元，专项转移支付3817万元。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（二）举借政府债务情况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2024年区政府一般债务余额限额18387万元，2024年末区政府一般债务余额17703万元。2024年区政府专项债务余额限额56064万元，2024年末区政府专项债务余额56064万元。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（三）预算绩效工作情况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推进绩效预算管理，优化调整绩效评价范围、评价指标体系和方式方法，强化结果运用，提升资金绩效，提高人民满意度。将绩效理念融入预算编制、执行、监督全过程，开展事前事中事后绩效管理，加快构建全方位、全过程、全覆盖的预算绩效管理体系，推进预算和绩效管理一体化，建立以绩效结果为导向的预算资金管理模式。加强绩效目标考核，加强绩效运行监控，绩效目标编制逐步做到指向明确、细化</w:t>
      </w:r>
      <w:r w:rsidRPr="00132AE7">
        <w:rPr>
          <w:rFonts w:ascii="仿宋_GB2312" w:eastAsia="仿宋_GB2312" w:hint="eastAsia"/>
          <w:sz w:val="32"/>
          <w:szCs w:val="32"/>
        </w:rPr>
        <w:lastRenderedPageBreak/>
        <w:t>量化、合理可行。提升绩效评价工作质量，以绩效评价为手段，不断提高财政资金使用效益。建立健全全面规范透明、标准科学、约束有力的预算制度，全面实施绩效管理。</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（四）其他情况</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2025年区本级部门公共预算安排专项扶贫资金0万元。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2025年区本级部门公共预算安排机关运行经费5326万元。2025年区本级部门公共预算安排政府采购支出994万元。</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三、名词解释</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一般性转移支付：指中央和省下达我区及区级财力安排的，为均衡地区间基本财力、推进基本公共服务均等化、促进全市经济社会协调发展，经市下达县区，由县区政府按规定统筹安排使用的转移支付资金。</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专项转移支付：指上级政府为实现特定的宏观政策目标，以及对委托下级政府代理的一些事物进行补偿而设立的专项补助资金。资金接受者需按规定用途使用资金。</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债务限额：根据《中华人民共和国预算法》和《国务院关于加强地方政府性债务管理的意见》等文件规定，地方政府举债一律采取在国务院批准的限额内发行地方政府债券方式，除此以外地方政府及其所属部门不得以任何方式举借债务。</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机关运行经费:指为保障行政单位（包括参照公务员法管理的事业单位）运行，用于购买货物和服务的各项资金。机关运行经费为财政拨款中以下支出内容：办公费、印刷费、邮电费、差旅费、因公出国（境）费用、租赁费、会议费、培训费、公务接待费、福利费、日常维修（护）费、专用材</w:t>
      </w:r>
      <w:r w:rsidRPr="00132AE7">
        <w:rPr>
          <w:rFonts w:ascii="仿宋_GB2312" w:eastAsia="仿宋_GB2312" w:hint="eastAsia"/>
          <w:sz w:val="32"/>
          <w:szCs w:val="32"/>
        </w:rPr>
        <w:lastRenderedPageBreak/>
        <w:t>料费、办公设备购置、办公用房水费、电费、取暖费、物业管理费，公务用车购置、公务用车运行维护费等。</w:t>
      </w:r>
    </w:p>
    <w:p w:rsidR="00132AE7" w:rsidRPr="00132AE7" w:rsidRDefault="00132AE7" w:rsidP="00132AE7">
      <w:pPr>
        <w:spacing w:line="540" w:lineRule="exact"/>
        <w:ind w:firstLineChars="200" w:firstLine="640"/>
        <w:rPr>
          <w:rFonts w:ascii="仿宋_GB2312" w:eastAsia="仿宋_GB2312"/>
          <w:sz w:val="32"/>
          <w:szCs w:val="32"/>
        </w:rPr>
      </w:pPr>
      <w:r w:rsidRPr="00132AE7">
        <w:rPr>
          <w:rFonts w:ascii="仿宋_GB2312" w:eastAsia="仿宋_GB2312" w:hint="eastAsia"/>
          <w:sz w:val="32"/>
          <w:szCs w:val="32"/>
        </w:rPr>
        <w:t>政府采购:指各级国家机关、事业单位和团体组织，使用财政性资金采购依法制定的集中采购目录以内的或者采购限额标准以上的货物、工程和服务的行为。</w:t>
      </w:r>
    </w:p>
    <w:p w:rsidR="00F84F25" w:rsidRPr="00132AE7" w:rsidRDefault="00F84F25" w:rsidP="00132AE7">
      <w:pPr>
        <w:spacing w:line="540" w:lineRule="exact"/>
        <w:ind w:firstLineChars="200" w:firstLine="640"/>
        <w:rPr>
          <w:rFonts w:ascii="仿宋_GB2312" w:eastAsia="仿宋_GB2312"/>
          <w:sz w:val="32"/>
          <w:szCs w:val="32"/>
        </w:rPr>
      </w:pPr>
    </w:p>
    <w:p w:rsidR="00132AE7" w:rsidRPr="00132AE7" w:rsidRDefault="00132AE7" w:rsidP="00132AE7">
      <w:pPr>
        <w:spacing w:line="540" w:lineRule="exact"/>
        <w:ind w:firstLineChars="200" w:firstLine="640"/>
        <w:rPr>
          <w:rFonts w:ascii="仿宋_GB2312" w:eastAsia="仿宋_GB2312"/>
          <w:sz w:val="32"/>
          <w:szCs w:val="32"/>
        </w:rPr>
      </w:pPr>
    </w:p>
    <w:sectPr w:rsidR="00132AE7" w:rsidRPr="00132A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02F"/>
    <w:rsid w:val="00132AE7"/>
    <w:rsid w:val="00796587"/>
    <w:rsid w:val="00B9102F"/>
    <w:rsid w:val="00CE52DC"/>
    <w:rsid w:val="00F8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4</Pages>
  <Words>282</Words>
  <Characters>1612</Characters>
  <Application>Microsoft Office Word</Application>
  <DocSecurity>0</DocSecurity>
  <Lines>13</Lines>
  <Paragraphs>3</Paragraphs>
  <ScaleCrop>false</ScaleCrop>
  <Company>Microsoft</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2025-03-05T03:30:00Z</dcterms:created>
  <dcterms:modified xsi:type="dcterms:W3CDTF">2025-03-05T07:10:00Z</dcterms:modified>
</cp:coreProperties>
</file>