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316B4">
      <w:pPr>
        <w:keepNext w:val="0"/>
        <w:keepLines w:val="0"/>
        <w:pageBreakBefore w:val="0"/>
        <w:widowControl w:val="0"/>
        <w:kinsoku/>
        <w:wordWrap/>
        <w:overflowPunct w:val="0"/>
        <w:topLinePunct w:val="0"/>
        <w:autoSpaceDE/>
        <w:autoSpaceDN/>
        <w:bidi w:val="0"/>
        <w:spacing w:line="600" w:lineRule="exact"/>
        <w:ind w:left="0" w:leftChars="0" w:firstLine="0" w:firstLineChars="0"/>
        <w:jc w:val="center"/>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p>
    <w:p w14:paraId="286473F0">
      <w:pPr>
        <w:keepNext w:val="0"/>
        <w:keepLines w:val="0"/>
        <w:pageBreakBefore w:val="0"/>
        <w:widowControl w:val="0"/>
        <w:kinsoku/>
        <w:wordWrap/>
        <w:overflowPunct w:val="0"/>
        <w:topLinePunct w:val="0"/>
        <w:autoSpaceDE/>
        <w:autoSpaceDN/>
        <w:bidi w:val="0"/>
        <w:spacing w:line="600" w:lineRule="exact"/>
        <w:ind w:left="0" w:leftChars="0" w:firstLine="0" w:firstLineChars="0"/>
        <w:jc w:val="center"/>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pacing w:val="17"/>
          <w:sz w:val="44"/>
          <w:szCs w:val="44"/>
          <w:highlight w:val="none"/>
          <w14:textFill>
            <w14:solidFill>
              <w14:schemeClr w14:val="tx1"/>
            </w14:solidFill>
          </w14:textFill>
        </w:rPr>
        <w:t>八公山区</w:t>
      </w:r>
      <w:r>
        <w:rPr>
          <w:rFonts w:hint="default" w:ascii="Times New Roman" w:hAnsi="Times New Roman" w:eastAsia="方正小标宋_GBK" w:cs="Times New Roman"/>
          <w:color w:val="000000" w:themeColor="text1"/>
          <w:spacing w:val="17"/>
          <w:sz w:val="44"/>
          <w:szCs w:val="44"/>
          <w:highlight w:val="none"/>
          <w14:textFill>
            <w14:solidFill>
              <w14:schemeClr w14:val="tx1"/>
            </w14:solidFill>
          </w14:textFill>
        </w:rPr>
        <w:t>202</w:t>
      </w:r>
      <w:r>
        <w:rPr>
          <w:rFonts w:hint="default" w:ascii="Times New Roman" w:hAnsi="Times New Roman" w:eastAsia="方正小标宋_GBK" w:cs="Times New Roman"/>
          <w:color w:val="000000" w:themeColor="text1"/>
          <w:spacing w:val="17"/>
          <w:sz w:val="44"/>
          <w:szCs w:val="44"/>
          <w:highlight w:val="none"/>
          <w:lang w:val="en-US" w:eastAsia="zh-CN"/>
          <w14:textFill>
            <w14:solidFill>
              <w14:schemeClr w14:val="tx1"/>
            </w14:solidFill>
          </w14:textFill>
        </w:rPr>
        <w:t>4</w:t>
      </w:r>
      <w:r>
        <w:rPr>
          <w:rFonts w:hint="default" w:ascii="Times New Roman" w:hAnsi="Times New Roman" w:eastAsia="方正小标宋_GBK" w:cs="Times New Roman"/>
          <w:color w:val="000000" w:themeColor="text1"/>
          <w:spacing w:val="17"/>
          <w:sz w:val="44"/>
          <w:szCs w:val="44"/>
          <w:highlight w:val="none"/>
          <w14:textFill>
            <w14:solidFill>
              <w14:schemeClr w14:val="tx1"/>
            </w14:solidFill>
          </w14:textFill>
        </w:rPr>
        <w:t>年预算执行情况和</w:t>
      </w:r>
    </w:p>
    <w:p w14:paraId="7D784A6F">
      <w:pPr>
        <w:keepNext w:val="0"/>
        <w:keepLines w:val="0"/>
        <w:pageBreakBefore w:val="0"/>
        <w:widowControl w:val="0"/>
        <w:kinsoku/>
        <w:wordWrap/>
        <w:overflowPunct w:val="0"/>
        <w:topLinePunct w:val="0"/>
        <w:autoSpaceDE/>
        <w:autoSpaceDN/>
        <w:bidi w:val="0"/>
        <w:spacing w:line="600" w:lineRule="exact"/>
        <w:ind w:left="0" w:leftChars="0" w:firstLine="0" w:firstLineChars="0"/>
        <w:jc w:val="center"/>
        <w:rPr>
          <w:rFonts w:hint="default" w:ascii="Times New Roman" w:hAnsi="Times New Roman" w:eastAsia="方正小标宋_GBK" w:cs="Times New Roman"/>
          <w:color w:val="000000" w:themeColor="text1"/>
          <w:sz w:val="44"/>
          <w:szCs w:val="44"/>
          <w:highlight w:val="none"/>
          <w14:textFill>
            <w14:solidFill>
              <w14:schemeClr w14:val="tx1"/>
            </w14:solidFill>
          </w14:textFill>
        </w:rPr>
      </w:pP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202</w:t>
      </w:r>
      <w:r>
        <w:rPr>
          <w:rFonts w:hint="default" w:ascii="Times New Roman" w:hAnsi="Times New Roman" w:eastAsia="方正小标宋_GBK" w:cs="Times New Roman"/>
          <w:color w:val="000000" w:themeColor="text1"/>
          <w:sz w:val="44"/>
          <w:szCs w:val="44"/>
          <w:highlight w:val="none"/>
          <w:lang w:val="en-US" w:eastAsia="zh-CN"/>
          <w14:textFill>
            <w14:solidFill>
              <w14:schemeClr w14:val="tx1"/>
            </w14:solidFill>
          </w14:textFill>
        </w:rPr>
        <w:t>5</w:t>
      </w:r>
      <w:r>
        <w:rPr>
          <w:rFonts w:hint="default" w:ascii="Times New Roman" w:hAnsi="Times New Roman" w:eastAsia="方正小标宋_GBK" w:cs="Times New Roman"/>
          <w:color w:val="000000" w:themeColor="text1"/>
          <w:sz w:val="44"/>
          <w:szCs w:val="44"/>
          <w:highlight w:val="none"/>
          <w14:textFill>
            <w14:solidFill>
              <w14:schemeClr w14:val="tx1"/>
            </w14:solidFill>
          </w14:textFill>
        </w:rPr>
        <w:t>年预算草案的报告</w:t>
      </w:r>
    </w:p>
    <w:p w14:paraId="4D9EA4C7">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Times New Roman" w:hAnsi="Times New Roman" w:eastAsia="楷体_GB2312" w:cs="Times New Roman"/>
          <w:color w:val="auto"/>
          <w:sz w:val="32"/>
          <w:szCs w:val="32"/>
          <w:lang w:eastAsia="zh-CN"/>
        </w:rPr>
      </w:pPr>
    </w:p>
    <w:p w14:paraId="122BD1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Times New Roman" w:hAnsi="Times New Roman" w:eastAsia="楷体_GB2312" w:cs="Times New Roman"/>
          <w:bCs/>
          <w:color w:val="auto"/>
          <w:sz w:val="32"/>
          <w:szCs w:val="32"/>
          <w:lang w:val="en-US"/>
        </w:rPr>
      </w:pPr>
      <w:r>
        <w:rPr>
          <w:rFonts w:hint="default" w:ascii="Times New Roman" w:hAnsi="Times New Roman" w:eastAsia="楷体_GB2312" w:cs="Times New Roman"/>
          <w:bCs/>
          <w:color w:val="auto"/>
          <w:kern w:val="2"/>
          <w:sz w:val="32"/>
          <w:szCs w:val="32"/>
          <w:lang w:val="en-US" w:eastAsia="zh-CN" w:bidi="ar"/>
        </w:rPr>
        <w:t>——2024年12月26日在八公山区第十八届人民代表大会</w:t>
      </w:r>
    </w:p>
    <w:p w14:paraId="16329A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Times New Roman" w:hAnsi="Times New Roman" w:eastAsia="楷体_GB2312" w:cs="Times New Roman"/>
          <w:bCs/>
          <w:color w:val="auto"/>
          <w:sz w:val="32"/>
          <w:szCs w:val="32"/>
          <w:lang w:val="en-US"/>
        </w:rPr>
      </w:pPr>
      <w:r>
        <w:rPr>
          <w:rFonts w:hint="default" w:ascii="Times New Roman" w:hAnsi="Times New Roman" w:eastAsia="楷体_GB2312" w:cs="Times New Roman"/>
          <w:bCs/>
          <w:color w:val="auto"/>
          <w:kern w:val="2"/>
          <w:sz w:val="32"/>
          <w:szCs w:val="32"/>
          <w:lang w:val="en-US" w:eastAsia="zh-CN" w:bidi="ar"/>
        </w:rPr>
        <w:t>第四次会议上</w:t>
      </w:r>
    </w:p>
    <w:p w14:paraId="28365C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default" w:ascii="Times New Roman" w:hAnsi="Times New Roman" w:eastAsia="仿宋_GB2312" w:cs="Times New Roman"/>
          <w:bCs/>
          <w:color w:val="auto"/>
          <w:sz w:val="32"/>
          <w:szCs w:val="32"/>
          <w:lang w:val="en-US"/>
        </w:rPr>
      </w:pPr>
    </w:p>
    <w:p w14:paraId="39222F5C">
      <w:pPr>
        <w:keepNext w:val="0"/>
        <w:keepLines w:val="0"/>
        <w:pageBreakBefore w:val="0"/>
        <w:widowControl w:val="0"/>
        <w:kinsoku/>
        <w:wordWrap/>
        <w:overflowPunct w:val="0"/>
        <w:topLinePunct w:val="0"/>
        <w:autoSpaceDE/>
        <w:autoSpaceDN/>
        <w:bidi w:val="0"/>
        <w:spacing w:line="600" w:lineRule="exact"/>
        <w:jc w:val="center"/>
        <w:rPr>
          <w:rFonts w:hint="default" w:ascii="Times New Roman" w:hAnsi="Times New Roman" w:cs="Times New Roman"/>
          <w:b w:val="0"/>
          <w:bCs w:val="0"/>
          <w:sz w:val="32"/>
          <w:szCs w:val="32"/>
          <w:highlight w:val="none"/>
          <w:lang w:val="en-US" w:eastAsia="zh-CN"/>
        </w:rPr>
      </w:pPr>
      <w:r>
        <w:rPr>
          <w:rFonts w:hint="default" w:ascii="Times New Roman" w:hAnsi="Times New Roman" w:cs="Times New Roman"/>
          <w:b w:val="0"/>
          <w:bCs w:val="0"/>
          <w:sz w:val="32"/>
          <w:szCs w:val="32"/>
          <w:highlight w:val="none"/>
        </w:rPr>
        <w:t>区财政局</w:t>
      </w:r>
      <w:r>
        <w:rPr>
          <w:rFonts w:hint="default" w:ascii="Times New Roman" w:hAnsi="Times New Roman" w:cs="Times New Roman"/>
          <w:b w:val="0"/>
          <w:bCs w:val="0"/>
          <w:sz w:val="32"/>
          <w:szCs w:val="32"/>
          <w:highlight w:val="none"/>
          <w:lang w:eastAsia="zh-CN"/>
        </w:rPr>
        <w:t>局长</w:t>
      </w:r>
      <w:r>
        <w:rPr>
          <w:rFonts w:hint="default" w:ascii="Times New Roman" w:hAnsi="Times New Roman" w:cs="Times New Roman"/>
          <w:b w:val="0"/>
          <w:bCs w:val="0"/>
          <w:sz w:val="32"/>
          <w:szCs w:val="32"/>
          <w:highlight w:val="none"/>
          <w:lang w:val="en-US" w:eastAsia="zh-CN"/>
        </w:rPr>
        <w:t xml:space="preserve">   张传云</w:t>
      </w:r>
    </w:p>
    <w:p w14:paraId="0DA20F21">
      <w:pPr>
        <w:keepNext w:val="0"/>
        <w:keepLines w:val="0"/>
        <w:pageBreakBefore w:val="0"/>
        <w:widowControl w:val="0"/>
        <w:kinsoku/>
        <w:wordWrap/>
        <w:overflowPunct w:val="0"/>
        <w:topLinePunct w:val="0"/>
        <w:autoSpaceDE/>
        <w:autoSpaceDN/>
        <w:bidi w:val="0"/>
        <w:spacing w:line="600" w:lineRule="exact"/>
        <w:jc w:val="both"/>
        <w:rPr>
          <w:rFonts w:hint="default" w:ascii="Times New Roman" w:hAnsi="Times New Roman" w:cs="Times New Roman"/>
          <w:color w:val="auto"/>
          <w:spacing w:val="-20"/>
          <w:sz w:val="32"/>
          <w:szCs w:val="32"/>
          <w:highlight w:val="none"/>
          <w:lang w:val="en-US" w:eastAsia="zh-CN"/>
        </w:rPr>
      </w:pPr>
    </w:p>
    <w:p w14:paraId="4123856D">
      <w:pPr>
        <w:keepNext w:val="0"/>
        <w:keepLines w:val="0"/>
        <w:pageBreakBefore w:val="0"/>
        <w:widowControl w:val="0"/>
        <w:kinsoku/>
        <w:wordWrap/>
        <w:overflowPunct w:val="0"/>
        <w:topLinePunct w:val="0"/>
        <w:autoSpaceDE/>
        <w:autoSpaceDN/>
        <w:bidi w:val="0"/>
        <w:spacing w:line="600" w:lineRule="exact"/>
        <w:jc w:val="both"/>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各位代表：</w:t>
      </w:r>
    </w:p>
    <w:p w14:paraId="364D6197">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受区人民政府委</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托，现向大会报告八公山区2024年预算执行情况和2025年</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预算草案</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，请予审议，并请各位代表和其他列席人员提出宝贵意见。</w:t>
      </w:r>
    </w:p>
    <w:p w14:paraId="630612FC">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2024年是新中国成立75周年，是实现“十四五”规划目标任务的关键一年。区财政部门坚持以习近平新时代中国特色社会主义思想为指导，深入学习贯彻党的二十届三中全会精神和习近平总书记关于安徽工作的重要讲话重要指示精神，认真落实区委、区政府部署，坚定不移践行“稳中求进、以进促稳、先立后破”的工作总基调，严格执行区十八届人大三次会议批准的预算，推动积极的财政政策适度加力、提质增效，持续推动经济实现质的有效提升和量的合理增长，切实保障我区财政运行总体平稳。</w:t>
      </w:r>
    </w:p>
    <w:p w14:paraId="5E288E5D">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黑体" w:cs="Times New Roman"/>
          <w:color w:val="000000" w:themeColor="text1"/>
          <w:sz w:val="32"/>
          <w:szCs w:val="32"/>
          <w:highlight w:val="none"/>
          <w14:textFill>
            <w14:solidFill>
              <w14:schemeClr w14:val="tx1"/>
            </w14:solidFill>
          </w14:textFill>
        </w:rPr>
      </w:pPr>
      <w:bookmarkStart w:id="0" w:name="OLE_LINK1"/>
      <w:r>
        <w:rPr>
          <w:rFonts w:hint="default" w:ascii="Times New Roman" w:hAnsi="Times New Roman" w:eastAsia="黑体" w:cs="Times New Roman"/>
          <w:color w:val="000000" w:themeColor="text1"/>
          <w:sz w:val="32"/>
          <w:szCs w:val="32"/>
          <w:highlight w:val="none"/>
          <w14:textFill>
            <w14:solidFill>
              <w14:schemeClr w14:val="tx1"/>
            </w14:solidFill>
          </w14:textFill>
        </w:rPr>
        <w:t>一、</w:t>
      </w:r>
      <w:r>
        <w:rPr>
          <w:rFonts w:hint="default" w:ascii="Times New Roman" w:hAnsi="Times New Roman" w:eastAsia="黑体" w:cs="Times New Roman"/>
          <w:color w:val="000000" w:themeColor="text1"/>
          <w:sz w:val="32"/>
          <w:szCs w:val="32"/>
          <w:highlight w:val="none"/>
          <w14:textFill>
            <w14:solidFill>
              <w14:schemeClr w14:val="tx1"/>
            </w14:solidFill>
          </w14:textFill>
        </w:rPr>
        <w:t>202</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黑体" w:cs="Times New Roman"/>
          <w:color w:val="000000" w:themeColor="text1"/>
          <w:sz w:val="32"/>
          <w:szCs w:val="32"/>
          <w:highlight w:val="none"/>
          <w14:textFill>
            <w14:solidFill>
              <w14:schemeClr w14:val="tx1"/>
            </w14:solidFill>
          </w14:textFill>
        </w:rPr>
        <w:t>年财政预算执行情况</w:t>
      </w:r>
    </w:p>
    <w:p w14:paraId="7AD9C88A">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cs="Times New Roman"/>
          <w:b/>
          <w:color w:val="000000" w:themeColor="text1"/>
          <w:sz w:val="32"/>
          <w:szCs w:val="32"/>
          <w:highlight w:val="none"/>
          <w14:textFill>
            <w14:solidFill>
              <w14:schemeClr w14:val="tx1"/>
            </w14:solidFill>
          </w14:textFill>
        </w:rPr>
      </w:pPr>
      <w:r>
        <w:rPr>
          <w:rFonts w:hint="default" w:ascii="Times New Roman" w:hAnsi="Times New Roman" w:cs="Times New Roman"/>
          <w:b/>
          <w:color w:val="000000" w:themeColor="text1"/>
          <w:sz w:val="32"/>
          <w:szCs w:val="32"/>
          <w:highlight w:val="none"/>
          <w14:textFill>
            <w14:solidFill>
              <w14:schemeClr w14:val="tx1"/>
            </w14:solidFill>
          </w14:textFill>
        </w:rPr>
        <w:t>（一）一般公共预算收支执行情况</w:t>
      </w:r>
    </w:p>
    <w:p w14:paraId="4F2480FB">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eastAsia="仿宋_GB2312" w:cs="Times New Roman"/>
          <w:b/>
          <w:color w:val="000000" w:themeColor="text1"/>
          <w:sz w:val="32"/>
          <w:szCs w:val="32"/>
          <w:highlight w:val="none"/>
          <w14:textFill>
            <w14:solidFill>
              <w14:schemeClr w14:val="tx1"/>
            </w14:solidFill>
          </w14:textFill>
        </w:rPr>
      </w:pPr>
      <w:r>
        <w:rPr>
          <w:rFonts w:hint="default" w:ascii="Times New Roman" w:hAnsi="Times New Roman" w:eastAsia="仿宋_GB2312" w:cs="Times New Roman"/>
          <w:b/>
          <w:color w:val="000000" w:themeColor="text1"/>
          <w:kern w:val="0"/>
          <w:sz w:val="32"/>
          <w:szCs w:val="32"/>
          <w:highlight w:val="none"/>
          <w14:textFill>
            <w14:solidFill>
              <w14:schemeClr w14:val="tx1"/>
            </w14:solidFill>
          </w14:textFill>
        </w:rPr>
        <w:t>1、一般</w:t>
      </w:r>
      <w:r>
        <w:rPr>
          <w:rFonts w:hint="default" w:ascii="Times New Roman" w:hAnsi="Times New Roman" w:eastAsia="仿宋_GB2312" w:cs="Times New Roman"/>
          <w:b/>
          <w:color w:val="000000" w:themeColor="text1"/>
          <w:sz w:val="32"/>
          <w:szCs w:val="32"/>
          <w:highlight w:val="none"/>
          <w14:textFill>
            <w14:solidFill>
              <w14:schemeClr w14:val="tx1"/>
            </w14:solidFill>
          </w14:textFill>
        </w:rPr>
        <w:t>公共预算收入情况</w:t>
      </w:r>
    </w:p>
    <w:p w14:paraId="267FDCFE">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年八公山区一般公共预算收入预计完成</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23080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万元，完成年</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调整</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预算的</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100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%，同比增长</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t>
      </w:r>
    </w:p>
    <w:p w14:paraId="67050061">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b/>
          <w:color w:val="000000" w:themeColor="text1"/>
          <w:kern w:val="0"/>
          <w:sz w:val="32"/>
          <w:szCs w:val="32"/>
          <w:highlight w:val="none"/>
          <w14:textFill>
            <w14:solidFill>
              <w14:schemeClr w14:val="tx1"/>
            </w14:solidFill>
          </w14:textFill>
        </w:rPr>
        <w:t>从收入结构上看：</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税收收入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8465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较上年</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下降48.7</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占比</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37</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%；非税收入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14615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较上年</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增长142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占比</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63</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t>
      </w:r>
    </w:p>
    <w:p w14:paraId="037A2ECC">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eastAsia="仿宋_GB2312" w:cs="Times New Roman"/>
          <w:b/>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b/>
          <w:color w:val="000000" w:themeColor="text1"/>
          <w:kern w:val="0"/>
          <w:sz w:val="32"/>
          <w:szCs w:val="32"/>
          <w:highlight w:val="none"/>
          <w14:textFill>
            <w14:solidFill>
              <w14:schemeClr w14:val="tx1"/>
            </w14:solidFill>
          </w14:textFill>
        </w:rPr>
        <w:t>从收入来源上看：</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增值税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4112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万元，企业所得税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1478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万元，个人所得税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352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万元，城市维护建设税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472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万元，房产税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518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万元，印花税1</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71</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万元，城镇土地使用税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1136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万元，土地增值税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万元，车船税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180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万元。非税收入中：</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专项收入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13</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行政事业性收费收入453万元，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罚没收入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915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万元，国有资源（资产）有偿使用收入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12725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其他收入509万元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t>
      </w:r>
    </w:p>
    <w:p w14:paraId="489DB0D4">
      <w:pPr>
        <w:keepNext w:val="0"/>
        <w:keepLines w:val="0"/>
        <w:pageBreakBefore w:val="0"/>
        <w:widowControl w:val="0"/>
        <w:kinsoku/>
        <w:wordWrap/>
        <w:overflowPunct w:val="0"/>
        <w:topLinePunct w:val="0"/>
        <w:autoSpaceDE/>
        <w:autoSpaceDN/>
        <w:bidi w:val="0"/>
        <w:spacing w:line="600" w:lineRule="exact"/>
        <w:ind w:firstLine="630" w:firstLineChars="196"/>
        <w:jc w:val="both"/>
        <w:rPr>
          <w:rFonts w:hint="default" w:ascii="Times New Roman" w:hAnsi="Times New Roman" w:eastAsia="仿宋_GB2312" w:cs="Times New Roman"/>
          <w:b/>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b/>
          <w:color w:val="000000" w:themeColor="text1"/>
          <w:kern w:val="0"/>
          <w:sz w:val="32"/>
          <w:szCs w:val="32"/>
          <w:highlight w:val="none"/>
          <w14:textFill>
            <w14:solidFill>
              <w14:schemeClr w14:val="tx1"/>
            </w14:solidFill>
          </w14:textFill>
        </w:rPr>
        <w:t>2、一般公共预算支出情况</w:t>
      </w:r>
    </w:p>
    <w:p w14:paraId="4B4F5D6D">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年八公山区一般公共预算支出预计完成5</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589</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0万元，为年</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调整</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预算的10</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%，较上年</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下降5.3</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%。民生类支出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49965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万元，占财政支出的8</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9.4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%。其中：</w:t>
      </w:r>
      <w:r>
        <w:rPr>
          <w:rFonts w:hint="default" w:ascii="Times New Roman" w:hAnsi="Times New Roman" w:eastAsia="仿宋_GB2312" w:cs="Times New Roman"/>
          <w:color w:val="auto"/>
          <w:kern w:val="0"/>
          <w:sz w:val="32"/>
          <w:szCs w:val="32"/>
          <w:highlight w:val="none"/>
        </w:rPr>
        <w:t>一般公共服务支出</w:t>
      </w:r>
      <w:r>
        <w:rPr>
          <w:rFonts w:hint="default" w:ascii="Times New Roman" w:hAnsi="Times New Roman" w:eastAsia="仿宋_GB2312" w:cs="Times New Roman"/>
          <w:color w:val="auto"/>
          <w:kern w:val="0"/>
          <w:sz w:val="32"/>
          <w:szCs w:val="32"/>
          <w:highlight w:val="none"/>
          <w:lang w:val="en-US" w:eastAsia="zh-CN"/>
        </w:rPr>
        <w:t>3912</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国防支出</w:t>
      </w:r>
      <w:r>
        <w:rPr>
          <w:rFonts w:hint="default" w:ascii="Times New Roman" w:hAnsi="Times New Roman" w:eastAsia="仿宋_GB2312" w:cs="Times New Roman"/>
          <w:color w:val="auto"/>
          <w:kern w:val="0"/>
          <w:sz w:val="32"/>
          <w:szCs w:val="32"/>
          <w:highlight w:val="none"/>
          <w:lang w:val="en-US" w:eastAsia="zh-CN"/>
        </w:rPr>
        <w:t>146</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公共安全</w:t>
      </w:r>
      <w:r>
        <w:rPr>
          <w:rFonts w:hint="default" w:ascii="Times New Roman" w:hAnsi="Times New Roman" w:eastAsia="仿宋_GB2312" w:cs="Times New Roman"/>
          <w:color w:val="auto"/>
          <w:kern w:val="0"/>
          <w:sz w:val="32"/>
          <w:szCs w:val="32"/>
          <w:highlight w:val="none"/>
          <w:lang w:eastAsia="zh-CN"/>
        </w:rPr>
        <w:t>支出</w:t>
      </w:r>
      <w:r>
        <w:rPr>
          <w:rFonts w:hint="default" w:ascii="Times New Roman" w:hAnsi="Times New Roman" w:eastAsia="仿宋_GB2312" w:cs="Times New Roman"/>
          <w:color w:val="auto"/>
          <w:kern w:val="0"/>
          <w:sz w:val="32"/>
          <w:szCs w:val="32"/>
          <w:highlight w:val="none"/>
          <w:lang w:val="en-US" w:eastAsia="zh-CN"/>
        </w:rPr>
        <w:t>353</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教育支出</w:t>
      </w:r>
      <w:r>
        <w:rPr>
          <w:rFonts w:hint="default" w:ascii="Times New Roman" w:hAnsi="Times New Roman" w:eastAsia="仿宋_GB2312" w:cs="Times New Roman"/>
          <w:color w:val="auto"/>
          <w:kern w:val="0"/>
          <w:sz w:val="32"/>
          <w:szCs w:val="32"/>
          <w:highlight w:val="none"/>
        </w:rPr>
        <w:t>12</w:t>
      </w:r>
      <w:r>
        <w:rPr>
          <w:rFonts w:hint="default" w:ascii="Times New Roman" w:hAnsi="Times New Roman" w:eastAsia="仿宋_GB2312" w:cs="Times New Roman"/>
          <w:color w:val="auto"/>
          <w:kern w:val="0"/>
          <w:sz w:val="32"/>
          <w:szCs w:val="32"/>
          <w:highlight w:val="none"/>
          <w:lang w:val="en-US" w:eastAsia="zh-CN"/>
        </w:rPr>
        <w:t>226</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科学技术支出</w:t>
      </w:r>
      <w:r>
        <w:rPr>
          <w:rFonts w:hint="default" w:ascii="Times New Roman" w:hAnsi="Times New Roman" w:eastAsia="仿宋_GB2312" w:cs="Times New Roman"/>
          <w:color w:val="auto"/>
          <w:kern w:val="0"/>
          <w:sz w:val="32"/>
          <w:szCs w:val="32"/>
          <w:highlight w:val="none"/>
          <w:lang w:val="en-US" w:eastAsia="zh-CN"/>
        </w:rPr>
        <w:t>439</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文化旅游体育与传媒支出</w:t>
      </w:r>
      <w:r>
        <w:rPr>
          <w:rFonts w:hint="default" w:ascii="Times New Roman" w:hAnsi="Times New Roman" w:eastAsia="仿宋_GB2312" w:cs="Times New Roman"/>
          <w:color w:val="auto"/>
          <w:kern w:val="0"/>
          <w:sz w:val="32"/>
          <w:szCs w:val="32"/>
          <w:highlight w:val="none"/>
          <w:lang w:val="en-US" w:eastAsia="zh-CN"/>
        </w:rPr>
        <w:t>662</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社</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会保障和就业支出</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7022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卫生健康支出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4502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节能环保支出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1463</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城乡社区支出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5205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农林水支出</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3</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869</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交通运输支出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348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资源勘探工业信息等支出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212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商业服务业等支出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140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自然资源海洋气象等支出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990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住房保障支出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2956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灾害防治及应急管理支出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852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债务付息及发行费用</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93</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p>
    <w:p w14:paraId="7200B86C">
      <w:pPr>
        <w:keepNext w:val="0"/>
        <w:keepLines w:val="0"/>
        <w:pageBreakBefore w:val="0"/>
        <w:widowControl w:val="0"/>
        <w:kinsoku/>
        <w:wordWrap/>
        <w:overflowPunct w:val="0"/>
        <w:topLinePunct w:val="0"/>
        <w:autoSpaceDE/>
        <w:autoSpaceDN/>
        <w:bidi w:val="0"/>
        <w:spacing w:line="600" w:lineRule="exact"/>
        <w:ind w:firstLine="630" w:firstLineChars="196"/>
        <w:jc w:val="both"/>
        <w:rPr>
          <w:rFonts w:hint="default" w:ascii="Times New Roman" w:hAnsi="Times New Roman" w:eastAsia="仿宋_GB2312" w:cs="Times New Roman"/>
          <w:b/>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b/>
          <w:color w:val="000000" w:themeColor="text1"/>
          <w:kern w:val="0"/>
          <w:sz w:val="32"/>
          <w:szCs w:val="32"/>
          <w:highlight w:val="none"/>
          <w14:textFill>
            <w14:solidFill>
              <w14:schemeClr w14:val="tx1"/>
            </w14:solidFill>
          </w14:textFill>
        </w:rPr>
        <w:t>3、财政收支平衡情况</w:t>
      </w:r>
    </w:p>
    <w:p w14:paraId="1B291F0D">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预计平衡情况：按现行财政体制全区一般公共预算收入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23080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万元，加上级转移性收入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34359</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万元，调入资金</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6530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万元，债务转贷收入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5765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万元，一般公共预算可用财力为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69734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万元，减区本级预计支出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55890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万元，减上解预计支出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8772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万元，减债务还本支出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5072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万元，可实现财政收支平衡。</w:t>
      </w:r>
    </w:p>
    <w:p w14:paraId="44A92B83">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cs="Times New Roman"/>
          <w:bCs/>
          <w:color w:val="000000" w:themeColor="text1"/>
          <w:sz w:val="32"/>
          <w:szCs w:val="32"/>
          <w:highlight w:val="none"/>
          <w14:textFill>
            <w14:solidFill>
              <w14:schemeClr w14:val="tx1"/>
            </w14:solidFill>
          </w14:textFill>
        </w:rPr>
      </w:pPr>
      <w:r>
        <w:rPr>
          <w:rFonts w:hint="default" w:ascii="Times New Roman" w:hAnsi="Times New Roman" w:cs="Times New Roman"/>
          <w:b/>
          <w:color w:val="000000" w:themeColor="text1"/>
          <w:sz w:val="32"/>
          <w:szCs w:val="32"/>
          <w:highlight w:val="none"/>
          <w14:textFill>
            <w14:solidFill>
              <w14:schemeClr w14:val="tx1"/>
            </w14:solidFill>
          </w14:textFill>
        </w:rPr>
        <w:t>（二）政府性基金预算收支执行情况</w:t>
      </w:r>
    </w:p>
    <w:p w14:paraId="09BEC194">
      <w:pPr>
        <w:keepNext w:val="0"/>
        <w:keepLines w:val="0"/>
        <w:pageBreakBefore w:val="0"/>
        <w:widowControl w:val="0"/>
        <w:kinsoku/>
        <w:wordWrap/>
        <w:overflowPunct w:val="0"/>
        <w:topLinePunct w:val="0"/>
        <w:autoSpaceDE/>
        <w:autoSpaceDN/>
        <w:bidi w:val="0"/>
        <w:spacing w:line="600" w:lineRule="exact"/>
        <w:ind w:firstLine="627" w:firstLineChars="196"/>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年政府性基金收入预计完成</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13162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万元，其中：地方政府专项债券</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10338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万元，上级补助政府性基金收入23</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23</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万元,调入</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专项</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债利息资金</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501</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p>
    <w:p w14:paraId="50C9FB65">
      <w:pPr>
        <w:keepNext w:val="0"/>
        <w:keepLines w:val="0"/>
        <w:pageBreakBefore w:val="0"/>
        <w:widowControl w:val="0"/>
        <w:kinsoku/>
        <w:wordWrap/>
        <w:overflowPunct w:val="0"/>
        <w:topLinePunct w:val="0"/>
        <w:autoSpaceDE/>
        <w:autoSpaceDN/>
        <w:bidi w:val="0"/>
        <w:spacing w:line="600" w:lineRule="exact"/>
        <w:ind w:firstLine="627" w:firstLineChars="196"/>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年政府性基金支出预计完成</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13162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万元，结余为零，收支平衡。</w:t>
      </w:r>
    </w:p>
    <w:p w14:paraId="6EC6279B">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cs="Times New Roman"/>
          <w:b/>
          <w:color w:val="000000" w:themeColor="text1"/>
          <w:sz w:val="32"/>
          <w:szCs w:val="32"/>
          <w:highlight w:val="none"/>
          <w14:textFill>
            <w14:solidFill>
              <w14:schemeClr w14:val="tx1"/>
            </w14:solidFill>
          </w14:textFill>
        </w:rPr>
      </w:pPr>
      <w:r>
        <w:rPr>
          <w:rFonts w:hint="default" w:ascii="Times New Roman" w:hAnsi="Times New Roman" w:cs="Times New Roman"/>
          <w:b/>
          <w:color w:val="000000" w:themeColor="text1"/>
          <w:sz w:val="32"/>
          <w:szCs w:val="32"/>
          <w:highlight w:val="none"/>
          <w14:textFill>
            <w14:solidFill>
              <w14:schemeClr w14:val="tx1"/>
            </w14:solidFill>
          </w14:textFill>
        </w:rPr>
        <w:t>（三）地方政府债务情况</w:t>
      </w:r>
    </w:p>
    <w:p w14:paraId="1EA284E9">
      <w:pPr>
        <w:keepNext w:val="0"/>
        <w:keepLines w:val="0"/>
        <w:pageBreakBefore w:val="0"/>
        <w:widowControl w:val="0"/>
        <w:kinsoku/>
        <w:wordWrap/>
        <w:overflowPunct w:val="0"/>
        <w:topLinePunct w:val="0"/>
        <w:autoSpaceDE/>
        <w:autoSpaceDN/>
        <w:bidi w:val="0"/>
        <w:spacing w:line="600" w:lineRule="exact"/>
        <w:ind w:firstLine="627" w:firstLineChars="196"/>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2024年初政府债务余额62736万元，新增专项债券额度</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10338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万元，其中：八公山风景区建设提升项目2300万元、八公山豆腐产业园及基础设施建设项目1300万元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劳动村二期和瓷器新村棚改项目2200万元、置换市徽银产业引导基金贷款4538万元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；新增一般债券额度1201万元，</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其中：</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八公山区山王镇林场村精品示范村项目1000万元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置换八公山公安分局业务技术用房及战训基地项目201万元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；2024年到期一般债券5072万元，已通过2024年再融资债券偿还4564万元，自有资金偿还508万元；截至目前，2024年债务余额</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73767</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万元，在省核定的年度地方政府债务限额管控范围</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内</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t>
      </w:r>
    </w:p>
    <w:p w14:paraId="59BE6603">
      <w:pPr>
        <w:keepNext w:val="0"/>
        <w:keepLines w:val="0"/>
        <w:pageBreakBefore w:val="0"/>
        <w:widowControl w:val="0"/>
        <w:kinsoku/>
        <w:wordWrap/>
        <w:overflowPunct w:val="0"/>
        <w:topLinePunct w:val="0"/>
        <w:autoSpaceDE/>
        <w:autoSpaceDN/>
        <w:bidi w:val="0"/>
        <w:spacing w:line="600" w:lineRule="exact"/>
        <w:ind w:firstLine="627" w:firstLineChars="196"/>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由于202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年与上级财政尚未结算，</w:t>
      </w:r>
      <w:r>
        <w:rPr>
          <w:rFonts w:hint="default" w:ascii="Times New Roman" w:hAnsi="Times New Roman" w:eastAsia="仿宋_GB2312" w:cs="Times New Roman"/>
          <w:kern w:val="0"/>
          <w:sz w:val="32"/>
          <w:szCs w:val="32"/>
          <w:highlight w:val="none"/>
        </w:rPr>
        <w:t>上述预算执行情况均为预计完成数，在年度决算编制汇总后略有调整，届时</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再按程序报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区</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人大常委会审查批准。</w:t>
      </w:r>
    </w:p>
    <w:p w14:paraId="6B34D4EA">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黑体" w:cs="Times New Roman"/>
          <w:bCs/>
          <w:color w:val="000000" w:themeColor="text1"/>
          <w:sz w:val="32"/>
          <w:szCs w:val="32"/>
          <w:highlight w:val="none"/>
          <w14:textFill>
            <w14:solidFill>
              <w14:schemeClr w14:val="tx1"/>
            </w14:solidFill>
          </w14:textFill>
        </w:rPr>
      </w:pPr>
      <w:r>
        <w:rPr>
          <w:rFonts w:hint="default" w:ascii="Times New Roman" w:hAnsi="Times New Roman" w:eastAsia="黑体" w:cs="Times New Roman"/>
          <w:bCs/>
          <w:color w:val="000000" w:themeColor="text1"/>
          <w:sz w:val="32"/>
          <w:szCs w:val="32"/>
          <w:highlight w:val="none"/>
          <w14:textFill>
            <w14:solidFill>
              <w14:schemeClr w14:val="tx1"/>
            </w14:solidFill>
          </w14:textFill>
        </w:rPr>
        <w:t>二、202</w:t>
      </w:r>
      <w:r>
        <w:rPr>
          <w:rFonts w:hint="default" w:ascii="Times New Roman" w:hAnsi="Times New Roman" w:eastAsia="黑体" w:cs="Times New Roman"/>
          <w:bCs/>
          <w:color w:val="000000" w:themeColor="text1"/>
          <w:sz w:val="32"/>
          <w:szCs w:val="32"/>
          <w:highlight w:val="none"/>
          <w:lang w:val="en-US" w:eastAsia="zh-CN"/>
          <w14:textFill>
            <w14:solidFill>
              <w14:schemeClr w14:val="tx1"/>
            </w14:solidFill>
          </w14:textFill>
        </w:rPr>
        <w:t>4</w:t>
      </w:r>
      <w:r>
        <w:rPr>
          <w:rFonts w:hint="default" w:ascii="Times New Roman" w:hAnsi="Times New Roman" w:eastAsia="黑体" w:cs="Times New Roman"/>
          <w:bCs/>
          <w:color w:val="000000" w:themeColor="text1"/>
          <w:sz w:val="32"/>
          <w:szCs w:val="32"/>
          <w:highlight w:val="none"/>
          <w14:textFill>
            <w14:solidFill>
              <w14:schemeClr w14:val="tx1"/>
            </w14:solidFill>
          </w14:textFill>
        </w:rPr>
        <w:t>年财政工作情况</w:t>
      </w:r>
    </w:p>
    <w:p w14:paraId="52D6E475">
      <w:pPr>
        <w:keepNext w:val="0"/>
        <w:keepLines w:val="0"/>
        <w:pageBreakBefore w:val="0"/>
        <w:widowControl w:val="0"/>
        <w:kinsoku/>
        <w:wordWrap/>
        <w:overflowPunct w:val="0"/>
        <w:topLinePunct w:val="0"/>
        <w:autoSpaceDE/>
        <w:autoSpaceDN/>
        <w:bidi w:val="0"/>
        <w:spacing w:line="600" w:lineRule="exact"/>
        <w:ind w:firstLine="627" w:firstLineChars="196"/>
        <w:jc w:val="both"/>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202</w:t>
      </w:r>
      <w:r>
        <w:rPr>
          <w:rFonts w:hint="default" w:ascii="Times New Roman" w:hAnsi="Times New Roman" w:eastAsia="仿宋_GB2312" w:cs="Times New Roman"/>
          <w:kern w:val="0"/>
          <w:sz w:val="32"/>
          <w:szCs w:val="32"/>
          <w:highlight w:val="none"/>
          <w:lang w:val="en-US" w:eastAsia="zh-CN"/>
        </w:rPr>
        <w:t>4</w:t>
      </w:r>
      <w:r>
        <w:rPr>
          <w:rFonts w:hint="default" w:ascii="Times New Roman" w:hAnsi="Times New Roman" w:eastAsia="仿宋_GB2312" w:cs="Times New Roman"/>
          <w:kern w:val="0"/>
          <w:sz w:val="32"/>
          <w:szCs w:val="32"/>
          <w:highlight w:val="none"/>
        </w:rPr>
        <w:t>年，区财政部门深入贯彻党的二十大精神，紧紧围绕</w:t>
      </w:r>
      <w:r>
        <w:rPr>
          <w:rFonts w:hint="default" w:ascii="Times New Roman" w:hAnsi="Times New Roman" w:eastAsia="仿宋_GB2312" w:cs="Times New Roman"/>
          <w:kern w:val="0"/>
          <w:sz w:val="32"/>
          <w:szCs w:val="32"/>
          <w:highlight w:val="none"/>
          <w:lang w:val="en-US" w:eastAsia="zh-CN"/>
        </w:rPr>
        <w:t>区</w:t>
      </w:r>
      <w:r>
        <w:rPr>
          <w:rFonts w:hint="default" w:ascii="Times New Roman" w:hAnsi="Times New Roman" w:eastAsia="仿宋_GB2312" w:cs="Times New Roman"/>
          <w:kern w:val="0"/>
          <w:sz w:val="32"/>
          <w:szCs w:val="32"/>
          <w:highlight w:val="none"/>
        </w:rPr>
        <w:t>委2024年工作总体要求，统筹谋划、系统推进，扎实落实适度加力、提质增效的积极财政政策，切实有效发挥财政职能作用，全力以赴争取</w:t>
      </w:r>
      <w:r>
        <w:rPr>
          <w:rFonts w:hint="default" w:ascii="Times New Roman" w:hAnsi="Times New Roman" w:eastAsia="仿宋_GB2312" w:cs="Times New Roman"/>
          <w:kern w:val="0"/>
          <w:sz w:val="32"/>
          <w:szCs w:val="32"/>
          <w:highlight w:val="none"/>
          <w:lang w:val="en-US" w:eastAsia="zh-CN"/>
        </w:rPr>
        <w:t>中央</w:t>
      </w:r>
      <w:r>
        <w:rPr>
          <w:rFonts w:hint="default" w:ascii="Times New Roman" w:hAnsi="Times New Roman" w:eastAsia="仿宋_GB2312" w:cs="Times New Roman"/>
          <w:kern w:val="0"/>
          <w:sz w:val="32"/>
          <w:szCs w:val="32"/>
          <w:highlight w:val="none"/>
        </w:rPr>
        <w:t>、省</w:t>
      </w:r>
      <w:r>
        <w:rPr>
          <w:rFonts w:hint="default" w:ascii="Times New Roman" w:hAnsi="Times New Roman"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lang w:val="en-US" w:eastAsia="zh-CN"/>
        </w:rPr>
        <w:t>市级</w:t>
      </w:r>
      <w:r>
        <w:rPr>
          <w:rFonts w:hint="default" w:ascii="Times New Roman" w:hAnsi="Times New Roman" w:eastAsia="仿宋_GB2312" w:cs="Times New Roman"/>
          <w:kern w:val="0"/>
          <w:sz w:val="32"/>
          <w:szCs w:val="32"/>
          <w:highlight w:val="none"/>
        </w:rPr>
        <w:t>资金支持，积极盘活闲置资源资产，依法依规组织财政收入，兜牢基层“三保”底线，防范化解债务风险，坚决落实党政机关过“紧日子”要求，切实做好预算执行管理，全力保障和改善民生，全</w:t>
      </w:r>
      <w:r>
        <w:rPr>
          <w:rFonts w:hint="default" w:ascii="Times New Roman" w:hAnsi="Times New Roman" w:eastAsia="仿宋_GB2312" w:cs="Times New Roman"/>
          <w:kern w:val="0"/>
          <w:sz w:val="32"/>
          <w:szCs w:val="32"/>
          <w:highlight w:val="none"/>
          <w:lang w:val="en-US" w:eastAsia="zh-CN"/>
        </w:rPr>
        <w:t>区</w:t>
      </w:r>
      <w:r>
        <w:rPr>
          <w:rFonts w:hint="default" w:ascii="Times New Roman" w:hAnsi="Times New Roman" w:eastAsia="仿宋_GB2312" w:cs="Times New Roman"/>
          <w:kern w:val="0"/>
          <w:sz w:val="32"/>
          <w:szCs w:val="32"/>
          <w:highlight w:val="none"/>
        </w:rPr>
        <w:t>财政运行总体平稳。</w:t>
      </w:r>
    </w:p>
    <w:p w14:paraId="4F83C2C6">
      <w:pPr>
        <w:keepNext w:val="0"/>
        <w:keepLines w:val="0"/>
        <w:pageBreakBefore w:val="0"/>
        <w:widowControl w:val="0"/>
        <w:numPr>
          <w:ilvl w:val="0"/>
          <w:numId w:val="0"/>
        </w:numPr>
        <w:kinsoku/>
        <w:wordWrap/>
        <w:overflowPunct w:val="0"/>
        <w:topLinePunct w:val="0"/>
        <w:autoSpaceDE/>
        <w:autoSpaceDN/>
        <w:bidi w:val="0"/>
        <w:spacing w:line="600" w:lineRule="exact"/>
        <w:ind w:firstLine="643" w:firstLineChars="200"/>
        <w:jc w:val="both"/>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cs="Times New Roman"/>
          <w:b/>
          <w:color w:val="000000" w:themeColor="text1"/>
          <w:sz w:val="32"/>
          <w:szCs w:val="32"/>
          <w:highlight w:val="none"/>
          <w:lang w:eastAsia="zh-CN"/>
          <w14:textFill>
            <w14:solidFill>
              <w14:schemeClr w14:val="tx1"/>
            </w14:solidFill>
          </w14:textFill>
        </w:rPr>
        <w:t>（</w:t>
      </w:r>
      <w:r>
        <w:rPr>
          <w:rFonts w:hint="default" w:ascii="Times New Roman" w:hAnsi="Times New Roman" w:cs="Times New Roman"/>
          <w:b/>
          <w:color w:val="000000" w:themeColor="text1"/>
          <w:sz w:val="32"/>
          <w:szCs w:val="32"/>
          <w:highlight w:val="none"/>
          <w:lang w:val="en-US" w:eastAsia="zh-CN"/>
          <w14:textFill>
            <w14:solidFill>
              <w14:schemeClr w14:val="tx1"/>
            </w14:solidFill>
          </w14:textFill>
        </w:rPr>
        <w:t>一</w:t>
      </w:r>
      <w:r>
        <w:rPr>
          <w:rFonts w:hint="default" w:ascii="Times New Roman" w:hAnsi="Times New Roman" w:cs="Times New Roman"/>
          <w:b/>
          <w:color w:val="000000" w:themeColor="text1"/>
          <w:sz w:val="32"/>
          <w:szCs w:val="32"/>
          <w:highlight w:val="none"/>
          <w:lang w:eastAsia="zh-CN"/>
          <w14:textFill>
            <w14:solidFill>
              <w14:schemeClr w14:val="tx1"/>
            </w14:solidFill>
          </w14:textFill>
        </w:rPr>
        <w:t>）</w:t>
      </w:r>
      <w:r>
        <w:rPr>
          <w:rFonts w:hint="default" w:ascii="Times New Roman" w:hAnsi="Times New Roman" w:cs="Times New Roman"/>
          <w:b/>
          <w:color w:val="000000" w:themeColor="text1"/>
          <w:sz w:val="32"/>
          <w:szCs w:val="32"/>
          <w:highlight w:val="none"/>
          <w14:textFill>
            <w14:solidFill>
              <w14:schemeClr w14:val="tx1"/>
            </w14:solidFill>
          </w14:textFill>
        </w:rPr>
        <w:t>在承压运行中稳增长、聚财力。</w:t>
      </w:r>
      <w:r>
        <w:rPr>
          <w:rFonts w:hint="default" w:ascii="Times New Roman" w:hAnsi="Times New Roman" w:eastAsia="仿宋_GB2312" w:cs="Times New Roman"/>
          <w:kern w:val="0"/>
          <w:sz w:val="32"/>
          <w:szCs w:val="32"/>
          <w:highlight w:val="none"/>
          <w:lang w:val="en-US" w:eastAsia="zh-CN"/>
        </w:rPr>
        <w:t>着力扩大增量、激活存量、催生变量，为全区发展大局提供坚实支撑。</w:t>
      </w:r>
      <w:r>
        <w:rPr>
          <w:rFonts w:hint="default" w:ascii="Times New Roman" w:hAnsi="Times New Roman" w:eastAsia="仿宋_GB2312" w:cs="Times New Roman"/>
          <w:b/>
          <w:bCs/>
          <w:kern w:val="0"/>
          <w:sz w:val="32"/>
          <w:szCs w:val="32"/>
          <w:highlight w:val="none"/>
          <w:lang w:val="en-US" w:eastAsia="zh-CN"/>
        </w:rPr>
        <w:t>一是</w:t>
      </w:r>
      <w:r>
        <w:rPr>
          <w:rFonts w:hint="default" w:ascii="Times New Roman" w:hAnsi="Times New Roman" w:eastAsia="仿宋_GB2312" w:cs="Times New Roman"/>
          <w:b/>
          <w:bCs/>
          <w:kern w:val="0"/>
          <w:sz w:val="32"/>
          <w:szCs w:val="32"/>
          <w:highlight w:val="none"/>
          <w:lang w:val="en-US" w:eastAsia="zh-CN"/>
        </w:rPr>
        <w:t>“</w:t>
      </w:r>
      <w:r>
        <w:rPr>
          <w:rFonts w:hint="default" w:ascii="Times New Roman" w:hAnsi="Times New Roman" w:eastAsia="仿宋_GB2312" w:cs="Times New Roman"/>
          <w:b/>
          <w:bCs/>
          <w:kern w:val="0"/>
          <w:sz w:val="32"/>
          <w:szCs w:val="32"/>
          <w:highlight w:val="none"/>
          <w:lang w:val="en-US" w:eastAsia="zh-CN"/>
        </w:rPr>
        <w:t>稳</w:t>
      </w:r>
      <w:r>
        <w:rPr>
          <w:rFonts w:hint="default" w:ascii="Times New Roman" w:hAnsi="Times New Roman" w:eastAsia="仿宋_GB2312" w:cs="Times New Roman"/>
          <w:b/>
          <w:bCs/>
          <w:kern w:val="0"/>
          <w:sz w:val="32"/>
          <w:szCs w:val="32"/>
          <w:highlight w:val="none"/>
          <w:lang w:val="en-US" w:eastAsia="zh-CN"/>
        </w:rPr>
        <w:t>”</w:t>
      </w:r>
      <w:r>
        <w:rPr>
          <w:rFonts w:hint="default" w:ascii="Times New Roman" w:hAnsi="Times New Roman" w:eastAsia="仿宋_GB2312" w:cs="Times New Roman"/>
          <w:b/>
          <w:bCs/>
          <w:kern w:val="0"/>
          <w:sz w:val="32"/>
          <w:szCs w:val="32"/>
          <w:highlight w:val="none"/>
          <w:lang w:val="en-US" w:eastAsia="zh-CN"/>
        </w:rPr>
        <w:t>的基础持续夯实。</w:t>
      </w:r>
      <w:r>
        <w:rPr>
          <w:rFonts w:hint="default" w:ascii="Times New Roman" w:hAnsi="Times New Roman" w:eastAsia="仿宋_GB2312" w:cs="Times New Roman"/>
          <w:kern w:val="0"/>
          <w:sz w:val="32"/>
          <w:szCs w:val="32"/>
          <w:highlight w:val="none"/>
          <w:lang w:val="en-US" w:eastAsia="zh-CN"/>
        </w:rPr>
        <w:t>围绕年初收入预期目标，依法依规组织财政收入，做到应征尽征、应收尽收。2024年，全区一般公共预算收入完成23080万元，其中：税收收入8465万元；非税收入14615万元。</w:t>
      </w:r>
      <w:r>
        <w:rPr>
          <w:rFonts w:hint="default" w:ascii="Times New Roman" w:hAnsi="Times New Roman" w:eastAsia="仿宋_GB2312" w:cs="Times New Roman"/>
          <w:b/>
          <w:bCs/>
          <w:kern w:val="0"/>
          <w:sz w:val="32"/>
          <w:szCs w:val="32"/>
          <w:highlight w:val="none"/>
          <w:lang w:val="en-US" w:eastAsia="zh-CN"/>
        </w:rPr>
        <w:t>二是</w:t>
      </w:r>
      <w:r>
        <w:rPr>
          <w:rFonts w:hint="default" w:ascii="Times New Roman" w:hAnsi="Times New Roman" w:eastAsia="仿宋_GB2312" w:cs="Times New Roman"/>
          <w:b/>
          <w:bCs/>
          <w:kern w:val="0"/>
          <w:sz w:val="32"/>
          <w:szCs w:val="32"/>
          <w:highlight w:val="none"/>
          <w:lang w:val="en-US" w:eastAsia="zh-CN"/>
        </w:rPr>
        <w:t>“</w:t>
      </w:r>
      <w:r>
        <w:rPr>
          <w:rFonts w:hint="default" w:ascii="Times New Roman" w:hAnsi="Times New Roman" w:eastAsia="仿宋_GB2312" w:cs="Times New Roman"/>
          <w:b/>
          <w:bCs/>
          <w:kern w:val="0"/>
          <w:sz w:val="32"/>
          <w:szCs w:val="32"/>
          <w:highlight w:val="none"/>
          <w:lang w:val="en-US" w:eastAsia="zh-CN"/>
        </w:rPr>
        <w:t>争</w:t>
      </w:r>
      <w:r>
        <w:rPr>
          <w:rFonts w:hint="default" w:ascii="Times New Roman" w:hAnsi="Times New Roman" w:eastAsia="仿宋_GB2312" w:cs="Times New Roman"/>
          <w:b/>
          <w:bCs/>
          <w:kern w:val="0"/>
          <w:sz w:val="32"/>
          <w:szCs w:val="32"/>
          <w:highlight w:val="none"/>
          <w:lang w:val="en-US" w:eastAsia="zh-CN"/>
        </w:rPr>
        <w:t>”</w:t>
      </w:r>
      <w:r>
        <w:rPr>
          <w:rFonts w:hint="default" w:ascii="Times New Roman" w:hAnsi="Times New Roman" w:eastAsia="仿宋_GB2312" w:cs="Times New Roman"/>
          <w:b/>
          <w:bCs/>
          <w:kern w:val="0"/>
          <w:sz w:val="32"/>
          <w:szCs w:val="32"/>
          <w:highlight w:val="none"/>
          <w:lang w:val="en-US" w:eastAsia="zh-CN"/>
        </w:rPr>
        <w:t>的势头更加强劲。</w:t>
      </w:r>
      <w:r>
        <w:rPr>
          <w:rFonts w:hint="default" w:ascii="Times New Roman" w:hAnsi="Times New Roman" w:eastAsia="仿宋_GB2312" w:cs="Times New Roman"/>
          <w:kern w:val="0"/>
          <w:sz w:val="32"/>
          <w:szCs w:val="32"/>
          <w:highlight w:val="none"/>
          <w:lang w:val="en-US" w:eastAsia="zh-CN"/>
        </w:rPr>
        <w:t>紧盯国家政策导向和资金投向，积极争取资金要素支持，全年向上争取专项转移支付资金9609万元，其中各类生态修复资金3411万元、乡村振兴中央基建投资2000万元、其他转移支付资金4198万元，争取债券资金11539万元，增发国债480万元，有力保障重大项目建设资金需求。</w:t>
      </w:r>
      <w:r>
        <w:rPr>
          <w:rFonts w:hint="default" w:ascii="Times New Roman" w:hAnsi="Times New Roman" w:eastAsia="仿宋_GB2312" w:cs="Times New Roman"/>
          <w:b/>
          <w:bCs/>
          <w:kern w:val="0"/>
          <w:sz w:val="32"/>
          <w:szCs w:val="32"/>
          <w:highlight w:val="none"/>
          <w:lang w:val="en-US" w:eastAsia="zh-CN"/>
        </w:rPr>
        <w:t>三是“进”的动能不断增强。</w:t>
      </w:r>
      <w:r>
        <w:rPr>
          <w:rFonts w:hint="default" w:ascii="Times New Roman" w:hAnsi="Times New Roman" w:eastAsia="仿宋_GB2312" w:cs="Times New Roman"/>
          <w:b w:val="0"/>
          <w:bCs w:val="0"/>
          <w:kern w:val="0"/>
          <w:sz w:val="32"/>
          <w:szCs w:val="32"/>
          <w:highlight w:val="none"/>
          <w:lang w:val="en-US" w:eastAsia="zh-CN"/>
        </w:rPr>
        <w:t>严格落实减税降费各项政策，用好直达资金机制，推动惠企红利精准直达企业，激发市场活力助企纾困，全年兑现对企奖补343万元，以经营主体高质量发展带动税收增长。开展金融助企活动，</w:t>
      </w:r>
      <w:r>
        <w:rPr>
          <w:rFonts w:hint="default" w:ascii="Times New Roman" w:hAnsi="Times New Roman" w:eastAsia="仿宋_GB2312" w:cs="Times New Roman"/>
          <w:sz w:val="32"/>
          <w:szCs w:val="32"/>
          <w:highlight w:val="none"/>
          <w:lang w:val="en-US" w:eastAsia="zh-CN"/>
        </w:rPr>
        <w:t>全年组织开展政银企对接活动20余次，新增小微企业贷款户数142户，助企纾困，通过淮南市综合金融服务平台线上授信885笔，放款34.14亿元。</w:t>
      </w:r>
    </w:p>
    <w:p w14:paraId="07716ACC">
      <w:pPr>
        <w:pStyle w:val="2"/>
        <w:keepNext w:val="0"/>
        <w:keepLines w:val="0"/>
        <w:pageBreakBefore w:val="0"/>
        <w:widowControl w:val="0"/>
        <w:kinsoku/>
        <w:wordWrap/>
        <w:overflowPunct w:val="0"/>
        <w:topLinePunct w:val="0"/>
        <w:autoSpaceDE/>
        <w:autoSpaceDN/>
        <w:bidi w:val="0"/>
        <w:spacing w:line="600" w:lineRule="exact"/>
        <w:jc w:val="both"/>
        <w:textAlignment w:val="auto"/>
        <w:rPr>
          <w:rFonts w:hint="default" w:ascii="Times New Roman" w:hAnsi="Times New Roman" w:eastAsia="仿宋_GB2312" w:cs="Times New Roman"/>
          <w:b w:val="0"/>
          <w:bCs w:val="0"/>
          <w:color w:val="auto"/>
          <w:highlight w:val="none"/>
        </w:rPr>
      </w:pPr>
      <w:r>
        <w:rPr>
          <w:rFonts w:hint="default" w:ascii="Times New Roman" w:hAnsi="Times New Roman" w:cs="Times New Roman"/>
          <w:b/>
          <w:color w:val="000000" w:themeColor="text1"/>
          <w:sz w:val="32"/>
          <w:szCs w:val="32"/>
          <w:highlight w:val="none"/>
          <w:lang w:val="en-US" w:eastAsia="zh-CN"/>
          <w14:textFill>
            <w14:solidFill>
              <w14:schemeClr w14:val="tx1"/>
            </w14:solidFill>
          </w14:textFill>
        </w:rPr>
        <w:t>（二）在提质增效中抓盘活、强统筹。</w:t>
      </w:r>
      <w:r>
        <w:rPr>
          <w:rFonts w:hint="default" w:ascii="Times New Roman" w:hAnsi="Times New Roman" w:eastAsia="仿宋_GB2312" w:cs="Times New Roman"/>
          <w:b w:val="0"/>
          <w:bCs w:val="0"/>
          <w:kern w:val="0"/>
          <w:sz w:val="32"/>
          <w:szCs w:val="32"/>
          <w:highlight w:val="none"/>
          <w:lang w:val="en-US" w:eastAsia="zh-CN"/>
        </w:rPr>
        <w:t>优化支出结构，以大统筹理念用好财。</w:t>
      </w:r>
      <w:r>
        <w:rPr>
          <w:rFonts w:hint="default" w:ascii="Times New Roman" w:hAnsi="Times New Roman" w:eastAsia="仿宋_GB2312" w:cs="Times New Roman"/>
          <w:sz w:val="32"/>
          <w:szCs w:val="32"/>
          <w:highlight w:val="none"/>
          <w:lang w:val="en-US" w:eastAsia="zh-CN"/>
        </w:rPr>
        <w:t>按照“花小钱办大事、少花钱多办事、不花钱办成事”的思路，深挖各类</w:t>
      </w:r>
      <w:r>
        <w:rPr>
          <w:rFonts w:hint="default" w:ascii="Times New Roman" w:hAnsi="Times New Roman" w:cs="Times New Roman"/>
          <w:sz w:val="32"/>
          <w:szCs w:val="32"/>
          <w:highlight w:val="none"/>
          <w:lang w:val="en-US" w:eastAsia="zh-CN"/>
        </w:rPr>
        <w:t>资金</w:t>
      </w:r>
      <w:r>
        <w:rPr>
          <w:rFonts w:hint="default" w:ascii="Times New Roman" w:hAnsi="Times New Roman" w:eastAsia="仿宋_GB2312" w:cs="Times New Roman"/>
          <w:sz w:val="32"/>
          <w:szCs w:val="32"/>
          <w:highlight w:val="none"/>
          <w:lang w:val="en-US" w:eastAsia="zh-CN"/>
        </w:rPr>
        <w:t>资产资源联动、盘活潜力，助力财政资金提质、增效。</w:t>
      </w:r>
      <w:r>
        <w:rPr>
          <w:rFonts w:hint="default" w:ascii="Times New Roman" w:hAnsi="Times New Roman" w:eastAsia="仿宋_GB2312" w:cs="Times New Roman"/>
          <w:b/>
          <w:bCs/>
          <w:kern w:val="0"/>
          <w:sz w:val="32"/>
          <w:szCs w:val="32"/>
          <w:highlight w:val="none"/>
          <w:lang w:val="en-US" w:eastAsia="zh-CN"/>
        </w:rPr>
        <w:t>一是</w:t>
      </w:r>
      <w:r>
        <w:rPr>
          <w:rFonts w:hint="default" w:ascii="Times New Roman" w:hAnsi="Times New Roman" w:cs="Times New Roman"/>
          <w:b/>
          <w:bCs/>
          <w:sz w:val="32"/>
          <w:szCs w:val="32"/>
          <w:highlight w:val="none"/>
          <w:lang w:val="en-US" w:eastAsia="zh-CN"/>
        </w:rPr>
        <w:t>坚持政府过紧日子。</w:t>
      </w:r>
      <w:r>
        <w:rPr>
          <w:rFonts w:hint="default" w:ascii="Times New Roman" w:hAnsi="Times New Roman" w:eastAsia="仿宋_GB2312" w:cs="Times New Roman"/>
          <w:sz w:val="32"/>
          <w:szCs w:val="32"/>
          <w:highlight w:val="none"/>
          <w:lang w:val="en-US" w:eastAsia="zh-CN"/>
        </w:rPr>
        <w:t>建立节约型财政保障机制，严控</w:t>
      </w:r>
      <w:r>
        <w:rPr>
          <w:rFonts w:hint="default" w:ascii="Times New Roman" w:hAnsi="Times New Roman" w:cs="Times New Roman"/>
          <w:sz w:val="32"/>
          <w:szCs w:val="32"/>
          <w:highlight w:val="none"/>
          <w:lang w:val="en-US" w:eastAsia="zh-CN"/>
        </w:rPr>
        <w:t>非必要、非刚性</w:t>
      </w:r>
      <w:r>
        <w:rPr>
          <w:rFonts w:hint="default" w:ascii="Times New Roman" w:hAnsi="Times New Roman" w:eastAsia="仿宋_GB2312" w:cs="Times New Roman"/>
          <w:sz w:val="32"/>
          <w:szCs w:val="32"/>
          <w:highlight w:val="none"/>
          <w:lang w:val="en-US" w:eastAsia="zh-CN"/>
        </w:rPr>
        <w:t>财政开支，强化“三公”经费和一般性支出管控，财政供养人员经费增减实行动态管理，压缩一般性支出</w:t>
      </w:r>
      <w:r>
        <w:rPr>
          <w:rFonts w:hint="default" w:ascii="Times New Roman" w:hAnsi="Times New Roman" w:cs="Times New Roman"/>
          <w:sz w:val="32"/>
          <w:szCs w:val="32"/>
          <w:highlight w:val="none"/>
          <w:lang w:val="en-US" w:eastAsia="zh-CN"/>
        </w:rPr>
        <w:t>580</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cs="Times New Roman"/>
          <w:sz w:val="32"/>
          <w:szCs w:val="32"/>
          <w:highlight w:val="none"/>
          <w:lang w:val="en-US" w:eastAsia="zh-CN"/>
        </w:rPr>
        <w:t>。坚持勤俭节约艰苦奋斗和集中财力办大事，</w:t>
      </w:r>
      <w:r>
        <w:rPr>
          <w:rFonts w:hint="default" w:ascii="Times New Roman" w:hAnsi="Times New Roman" w:eastAsia="仿宋_GB2312" w:cs="Times New Roman"/>
          <w:sz w:val="32"/>
          <w:szCs w:val="32"/>
          <w:highlight w:val="none"/>
          <w:lang w:val="en-US" w:eastAsia="zh-CN"/>
        </w:rPr>
        <w:t>所压减、收回资金统筹优先保障民生支出以及区委、区政府确定的重点领域支出</w:t>
      </w:r>
      <w:r>
        <w:rPr>
          <w:rFonts w:hint="default" w:ascii="Times New Roman" w:hAnsi="Times New Roman" w:eastAsia="仿宋_GB2312" w:cs="Times New Roman"/>
          <w:b w:val="0"/>
          <w:bCs w:val="0"/>
          <w:kern w:val="0"/>
          <w:sz w:val="32"/>
          <w:szCs w:val="32"/>
          <w:highlight w:val="none"/>
          <w:lang w:val="en-US" w:eastAsia="zh-CN"/>
        </w:rPr>
        <w:t>。</w:t>
      </w:r>
      <w:r>
        <w:rPr>
          <w:rFonts w:hint="default" w:ascii="Times New Roman" w:hAnsi="Times New Roman" w:eastAsia="仿宋_GB2312" w:cs="Times New Roman"/>
          <w:b/>
          <w:bCs/>
          <w:kern w:val="0"/>
          <w:sz w:val="32"/>
          <w:szCs w:val="32"/>
          <w:highlight w:val="none"/>
          <w:lang w:val="en-US" w:eastAsia="zh-CN"/>
        </w:rPr>
        <w:t>二是统筹用好</w:t>
      </w:r>
      <w:r>
        <w:rPr>
          <w:rFonts w:hint="default" w:ascii="Times New Roman" w:hAnsi="Times New Roman" w:cs="Times New Roman"/>
          <w:b/>
          <w:bCs/>
          <w:kern w:val="0"/>
          <w:sz w:val="32"/>
          <w:szCs w:val="32"/>
          <w:highlight w:val="none"/>
          <w:lang w:val="en-US" w:eastAsia="zh-CN"/>
        </w:rPr>
        <w:t>各类资金</w:t>
      </w:r>
      <w:r>
        <w:rPr>
          <w:rFonts w:hint="default" w:ascii="Times New Roman" w:hAnsi="Times New Roman" w:eastAsia="仿宋_GB2312" w:cs="Times New Roman"/>
          <w:b/>
          <w:bCs/>
          <w:kern w:val="0"/>
          <w:sz w:val="32"/>
          <w:szCs w:val="32"/>
          <w:highlight w:val="none"/>
          <w:lang w:val="en-US" w:eastAsia="zh-CN"/>
        </w:rPr>
        <w:t>。</w:t>
      </w:r>
      <w:r>
        <w:rPr>
          <w:rFonts w:hint="default" w:ascii="Times New Roman" w:hAnsi="Times New Roman" w:eastAsia="仿宋_GB2312" w:cs="Times New Roman"/>
          <w:b w:val="0"/>
          <w:bCs w:val="0"/>
          <w:kern w:val="0"/>
          <w:sz w:val="32"/>
          <w:szCs w:val="32"/>
          <w:highlight w:val="none"/>
          <w:lang w:val="en-US" w:eastAsia="zh-CN"/>
        </w:rPr>
        <w:t>全年争取土地出让清算资金4102万元，严格按照规定范围安排使用，统筹用于支持农业农村、征迁补偿、城市建设等项目</w:t>
      </w:r>
      <w:r>
        <w:rPr>
          <w:rFonts w:hint="default" w:ascii="Times New Roman" w:hAnsi="Times New Roman" w:cs="Times New Roman"/>
          <w:b w:val="0"/>
          <w:bCs w:val="0"/>
          <w:kern w:val="0"/>
          <w:sz w:val="32"/>
          <w:szCs w:val="32"/>
          <w:highlight w:val="none"/>
          <w:lang w:val="en-US" w:eastAsia="zh-CN"/>
        </w:rPr>
        <w:t>支出</w:t>
      </w:r>
      <w:r>
        <w:rPr>
          <w:rFonts w:hint="default" w:ascii="Times New Roman" w:hAnsi="Times New Roman" w:eastAsia="仿宋_GB2312" w:cs="Times New Roman"/>
          <w:b w:val="0"/>
          <w:bCs w:val="0"/>
          <w:kern w:val="0"/>
          <w:sz w:val="32"/>
          <w:szCs w:val="32"/>
          <w:highlight w:val="none"/>
          <w:lang w:val="en-US" w:eastAsia="zh-CN"/>
        </w:rPr>
        <w:t>，不断提高资金使用效益。</w:t>
      </w:r>
      <w:r>
        <w:rPr>
          <w:rFonts w:hint="default" w:ascii="Times New Roman" w:hAnsi="Times New Roman" w:cs="Times New Roman"/>
          <w:b w:val="0"/>
          <w:bCs w:val="0"/>
          <w:kern w:val="0"/>
          <w:sz w:val="32"/>
          <w:szCs w:val="32"/>
          <w:highlight w:val="none"/>
          <w:lang w:val="en-US" w:eastAsia="zh-CN"/>
        </w:rPr>
        <w:t>争取皖北财力补助等财力性转移支付资金6401万元，统筹保障教育、医疗卫生、农业农村等方面，</w:t>
      </w:r>
      <w:r>
        <w:rPr>
          <w:rFonts w:hint="default" w:ascii="Times New Roman" w:hAnsi="Times New Roman" w:eastAsia="仿宋_GB2312" w:cs="Times New Roman"/>
          <w:b w:val="0"/>
          <w:bCs w:val="0"/>
          <w:kern w:val="0"/>
          <w:sz w:val="32"/>
          <w:szCs w:val="32"/>
          <w:highlight w:val="none"/>
          <w:lang w:val="en-US" w:eastAsia="zh-CN"/>
        </w:rPr>
        <w:t>不断提高资金使用效益。</w:t>
      </w:r>
      <w:r>
        <w:rPr>
          <w:rFonts w:hint="default" w:ascii="Times New Roman" w:hAnsi="Times New Roman" w:eastAsia="仿宋_GB2312" w:cs="Times New Roman"/>
          <w:b/>
          <w:bCs/>
          <w:kern w:val="0"/>
          <w:sz w:val="32"/>
          <w:szCs w:val="32"/>
          <w:highlight w:val="none"/>
          <w:lang w:val="en-US" w:eastAsia="zh-CN"/>
        </w:rPr>
        <w:t>三是强化盘活利用。</w:t>
      </w:r>
      <w:r>
        <w:rPr>
          <w:rFonts w:hint="default" w:ascii="Times New Roman" w:hAnsi="Times New Roman" w:eastAsia="仿宋_GB2312" w:cs="Times New Roman"/>
          <w:sz w:val="32"/>
          <w:szCs w:val="32"/>
          <w:highlight w:val="none"/>
          <w:lang w:val="en-US" w:eastAsia="zh-CN"/>
        </w:rPr>
        <w:t>加大各类沉淀资金盘活使用力度，对项目结余资金、超期结转资金、低效无效资金等一律清理收回，全年清理盘活沉淀资金</w:t>
      </w:r>
      <w:r>
        <w:rPr>
          <w:rFonts w:hint="default" w:ascii="Times New Roman" w:hAnsi="Times New Roman" w:cs="Times New Roman"/>
          <w:sz w:val="32"/>
          <w:szCs w:val="32"/>
          <w:highlight w:val="none"/>
          <w:lang w:val="en-US" w:eastAsia="zh-CN"/>
        </w:rPr>
        <w:t>2335</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cs="Times New Roman"/>
          <w:sz w:val="32"/>
          <w:szCs w:val="32"/>
          <w:highlight w:val="none"/>
          <w:lang w:val="en-US" w:eastAsia="zh-CN"/>
        </w:rPr>
        <w:t>。</w:t>
      </w:r>
      <w:r>
        <w:rPr>
          <w:rFonts w:hint="default" w:ascii="Times New Roman" w:hAnsi="Times New Roman" w:eastAsia="仿宋_GB2312" w:cs="Times New Roman"/>
          <w:b w:val="0"/>
          <w:bCs w:val="0"/>
          <w:kern w:val="0"/>
          <w:sz w:val="32"/>
          <w:szCs w:val="32"/>
          <w:highlight w:val="none"/>
          <w:lang w:val="en-US" w:eastAsia="zh-CN"/>
        </w:rPr>
        <w:t>加强财政国资协同发力，</w:t>
      </w:r>
      <w:r>
        <w:rPr>
          <w:rFonts w:hint="default" w:ascii="Times New Roman" w:hAnsi="Times New Roman" w:eastAsia="仿宋_GB2312" w:cs="Times New Roman"/>
          <w:b w:val="0"/>
          <w:bCs w:val="0"/>
          <w:color w:val="auto"/>
          <w:sz w:val="32"/>
          <w:szCs w:val="32"/>
          <w:highlight w:val="none"/>
          <w:lang w:val="en-US" w:eastAsia="zh-CN"/>
        </w:rPr>
        <w:t>建立政府资产注入机制，</w:t>
      </w:r>
      <w:r>
        <w:rPr>
          <w:rFonts w:hint="default" w:ascii="Times New Roman" w:hAnsi="Times New Roman" w:cs="Times New Roman"/>
          <w:b w:val="0"/>
          <w:bCs w:val="0"/>
          <w:color w:val="auto"/>
          <w:sz w:val="32"/>
          <w:szCs w:val="32"/>
          <w:highlight w:val="none"/>
          <w:lang w:val="en-US" w:eastAsia="zh-CN"/>
        </w:rPr>
        <w:t>壮大区属国有企业资产规模，</w:t>
      </w:r>
      <w:r>
        <w:rPr>
          <w:rFonts w:hint="default" w:ascii="Times New Roman" w:hAnsi="Times New Roman" w:eastAsia="仿宋_GB2312" w:cs="Times New Roman"/>
          <w:b w:val="0"/>
          <w:bCs w:val="0"/>
          <w:color w:val="auto"/>
          <w:sz w:val="32"/>
          <w:szCs w:val="32"/>
          <w:highlight w:val="none"/>
          <w:lang w:val="en-US" w:eastAsia="zh-CN"/>
        </w:rPr>
        <w:t>提高资产</w:t>
      </w:r>
      <w:r>
        <w:rPr>
          <w:rFonts w:hint="default" w:ascii="Times New Roman" w:hAnsi="Times New Roman" w:cs="Times New Roman"/>
          <w:b w:val="0"/>
          <w:bCs w:val="0"/>
          <w:color w:val="auto"/>
          <w:sz w:val="32"/>
          <w:szCs w:val="32"/>
          <w:highlight w:val="none"/>
          <w:lang w:val="en-US" w:eastAsia="zh-CN"/>
        </w:rPr>
        <w:t>、资源</w:t>
      </w:r>
      <w:r>
        <w:rPr>
          <w:rFonts w:hint="default" w:ascii="Times New Roman" w:hAnsi="Times New Roman" w:eastAsia="仿宋_GB2312" w:cs="Times New Roman"/>
          <w:b w:val="0"/>
          <w:bCs w:val="0"/>
          <w:color w:val="auto"/>
          <w:sz w:val="32"/>
          <w:szCs w:val="32"/>
          <w:highlight w:val="none"/>
          <w:lang w:val="en-US" w:eastAsia="zh-CN"/>
        </w:rPr>
        <w:t>的开发经营和升值价值</w:t>
      </w:r>
      <w:r>
        <w:rPr>
          <w:rFonts w:hint="default"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同时</w:t>
      </w:r>
      <w:r>
        <w:rPr>
          <w:rFonts w:hint="default" w:ascii="Times New Roman" w:hAnsi="Times New Roman" w:eastAsia="仿宋_GB2312" w:cs="Times New Roman"/>
          <w:color w:val="auto"/>
          <w:sz w:val="32"/>
          <w:szCs w:val="32"/>
          <w:highlight w:val="none"/>
          <w:lang w:val="en-US" w:eastAsia="zh-CN"/>
        </w:rPr>
        <w:t>为企业的评级授信、扩大融资渠道创造条件</w:t>
      </w:r>
      <w:r>
        <w:rPr>
          <w:rFonts w:hint="default" w:ascii="Times New Roman" w:hAnsi="Times New Roman" w:cs="Times New Roman"/>
          <w:b w:val="0"/>
          <w:bCs w:val="0"/>
          <w:color w:val="auto"/>
          <w:sz w:val="32"/>
          <w:szCs w:val="32"/>
          <w:highlight w:val="none"/>
          <w:lang w:val="en-US" w:eastAsia="zh-CN"/>
        </w:rPr>
        <w:t>。区属国有</w:t>
      </w:r>
      <w:r>
        <w:rPr>
          <w:rFonts w:hint="default" w:ascii="Times New Roman" w:hAnsi="Times New Roman" w:cs="Times New Roman"/>
          <w:color w:val="auto"/>
          <w:kern w:val="0"/>
          <w:sz w:val="32"/>
          <w:szCs w:val="32"/>
          <w:highlight w:val="none"/>
          <w:lang w:val="en-US" w:eastAsia="zh-CN" w:bidi="ar-SA"/>
        </w:rPr>
        <w:t>企业全年</w:t>
      </w:r>
      <w:r>
        <w:rPr>
          <w:rFonts w:hint="default" w:ascii="Times New Roman" w:hAnsi="Times New Roman" w:eastAsia="仿宋_GB2312" w:cs="Times New Roman"/>
          <w:color w:val="auto"/>
          <w:kern w:val="0"/>
          <w:sz w:val="32"/>
          <w:szCs w:val="32"/>
          <w:highlight w:val="none"/>
          <w:lang w:val="en-US" w:eastAsia="zh-CN" w:bidi="ar-SA"/>
        </w:rPr>
        <w:t>取得融资授信额度超8亿元，有力支持</w:t>
      </w:r>
      <w:r>
        <w:rPr>
          <w:rFonts w:hint="default" w:ascii="Times New Roman" w:hAnsi="Times New Roman" w:eastAsia="仿宋_GB2312" w:cs="Times New Roman"/>
          <w:kern w:val="2"/>
          <w:sz w:val="32"/>
          <w:szCs w:val="32"/>
          <w:highlight w:val="none"/>
          <w:lang w:val="en-US" w:eastAsia="zh-CN" w:bidi="ar-SA"/>
        </w:rPr>
        <w:t>全区经济社会建设</w:t>
      </w:r>
      <w:r>
        <w:rPr>
          <w:rFonts w:hint="default" w:ascii="Times New Roman" w:hAnsi="Times New Roman" w:cs="Times New Roman"/>
          <w:kern w:val="2"/>
          <w:sz w:val="32"/>
          <w:szCs w:val="32"/>
          <w:highlight w:val="none"/>
          <w:lang w:val="en-US" w:eastAsia="zh-CN" w:bidi="ar-SA"/>
        </w:rPr>
        <w:t>。</w:t>
      </w:r>
    </w:p>
    <w:p w14:paraId="1D977977">
      <w:pPr>
        <w:keepNext w:val="0"/>
        <w:keepLines w:val="0"/>
        <w:pageBreakBefore w:val="0"/>
        <w:widowControl w:val="0"/>
        <w:numPr>
          <w:ilvl w:val="0"/>
          <w:numId w:val="0"/>
        </w:numPr>
        <w:kinsoku/>
        <w:wordWrap/>
        <w:overflowPunct w:val="0"/>
        <w:topLinePunct w:val="0"/>
        <w:autoSpaceDE/>
        <w:autoSpaceDN/>
        <w:bidi w:val="0"/>
        <w:spacing w:line="600" w:lineRule="exact"/>
        <w:ind w:firstLine="643" w:firstLineChars="200"/>
        <w:jc w:val="both"/>
        <w:rPr>
          <w:rFonts w:hint="default" w:ascii="Times New Roman" w:hAnsi="Times New Roman" w:eastAsia="仿宋_GB2312" w:cs="Times New Roman"/>
          <w:sz w:val="32"/>
          <w:szCs w:val="32"/>
          <w:highlight w:val="none"/>
        </w:rPr>
      </w:pPr>
      <w:r>
        <w:rPr>
          <w:rFonts w:hint="default" w:ascii="Times New Roman" w:hAnsi="Times New Roman" w:cs="Times New Roman"/>
          <w:b/>
          <w:color w:val="000000" w:themeColor="text1"/>
          <w:sz w:val="32"/>
          <w:szCs w:val="32"/>
          <w:highlight w:val="none"/>
          <w:lang w:val="en-US" w:eastAsia="zh-CN"/>
          <w14:textFill>
            <w14:solidFill>
              <w14:schemeClr w14:val="tx1"/>
            </w14:solidFill>
          </w14:textFill>
        </w:rPr>
        <w:t>（三）在兜底保障中暖民心、惠民生。</w:t>
      </w:r>
      <w:r>
        <w:rPr>
          <w:rFonts w:hint="default" w:ascii="Times New Roman" w:hAnsi="Times New Roman" w:eastAsia="仿宋_GB2312" w:cs="Times New Roman"/>
          <w:b w:val="0"/>
          <w:bCs w:val="0"/>
          <w:kern w:val="0"/>
          <w:sz w:val="32"/>
          <w:szCs w:val="32"/>
          <w:highlight w:val="none"/>
          <w:lang w:val="en-US" w:eastAsia="zh-CN"/>
        </w:rPr>
        <w:t>2024年，全区一般公共预算民生支出49965万元，占财政支出比重达89.4%，持续擦亮民生幸福底色。一</w:t>
      </w:r>
      <w:r>
        <w:rPr>
          <w:rFonts w:hint="default" w:ascii="Times New Roman" w:hAnsi="Times New Roman" w:eastAsia="仿宋_GB2312" w:cs="Times New Roman"/>
          <w:b/>
          <w:bCs/>
          <w:kern w:val="0"/>
          <w:sz w:val="32"/>
          <w:szCs w:val="32"/>
          <w:highlight w:val="none"/>
          <w:lang w:val="en-US" w:eastAsia="zh-CN"/>
        </w:rPr>
        <w:t>是支持教育事业发展。</w:t>
      </w:r>
      <w:r>
        <w:rPr>
          <w:rFonts w:hint="default" w:ascii="Times New Roman" w:hAnsi="Times New Roman" w:eastAsia="仿宋_GB2312" w:cs="Times New Roman"/>
          <w:b w:val="0"/>
          <w:bCs w:val="0"/>
          <w:kern w:val="0"/>
          <w:sz w:val="32"/>
          <w:szCs w:val="32"/>
          <w:highlight w:val="none"/>
          <w:lang w:val="en-US" w:eastAsia="zh-CN"/>
        </w:rPr>
        <w:t>将教育作为促进发展和改善民生的重要抓手，全力保障教育事业优先发展，全年教育投入12226万元，教育支出占财政支出比重22%。</w:t>
      </w:r>
      <w:r>
        <w:rPr>
          <w:rFonts w:hint="default" w:ascii="Times New Roman" w:hAnsi="Times New Roman" w:eastAsia="仿宋_GB2312" w:cs="Times New Roman"/>
          <w:b/>
          <w:bCs/>
          <w:kern w:val="0"/>
          <w:sz w:val="32"/>
          <w:szCs w:val="32"/>
          <w:highlight w:val="none"/>
          <w:lang w:val="en-US" w:eastAsia="zh-CN"/>
        </w:rPr>
        <w:t>二是提升社会保障水平。</w:t>
      </w:r>
      <w:r>
        <w:rPr>
          <w:rFonts w:hint="default" w:ascii="Times New Roman" w:hAnsi="Times New Roman" w:eastAsia="仿宋_GB2312" w:cs="Times New Roman"/>
          <w:b w:val="0"/>
          <w:bCs w:val="0"/>
          <w:kern w:val="0"/>
          <w:sz w:val="32"/>
          <w:szCs w:val="32"/>
          <w:highlight w:val="none"/>
          <w:lang w:val="en-US" w:eastAsia="zh-CN"/>
        </w:rPr>
        <w:t>投入17022万元健全社会保障体系，充分发挥财政社保资金兜底作用，落实各项社会保障政策，持续完善社会救助、居民医疗保险、基本公共卫生服务等财政补助标准不断提高，低保和特困人员救助供养连续9年提标。发放惠民补贴4714万元，惠及1.7万余人；拨付机关事业单位养老保险差额资金5472万元，弥补养老保险收支缺口；拨付城乡居民医保财政补助资金、城乡医疗救助资金950万元，基本公共卫生服务补助资金1167万元，不断提升医疗卫生服务效能；拨付残疾人事业发展及补贴经费309万元，支持残疾人社会保障体系和服务体系建设；统筹安排就业补助资金392万元，突出重点群体就业帮扶，开发40个大学生基层特岗，开发见习岗位85个，发放单位和个人岗位补贴252万元。</w:t>
      </w:r>
      <w:r>
        <w:rPr>
          <w:rFonts w:hint="default" w:ascii="Times New Roman" w:hAnsi="Times New Roman" w:eastAsia="仿宋_GB2312" w:cs="Times New Roman"/>
          <w:b/>
          <w:bCs/>
          <w:kern w:val="0"/>
          <w:sz w:val="32"/>
          <w:szCs w:val="32"/>
          <w:highlight w:val="none"/>
          <w:lang w:val="en-US" w:eastAsia="zh-CN"/>
        </w:rPr>
        <w:t>三是促进文旅体事业融合发展。</w:t>
      </w:r>
      <w:r>
        <w:rPr>
          <w:rFonts w:hint="default" w:ascii="Times New Roman" w:hAnsi="Times New Roman" w:eastAsia="仿宋_GB2312" w:cs="Times New Roman"/>
          <w:b w:val="0"/>
          <w:bCs w:val="0"/>
          <w:kern w:val="0"/>
          <w:sz w:val="32"/>
          <w:szCs w:val="32"/>
          <w:highlight w:val="none"/>
          <w:lang w:val="en-US" w:eastAsia="zh-CN"/>
        </w:rPr>
        <w:t>积极完善公共文化服务体系，拨付29万元支持举办农村电影放映、送戏进万村等各类惠民文化活动；拨付92万元支持博物馆、文化馆免费开放；拨付34万元做好新时代文明实践中心建设保障工作。支持文旅融合发展，安排专项债资金2300万元用于景区建设项目提升、400万元用于景区运营和文化旅游活动开展。拨付八公山体育公园建设资金144万元、快乐健身资金24万元，支持营造全民健身氛围，激发群众体育活力。</w:t>
      </w:r>
    </w:p>
    <w:p w14:paraId="6BDCA977">
      <w:pPr>
        <w:keepNext w:val="0"/>
        <w:keepLines w:val="0"/>
        <w:pageBreakBefore w:val="0"/>
        <w:widowControl w:val="0"/>
        <w:numPr>
          <w:ilvl w:val="0"/>
          <w:numId w:val="0"/>
        </w:numPr>
        <w:kinsoku/>
        <w:wordWrap/>
        <w:overflowPunct w:val="0"/>
        <w:topLinePunct w:val="0"/>
        <w:autoSpaceDE/>
        <w:autoSpaceDN/>
        <w:bidi w:val="0"/>
        <w:spacing w:line="600" w:lineRule="exact"/>
        <w:ind w:firstLine="640"/>
        <w:jc w:val="both"/>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color w:val="000000" w:themeColor="text1"/>
          <w:sz w:val="32"/>
          <w:szCs w:val="32"/>
          <w:highlight w:val="none"/>
          <w:lang w:val="en-US" w:eastAsia="zh-CN"/>
          <w14:textFill>
            <w14:solidFill>
              <w14:schemeClr w14:val="tx1"/>
            </w14:solidFill>
          </w14:textFill>
        </w:rPr>
        <w:t>（四）在共建共享中强融合、促发展。一是巩固乡村振兴成效。</w:t>
      </w:r>
      <w:r>
        <w:rPr>
          <w:rFonts w:hint="default" w:ascii="Times New Roman" w:hAnsi="Times New Roman" w:eastAsia="仿宋_GB2312" w:cs="Times New Roman"/>
          <w:b w:val="0"/>
          <w:bCs w:val="0"/>
          <w:kern w:val="0"/>
          <w:sz w:val="32"/>
          <w:szCs w:val="32"/>
          <w:highlight w:val="none"/>
          <w:lang w:val="en-US" w:eastAsia="zh-CN"/>
        </w:rPr>
        <w:t>全年农林水支出3869万元，同比增长6.1%，全力推进乡村振兴、高标准农田建设、粮食安全保障、现代农业发展。健全多元化投入保障机制，拨付财政衔接推进乡村振兴补助资金250万元，拨付中央预算内投资2000万元、村级公益事业建设财政奖补资金581万元、农业产业强镇及新型经营主体培育资金302万元，统筹推动乡村基础设施建设和产业发展。落实惠农强农政策，拨付稻谷价格补贴资金、种粮农民一次性补贴资金和耕地地力保护补贴资金共计187万元，保护农民种粮利益；</w:t>
      </w:r>
      <w:r>
        <w:rPr>
          <w:rFonts w:hint="default" w:ascii="Times New Roman" w:hAnsi="Times New Roman" w:cs="Times New Roman"/>
          <w:b/>
          <w:color w:val="000000" w:themeColor="text1"/>
          <w:sz w:val="32"/>
          <w:szCs w:val="32"/>
          <w:highlight w:val="none"/>
          <w:lang w:val="en-US" w:eastAsia="zh-CN"/>
          <w14:textFill>
            <w14:solidFill>
              <w14:schemeClr w14:val="tx1"/>
            </w14:solidFill>
          </w14:textFill>
        </w:rPr>
        <w:t>二是助力城市更新提升。</w:t>
      </w:r>
      <w:r>
        <w:rPr>
          <w:rFonts w:hint="default" w:ascii="Times New Roman" w:hAnsi="Times New Roman" w:eastAsia="仿宋_GB2312" w:cs="Times New Roman"/>
          <w:b w:val="0"/>
          <w:bCs w:val="0"/>
          <w:kern w:val="0"/>
          <w:sz w:val="32"/>
          <w:szCs w:val="32"/>
          <w:highlight w:val="none"/>
          <w:lang w:val="en-US" w:eastAsia="zh-CN"/>
        </w:rPr>
        <w:t>安排专项债资金2200万元用于劳动村二期和瓷器新村棚户区改造，争取上级基建投资资金2120万元，持续推进保障性租赁住房和老旧小区改造，补齐基础设施的短板。支持城市综合治理提升，拨付文明创建、环卫市场化作业、垃圾分类等经费1120万元，持续推进全国文明城市创建、农贸市场、物业小区等重点区域环境改善，更好服务人民高品质生活需求。</w:t>
      </w:r>
      <w:r>
        <w:rPr>
          <w:rFonts w:hint="default" w:ascii="Times New Roman" w:hAnsi="Times New Roman" w:cs="Times New Roman"/>
          <w:b/>
          <w:color w:val="000000" w:themeColor="text1"/>
          <w:sz w:val="32"/>
          <w:szCs w:val="32"/>
          <w:highlight w:val="none"/>
          <w:lang w:val="en-US" w:eastAsia="zh-CN"/>
          <w14:textFill>
            <w14:solidFill>
              <w14:schemeClr w14:val="tx1"/>
            </w14:solidFill>
          </w14:textFill>
        </w:rPr>
        <w:t>三是支撑生态保护修复。</w:t>
      </w:r>
      <w:r>
        <w:rPr>
          <w:rFonts w:hint="default" w:ascii="Times New Roman" w:hAnsi="Times New Roman" w:eastAsia="仿宋_GB2312" w:cs="Times New Roman"/>
          <w:b w:val="0"/>
          <w:bCs w:val="0"/>
          <w:kern w:val="0"/>
          <w:sz w:val="32"/>
          <w:szCs w:val="32"/>
          <w:highlight w:val="none"/>
          <w:lang w:val="en-US" w:eastAsia="zh-CN"/>
        </w:rPr>
        <w:t>围绕生态振兴，牢固树立“绿水青山就是金山银山”发展理念，大力推进生态保护修复重大工程，</w:t>
      </w:r>
      <w:r>
        <w:rPr>
          <w:rFonts w:hint="default" w:ascii="Times New Roman" w:hAnsi="Times New Roman" w:eastAsia="仿宋_GB2312" w:cs="Times New Roman"/>
          <w:b w:val="0"/>
          <w:bCs w:val="0"/>
          <w:kern w:val="0"/>
          <w:sz w:val="32"/>
          <w:szCs w:val="32"/>
          <w:highlight w:val="none"/>
          <w:lang w:val="en-US" w:eastAsia="zh-CN"/>
        </w:rPr>
        <w:t>拨付山水林田湖草沙、废弃矿山生态保护修复治理专项资金3793万元，拨付孔李水环境治理项目中央基建投资1595万元。</w:t>
      </w:r>
    </w:p>
    <w:p w14:paraId="004769EE">
      <w:pPr>
        <w:keepNext w:val="0"/>
        <w:keepLines w:val="0"/>
        <w:pageBreakBefore w:val="0"/>
        <w:widowControl w:val="0"/>
        <w:numPr>
          <w:ilvl w:val="0"/>
          <w:numId w:val="0"/>
        </w:numPr>
        <w:kinsoku/>
        <w:wordWrap/>
        <w:overflowPunct w:val="0"/>
        <w:topLinePunct w:val="0"/>
        <w:autoSpaceDE/>
        <w:autoSpaceDN/>
        <w:bidi w:val="0"/>
        <w:spacing w:line="600" w:lineRule="exact"/>
        <w:ind w:firstLine="640"/>
        <w:jc w:val="both"/>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cs="Times New Roman"/>
          <w:b/>
          <w:color w:val="000000" w:themeColor="text1"/>
          <w:sz w:val="32"/>
          <w:szCs w:val="32"/>
          <w:highlight w:val="none"/>
          <w:lang w:val="en-US" w:eastAsia="zh-CN"/>
          <w14:textFill>
            <w14:solidFill>
              <w14:schemeClr w14:val="tx1"/>
            </w14:solidFill>
          </w14:textFill>
        </w:rPr>
        <w:t>（五）在深化改革中强制度、补短板。</w:t>
      </w:r>
      <w:r>
        <w:rPr>
          <w:rFonts w:hint="default" w:ascii="Times New Roman" w:hAnsi="Times New Roman" w:eastAsia="仿宋_GB2312" w:cs="Times New Roman"/>
          <w:b/>
          <w:bCs/>
          <w:kern w:val="0"/>
          <w:sz w:val="32"/>
          <w:szCs w:val="32"/>
          <w:highlight w:val="none"/>
          <w:lang w:val="en-US" w:eastAsia="zh-CN"/>
        </w:rPr>
        <w:t>一是深化零基预算改革。</w:t>
      </w:r>
      <w:r>
        <w:rPr>
          <w:rFonts w:hint="default" w:ascii="Times New Roman" w:hAnsi="Times New Roman" w:eastAsia="仿宋_GB2312" w:cs="Times New Roman"/>
          <w:b w:val="0"/>
          <w:bCs w:val="0"/>
          <w:kern w:val="0"/>
          <w:sz w:val="32"/>
          <w:szCs w:val="32"/>
          <w:highlight w:val="none"/>
          <w:lang w:val="en-US" w:eastAsia="zh-CN"/>
        </w:rPr>
        <w:t>聚焦政府年度重点保障事项，构建集中力量办大事长效机制，把零基预算理念贯穿预算编制和执行全过程，强化财政政策分析研究，提高财政政策的前瞻性和专业度，提高财政治理效能。</w:t>
      </w:r>
      <w:r>
        <w:rPr>
          <w:rFonts w:hint="default" w:ascii="Times New Roman" w:hAnsi="Times New Roman" w:eastAsia="仿宋_GB2312" w:cs="Times New Roman"/>
          <w:b/>
          <w:bCs/>
          <w:sz w:val="32"/>
          <w:szCs w:val="32"/>
          <w:highlight w:val="none"/>
          <w:lang w:val="en-US" w:eastAsia="zh-CN"/>
        </w:rPr>
        <w:t>二是健全财会监督体系。</w:t>
      </w:r>
      <w:r>
        <w:rPr>
          <w:rFonts w:hint="default" w:ascii="Times New Roman" w:hAnsi="Times New Roman" w:eastAsia="仿宋_GB2312" w:cs="Times New Roman"/>
          <w:b w:val="0"/>
          <w:bCs w:val="0"/>
          <w:kern w:val="0"/>
          <w:sz w:val="32"/>
          <w:szCs w:val="32"/>
          <w:highlight w:val="none"/>
          <w:lang w:val="en-US" w:eastAsia="zh-CN"/>
        </w:rPr>
        <w:t>依法履行好财会监督主责，聚焦预算管理、债务管理、国有资产管理等重点领域，加大监督力度。全面落实人大对部门预算审查监督全覆盖的要求，听取并吸纳代表委员有关意见建议，作为改进财政工作、提升预算管理的重要参考。针对区级财政管理相关问题，严肃认真抓好整改工作，确保整改到位、取得实效。</w:t>
      </w:r>
      <w:r>
        <w:rPr>
          <w:rFonts w:hint="default" w:ascii="Times New Roman" w:hAnsi="Times New Roman" w:eastAsia="仿宋_GB2312" w:cs="Times New Roman"/>
          <w:b/>
          <w:bCs/>
          <w:sz w:val="32"/>
          <w:szCs w:val="32"/>
          <w:highlight w:val="none"/>
          <w:lang w:val="en-US" w:eastAsia="zh-CN"/>
        </w:rPr>
        <w:t>三是持续提升绩效管理水平。</w:t>
      </w:r>
      <w:r>
        <w:rPr>
          <w:rFonts w:hint="default" w:ascii="Times New Roman" w:hAnsi="Times New Roman" w:eastAsia="仿宋_GB2312" w:cs="Times New Roman"/>
          <w:b w:val="0"/>
          <w:bCs w:val="0"/>
          <w:kern w:val="0"/>
          <w:sz w:val="32"/>
          <w:szCs w:val="32"/>
          <w:highlight w:val="none"/>
          <w:lang w:val="en-US" w:eastAsia="zh-CN"/>
        </w:rPr>
        <w:t>全面加强预算绩效管理，坚持预算和绩效管理一体化，将绩效目标与部门预算同步编报、审核和批复，实现绩效评价全覆盖；建立“部门自评+财政重点评价”的绩效评价机制，开展对八公山区孔李地区水环境整治工程等10个项目的财政重点绩效评价，涉及资金12422万元。根据绩效监控和评价结果合理安排项目资金，不断提高资金配置效率和使用效益。</w:t>
      </w:r>
    </w:p>
    <w:p w14:paraId="38311453">
      <w:pPr>
        <w:keepNext w:val="0"/>
        <w:keepLines w:val="0"/>
        <w:pageBreakBefore w:val="0"/>
        <w:widowControl w:val="0"/>
        <w:numPr>
          <w:ilvl w:val="0"/>
          <w:numId w:val="0"/>
        </w:numPr>
        <w:kinsoku/>
        <w:wordWrap/>
        <w:overflowPunct w:val="0"/>
        <w:topLinePunct w:val="0"/>
        <w:autoSpaceDE/>
        <w:autoSpaceDN/>
        <w:bidi w:val="0"/>
        <w:spacing w:line="600" w:lineRule="exact"/>
        <w:ind w:firstLine="640"/>
        <w:jc w:val="both"/>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color w:val="000000" w:themeColor="text1"/>
          <w:sz w:val="32"/>
          <w:szCs w:val="32"/>
          <w:highlight w:val="none"/>
          <w:lang w:val="en-US" w:eastAsia="zh-CN"/>
          <w14:textFill>
            <w14:solidFill>
              <w14:schemeClr w14:val="tx1"/>
            </w14:solidFill>
          </w14:textFill>
        </w:rPr>
        <w:t>（六）在防范风险中守底线、保稳定。</w:t>
      </w:r>
      <w:r>
        <w:rPr>
          <w:rFonts w:hint="default" w:ascii="Times New Roman" w:hAnsi="Times New Roman" w:eastAsia="仿宋_GB2312" w:cs="Times New Roman"/>
          <w:sz w:val="32"/>
          <w:szCs w:val="32"/>
          <w:highlight w:val="none"/>
          <w:lang w:val="en-US" w:eastAsia="zh-CN"/>
        </w:rPr>
        <w:t>坚持高质量发展、高水平安全，牢牢把握风险防控的主动权，筑牢</w:t>
      </w:r>
      <w:r>
        <w:rPr>
          <w:rFonts w:hint="default" w:ascii="Times New Roman" w:hAnsi="Times New Roman" w:eastAsia="仿宋_GB2312" w:cs="Times New Roman"/>
          <w:sz w:val="32"/>
          <w:szCs w:val="32"/>
          <w:highlight w:val="none"/>
          <w:lang w:val="en-US" w:eastAsia="zh-CN"/>
        </w:rPr>
        <w:t>财政可持续发展的安全根基。</w:t>
      </w:r>
      <w:r>
        <w:rPr>
          <w:rFonts w:hint="default" w:ascii="Times New Roman" w:hAnsi="Times New Roman" w:eastAsia="仿宋_GB2312" w:cs="Times New Roman"/>
          <w:b/>
          <w:bCs/>
          <w:sz w:val="32"/>
          <w:szCs w:val="32"/>
          <w:highlight w:val="none"/>
          <w:lang w:val="en-US" w:eastAsia="zh-CN"/>
        </w:rPr>
        <w:t>一是坚决守牢“三保”风险底线。</w:t>
      </w:r>
      <w:r>
        <w:rPr>
          <w:rFonts w:hint="default" w:ascii="Times New Roman" w:hAnsi="Times New Roman" w:eastAsia="仿宋_GB2312" w:cs="Times New Roman"/>
          <w:sz w:val="32"/>
          <w:szCs w:val="32"/>
          <w:highlight w:val="none"/>
          <w:lang w:val="en-US" w:eastAsia="zh-CN"/>
        </w:rPr>
        <w:t>坚持“三保”支出在预算编列中的优先顺序，优先足额保障“三保”支出，编制“三保”支出清单，压实部门对“三保”的预算执行责任，坚决兜牢“三保”底线</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b/>
          <w:bCs/>
          <w:sz w:val="32"/>
          <w:szCs w:val="32"/>
          <w:highlight w:val="none"/>
          <w:lang w:val="en-US" w:eastAsia="zh-CN"/>
        </w:rPr>
        <w:t>二是坚决守牢债务风险底线。</w:t>
      </w:r>
      <w:r>
        <w:rPr>
          <w:rFonts w:hint="default" w:ascii="Times New Roman" w:hAnsi="Times New Roman" w:eastAsia="仿宋_GB2312" w:cs="Times New Roman"/>
          <w:sz w:val="32"/>
          <w:szCs w:val="32"/>
          <w:highlight w:val="none"/>
          <w:lang w:val="en-US" w:eastAsia="zh-CN"/>
        </w:rPr>
        <w:t>认真落实党中央关于加强政府债务管理和防范化解地方政府债务风险的决策部署，强化限额管理和预算管理，加强常态化监督机制，依托穿透式监测系统、全口径债务监测平台、地方政府法定债务管理信息系统等，做好常态化监管。</w:t>
      </w:r>
      <w:r>
        <w:rPr>
          <w:rFonts w:hint="default" w:ascii="Times New Roman" w:hAnsi="Times New Roman" w:eastAsia="仿宋_GB2312" w:cs="Times New Roman"/>
          <w:b/>
          <w:bCs/>
          <w:sz w:val="32"/>
          <w:szCs w:val="32"/>
          <w:highlight w:val="none"/>
          <w:lang w:val="en-US" w:eastAsia="zh-CN"/>
        </w:rPr>
        <w:t>三是坚决守牢金融风险底线。</w:t>
      </w:r>
      <w:r>
        <w:rPr>
          <w:rFonts w:hint="default" w:ascii="Times New Roman" w:hAnsi="Times New Roman" w:eastAsia="仿宋_GB2312" w:cs="Times New Roman"/>
          <w:sz w:val="32"/>
          <w:szCs w:val="32"/>
          <w:highlight w:val="none"/>
          <w:lang w:val="en-US" w:eastAsia="zh-CN"/>
        </w:rPr>
        <w:t>防范化解金融风险，保障实体经济健康发展。</w:t>
      </w:r>
      <w:r>
        <w:rPr>
          <w:rFonts w:hint="default" w:ascii="Times New Roman" w:hAnsi="Times New Roman" w:eastAsia="仿宋_GB2312" w:cs="Times New Roman"/>
          <w:sz w:val="32"/>
          <w:szCs w:val="32"/>
          <w:highlight w:val="none"/>
          <w:lang w:val="en-US" w:eastAsia="zh-CN"/>
        </w:rPr>
        <w:t>开展防范非法金融活动宣传及线索摸排</w:t>
      </w:r>
      <w:r>
        <w:rPr>
          <w:rFonts w:hint="default" w:ascii="Times New Roman" w:hAnsi="Times New Roman" w:eastAsia="仿宋_GB2312" w:cs="Times New Roman"/>
          <w:sz w:val="32"/>
          <w:szCs w:val="32"/>
          <w:highlight w:val="none"/>
          <w:lang w:val="en-US" w:eastAsia="zh-CN"/>
        </w:rPr>
        <w:t>，紧盯重点领域、重点案件、重点地区，利用大数据风险监测预警，开展大排查行动，营造全社会群防共治的良好氛围。</w:t>
      </w:r>
    </w:p>
    <w:p w14:paraId="685B0345">
      <w:pPr>
        <w:keepNext w:val="0"/>
        <w:keepLines w:val="0"/>
        <w:pageBreakBefore w:val="0"/>
        <w:widowControl w:val="0"/>
        <w:numPr>
          <w:ilvl w:val="0"/>
          <w:numId w:val="0"/>
        </w:numPr>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sz w:val="32"/>
          <w:szCs w:val="32"/>
          <w:highlight w:val="none"/>
        </w:rPr>
        <w:t>总体来看，202</w:t>
      </w:r>
      <w:r>
        <w:rPr>
          <w:rFonts w:hint="default" w:ascii="Times New Roman" w:hAnsi="Times New Roman" w:eastAsia="仿宋_GB2312" w:cs="Times New Roman"/>
          <w:color w:val="000000"/>
          <w:sz w:val="32"/>
          <w:szCs w:val="32"/>
          <w:highlight w:val="none"/>
          <w:lang w:val="en-US" w:eastAsia="zh-CN"/>
        </w:rPr>
        <w:t>4</w:t>
      </w:r>
      <w:r>
        <w:rPr>
          <w:rFonts w:hint="default" w:ascii="Times New Roman" w:hAnsi="Times New Roman" w:eastAsia="仿宋_GB2312" w:cs="Times New Roman"/>
          <w:color w:val="000000"/>
          <w:sz w:val="32"/>
          <w:szCs w:val="32"/>
          <w:highlight w:val="none"/>
        </w:rPr>
        <w:t>年各项财政工作稳步推进，取得了新的进展。同时，我们也清醒地认识到，财政运行还存在一些不足和短板。主要体现在：</w:t>
      </w:r>
      <w:r>
        <w:rPr>
          <w:rFonts w:hint="default" w:ascii="Times New Roman" w:hAnsi="Times New Roman" w:eastAsia="仿宋_GB2312" w:cs="Times New Roman"/>
          <w:sz w:val="32"/>
          <w:szCs w:val="32"/>
          <w:highlight w:val="none"/>
        </w:rPr>
        <w:t>区</w:t>
      </w:r>
      <w:r>
        <w:rPr>
          <w:rFonts w:hint="default" w:ascii="Times New Roman" w:hAnsi="Times New Roman" w:eastAsia="仿宋_GB2312" w:cs="Times New Roman"/>
          <w:sz w:val="32"/>
          <w:szCs w:val="32"/>
          <w:highlight w:val="none"/>
        </w:rPr>
        <w:t>级</w:t>
      </w:r>
      <w:r>
        <w:rPr>
          <w:rFonts w:hint="default" w:ascii="Times New Roman" w:hAnsi="Times New Roman" w:eastAsia="仿宋_GB2312" w:cs="Times New Roman"/>
          <w:sz w:val="32"/>
          <w:szCs w:val="32"/>
          <w:highlight w:val="none"/>
        </w:rPr>
        <w:t>财力薄弱、</w:t>
      </w:r>
      <w:r>
        <w:rPr>
          <w:rFonts w:hint="default" w:ascii="Times New Roman" w:hAnsi="Times New Roman" w:eastAsia="仿宋_GB2312" w:cs="Times New Roman"/>
          <w:sz w:val="32"/>
          <w:szCs w:val="32"/>
          <w:highlight w:val="none"/>
        </w:rPr>
        <w:t>收支矛盾依然突出、</w:t>
      </w:r>
      <w:r>
        <w:rPr>
          <w:rFonts w:hint="default" w:ascii="Times New Roman" w:hAnsi="Times New Roman" w:eastAsia="仿宋_GB2312" w:cs="Times New Roman"/>
          <w:color w:val="000000"/>
          <w:sz w:val="32"/>
          <w:szCs w:val="32"/>
          <w:highlight w:val="none"/>
        </w:rPr>
        <w:t>地方政府债务的压力持续加大</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bCs/>
          <w:kern w:val="36"/>
          <w:sz w:val="32"/>
          <w:szCs w:val="32"/>
          <w:highlight w:val="none"/>
          <w:lang w:eastAsia="zh-CN"/>
        </w:rPr>
        <w:t>零基预算改革还需深入、国资国企管理有待加强等。</w:t>
      </w:r>
      <w:r>
        <w:rPr>
          <w:rFonts w:hint="default" w:ascii="Times New Roman" w:hAnsi="Times New Roman" w:eastAsia="仿宋_GB2312" w:cs="Times New Roman"/>
          <w:bCs/>
          <w:kern w:val="36"/>
          <w:sz w:val="32"/>
          <w:szCs w:val="32"/>
          <w:highlight w:val="none"/>
        </w:rPr>
        <w:t>对此，我们将高度重视</w:t>
      </w:r>
      <w:r>
        <w:rPr>
          <w:rFonts w:hint="default" w:ascii="Times New Roman" w:hAnsi="Times New Roman" w:eastAsia="仿宋_GB2312" w:cs="Times New Roman"/>
          <w:bCs/>
          <w:color w:val="000000"/>
          <w:kern w:val="36"/>
          <w:sz w:val="32"/>
          <w:szCs w:val="32"/>
          <w:highlight w:val="none"/>
        </w:rPr>
        <w:t>，积极加以解决。</w:t>
      </w:r>
    </w:p>
    <w:p w14:paraId="43B0B572">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三、202</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黑体" w:cs="Times New Roman"/>
          <w:color w:val="000000" w:themeColor="text1"/>
          <w:sz w:val="32"/>
          <w:szCs w:val="32"/>
          <w:highlight w:val="none"/>
          <w14:textFill>
            <w14:solidFill>
              <w14:schemeClr w14:val="tx1"/>
            </w14:solidFill>
          </w14:textFill>
        </w:rPr>
        <w:t>年财政预算草案</w:t>
      </w:r>
    </w:p>
    <w:p w14:paraId="64FD330F">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eastAsia="仿宋_GB2312" w:cs="Times New Roman"/>
          <w:sz w:val="32"/>
          <w:szCs w:val="32"/>
          <w:highlight w:val="none"/>
        </w:rPr>
      </w:pPr>
      <w:r>
        <w:rPr>
          <w:rFonts w:hint="default" w:ascii="Times New Roman" w:hAnsi="Times New Roman" w:cs="Times New Roman"/>
          <w:b/>
          <w:bCs/>
          <w:sz w:val="32"/>
          <w:szCs w:val="32"/>
          <w:highlight w:val="none"/>
        </w:rPr>
        <w:t>（一）预算安排原则</w:t>
      </w:r>
    </w:p>
    <w:p w14:paraId="2D46FBBC">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年预算编制主要坚持以下原则：紧紧围绕区委</w:t>
      </w:r>
      <w:r>
        <w:rPr>
          <w:rFonts w:hint="default" w:ascii="Times New Roman" w:hAnsi="Times New Roman" w:eastAsia="仿宋_GB2312" w:cs="Times New Roman"/>
          <w:sz w:val="32"/>
          <w:szCs w:val="32"/>
          <w:highlight w:val="none"/>
          <w:lang w:eastAsia="zh-CN"/>
        </w:rPr>
        <w:t>、区政府</w:t>
      </w:r>
      <w:r>
        <w:rPr>
          <w:rFonts w:hint="default" w:ascii="Times New Roman" w:hAnsi="Times New Roman" w:eastAsia="仿宋_GB2312" w:cs="Times New Roman"/>
          <w:sz w:val="32"/>
          <w:szCs w:val="32"/>
          <w:highlight w:val="none"/>
        </w:rPr>
        <w:t>各项决策部署，在充分听取人大代表相关意见的基础上，按照区域经济社会发展需要，结合2024年部门预算执行情况，确定 2025年部门预算工作编制思路，编制方案。加强全口径预算管理。坚持“零基预算”理念，各项支出需求按照轻重缓急纳入部门预算。加大项目精简整合力度，从严控制会议费、差旅费、培训费等一般性支出，</w:t>
      </w:r>
      <w:r>
        <w:rPr>
          <w:rFonts w:hint="default" w:ascii="Times New Roman" w:hAnsi="Times New Roman" w:eastAsia="仿宋_GB2312" w:cs="Times New Roman"/>
          <w:sz w:val="32"/>
          <w:szCs w:val="32"/>
          <w:highlight w:val="none"/>
          <w:lang w:val="en-US" w:eastAsia="zh-CN"/>
        </w:rPr>
        <w:t>一般性支出整体压减5%</w:t>
      </w:r>
      <w:r>
        <w:rPr>
          <w:rFonts w:hint="default" w:ascii="Times New Roman" w:hAnsi="Times New Roman" w:eastAsia="仿宋_GB2312" w:cs="Times New Roman"/>
          <w:sz w:val="32"/>
          <w:szCs w:val="32"/>
          <w:highlight w:val="none"/>
        </w:rPr>
        <w:t>。合理编制政府采购预算，严格执行资产配置标准，不断提高部门预算编制质量，确保财政运行平稳可持续。</w:t>
      </w:r>
    </w:p>
    <w:p w14:paraId="16CAB1FF">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cs="Times New Roman"/>
          <w:b/>
          <w:bCs/>
          <w:sz w:val="32"/>
          <w:szCs w:val="32"/>
          <w:highlight w:val="none"/>
        </w:rPr>
      </w:pPr>
      <w:r>
        <w:rPr>
          <w:rFonts w:hint="default" w:ascii="Times New Roman" w:hAnsi="Times New Roman" w:cs="Times New Roman"/>
          <w:b/>
          <w:bCs/>
          <w:sz w:val="32"/>
          <w:szCs w:val="32"/>
          <w:highlight w:val="none"/>
        </w:rPr>
        <w:t>（二）一般公共预算安排草案</w:t>
      </w:r>
    </w:p>
    <w:p w14:paraId="119A97AC">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全区一般公共预算安排情况：</w:t>
      </w:r>
      <w:bookmarkStart w:id="1" w:name="OLE_LINK2"/>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年，全区一般公共预算收入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24260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b w:val="0"/>
          <w:bCs/>
          <w:color w:val="auto"/>
          <w:kern w:val="0"/>
          <w:sz w:val="32"/>
          <w:szCs w:val="32"/>
          <w:highlight w:val="none"/>
        </w:rPr>
        <w:t>同比</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增长</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%。按照现行财政体制计算，加上级补助收入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33450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万元（含上级提前下达的专项转移支付），加调入资金</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5548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加一般债券转贷收入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1415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本年可用财力预计为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64673</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减</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上解支出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00万元，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减一般债券还本支出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1573</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安排财政支出预算</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6500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元，财政收支平衡。</w:t>
      </w:r>
    </w:p>
    <w:p w14:paraId="29855A1F">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全区一般公共预算收入安排</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24260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万元，其中：税收收入</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8450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万元（增值税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4560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万元、企业所得税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880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万元、个人所得税</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万元、地方工商税收2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59</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非税收入</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1</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5810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p>
    <w:bookmarkEnd w:id="1"/>
    <w:p w14:paraId="4A5C5A4C">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全区一般公共预算支出安排5</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6500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万元，其中：一般公共服务支出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3990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国防支出150万元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公共安全支出3</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教育支出122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80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科学技术支出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44</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文化旅游体育与传媒支出680万元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社会保障和就业支出1</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7080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卫生健康支出46</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节能环保支出2</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城乡社区支出5</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农林水支出3</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90</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资源勘探信息等支出1</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商业服务业等支出150万元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住房保障支出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3607</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灾害防治及应急管理支出</w:t>
      </w:r>
      <w:r>
        <w:rPr>
          <w:rFonts w:hint="default" w:ascii="Times New Roman" w:hAnsi="Times New Roman" w:eastAsia="仿宋_GB2312" w:cs="Times New Roman"/>
          <w:color w:val="000000" w:themeColor="text1"/>
          <w:kern w:val="0"/>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00万元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预备费支出600万元</w:t>
      </w:r>
      <w:r>
        <w:rPr>
          <w:rFonts w:hint="default" w:ascii="Times New Roman" w:hAnsi="Times New Roman" w:eastAsia="仿宋_GB2312" w:cs="Times New Roman"/>
          <w:color w:val="000000" w:themeColor="text1"/>
          <w:kern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14:textFill>
            <w14:solidFill>
              <w14:schemeClr w14:val="tx1"/>
            </w14:solidFill>
          </w14:textFill>
        </w:rPr>
        <w:t>债务还本付息及发行费用支出593万元。</w:t>
      </w:r>
    </w:p>
    <w:p w14:paraId="775D977C">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黑体" w:cs="Times New Roman"/>
          <w:bCs/>
          <w:color w:val="000000" w:themeColor="text1"/>
          <w:sz w:val="32"/>
          <w:szCs w:val="32"/>
          <w:highlight w:val="none"/>
          <w14:textFill>
            <w14:solidFill>
              <w14:schemeClr w14:val="tx1"/>
            </w14:solidFill>
          </w14:textFill>
        </w:rPr>
      </w:pPr>
      <w:r>
        <w:rPr>
          <w:rFonts w:hint="default" w:ascii="Times New Roman" w:hAnsi="Times New Roman" w:eastAsia="黑体" w:cs="Times New Roman"/>
          <w:bCs/>
          <w:color w:val="000000" w:themeColor="text1"/>
          <w:sz w:val="32"/>
          <w:szCs w:val="32"/>
          <w:highlight w:val="none"/>
          <w14:textFill>
            <w14:solidFill>
              <w14:schemeClr w14:val="tx1"/>
            </w14:solidFill>
          </w14:textFill>
        </w:rPr>
        <w:t>四、202</w:t>
      </w:r>
      <w:r>
        <w:rPr>
          <w:rFonts w:hint="default" w:ascii="Times New Roman" w:hAnsi="Times New Roman" w:eastAsia="黑体" w:cs="Times New Roman"/>
          <w:bCs/>
          <w:color w:val="000000" w:themeColor="text1"/>
          <w:sz w:val="32"/>
          <w:szCs w:val="32"/>
          <w:highlight w:val="none"/>
          <w:lang w:val="en-US" w:eastAsia="zh-CN"/>
          <w14:textFill>
            <w14:solidFill>
              <w14:schemeClr w14:val="tx1"/>
            </w14:solidFill>
          </w14:textFill>
        </w:rPr>
        <w:t>5</w:t>
      </w:r>
      <w:r>
        <w:rPr>
          <w:rFonts w:hint="default" w:ascii="Times New Roman" w:hAnsi="Times New Roman" w:eastAsia="黑体" w:cs="Times New Roman"/>
          <w:bCs/>
          <w:color w:val="000000" w:themeColor="text1"/>
          <w:sz w:val="32"/>
          <w:szCs w:val="32"/>
          <w:highlight w:val="none"/>
          <w14:textFill>
            <w14:solidFill>
              <w14:schemeClr w14:val="tx1"/>
            </w14:solidFill>
          </w14:textFill>
        </w:rPr>
        <w:t>年财政工作谋划</w:t>
      </w:r>
    </w:p>
    <w:p w14:paraId="7C65BEAF">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年，我们将全面贯彻落实党的二十大、二十届二中</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三中全会精神，在区委</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、区政府</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的坚强领导下，树牢“大财政”理念，扎实推进财政改革发展各项重点工作，推动全</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区</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经济平稳健康发展和社会大局稳定。</w:t>
      </w:r>
    </w:p>
    <w:p w14:paraId="59792B7A">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3" w:firstLineChars="200"/>
        <w:jc w:val="both"/>
        <w:textAlignment w:val="baseline"/>
        <w:rPr>
          <w:rFonts w:hint="default" w:ascii="Times New Roman" w:hAnsi="Times New Roman" w:eastAsia="仿宋_GB2312" w:cs="Times New Roman"/>
          <w:sz w:val="32"/>
          <w:szCs w:val="31"/>
          <w:highlight w:val="none"/>
        </w:rPr>
      </w:pPr>
      <w:r>
        <w:rPr>
          <w:rFonts w:hint="default" w:ascii="Times New Roman" w:hAnsi="Times New Roman" w:cs="Times New Roman"/>
          <w:b/>
          <w:bCs/>
          <w:sz w:val="32"/>
          <w:szCs w:val="32"/>
          <w:highlight w:val="none"/>
          <w:lang w:eastAsia="zh-CN"/>
        </w:rPr>
        <w:t>（</w:t>
      </w:r>
      <w:r>
        <w:rPr>
          <w:rFonts w:hint="default" w:ascii="Times New Roman" w:hAnsi="Times New Roman" w:cs="Times New Roman"/>
          <w:b/>
          <w:bCs/>
          <w:sz w:val="32"/>
          <w:szCs w:val="32"/>
          <w:highlight w:val="none"/>
          <w:lang w:val="en-US" w:eastAsia="zh-CN"/>
        </w:rPr>
        <w:t>一</w:t>
      </w:r>
      <w:r>
        <w:rPr>
          <w:rFonts w:hint="default" w:ascii="Times New Roman" w:hAnsi="Times New Roman" w:cs="Times New Roman"/>
          <w:b/>
          <w:bCs/>
          <w:sz w:val="32"/>
          <w:szCs w:val="32"/>
          <w:highlight w:val="none"/>
          <w:lang w:eastAsia="zh-CN"/>
        </w:rPr>
        <w:t>）</w:t>
      </w:r>
      <w:r>
        <w:rPr>
          <w:rFonts w:hint="default" w:ascii="Times New Roman" w:hAnsi="Times New Roman" w:cs="Times New Roman"/>
          <w:b/>
          <w:bCs/>
          <w:sz w:val="32"/>
          <w:szCs w:val="32"/>
          <w:highlight w:val="none"/>
        </w:rPr>
        <w:t>壮大地方财源建设，提高财政收入质量。</w:t>
      </w:r>
      <w:r>
        <w:rPr>
          <w:rFonts w:hint="default" w:ascii="Times New Roman" w:hAnsi="Times New Roman" w:eastAsia="仿宋_GB2312" w:cs="Times New Roman"/>
          <w:b/>
          <w:bCs/>
          <w:sz w:val="32"/>
          <w:szCs w:val="32"/>
          <w:highlight w:val="none"/>
        </w:rPr>
        <w:t>一是全力提升收入质量。</w:t>
      </w:r>
      <w:r>
        <w:rPr>
          <w:rFonts w:hint="default" w:ascii="Times New Roman" w:hAnsi="Times New Roman" w:eastAsia="仿宋_GB2312" w:cs="Times New Roman"/>
          <w:sz w:val="32"/>
          <w:szCs w:val="32"/>
          <w:highlight w:val="none"/>
        </w:rPr>
        <w:t>按照高质量财税收入要求，突出“收入目标”和“收入质量”两个重点，着力提高税收收入占一般公共预算收入的比重，坚决做实财政收入。全面加强税收征管，加大重点行业、重点领域税源征收管理，确保应收尽收。</w:t>
      </w:r>
      <w:r>
        <w:rPr>
          <w:rFonts w:hint="default" w:ascii="Times New Roman" w:hAnsi="Times New Roman" w:eastAsia="仿宋_GB2312" w:cs="Times New Roman"/>
          <w:b/>
          <w:bCs/>
          <w:sz w:val="32"/>
          <w:szCs w:val="32"/>
          <w:highlight w:val="none"/>
        </w:rPr>
        <w:t>二是全力向上做好“三争”。</w:t>
      </w:r>
      <w:r>
        <w:rPr>
          <w:rFonts w:hint="default" w:ascii="Times New Roman" w:hAnsi="Times New Roman" w:eastAsia="仿宋_GB2312" w:cs="Times New Roman"/>
          <w:sz w:val="32"/>
          <w:szCs w:val="32"/>
          <w:highlight w:val="none"/>
        </w:rPr>
        <w:t>继续抢抓机遇，积极配合各相关单位向上争政策、争项目、争资金，取得上级的理解支持和</w:t>
      </w:r>
      <w:r>
        <w:rPr>
          <w:rFonts w:hint="default" w:ascii="Times New Roman" w:hAnsi="Times New Roman" w:eastAsia="仿宋_GB2312" w:cs="Times New Roman"/>
          <w:sz w:val="32"/>
          <w:szCs w:val="32"/>
          <w:highlight w:val="none"/>
          <w:lang w:eastAsia="zh-CN"/>
        </w:rPr>
        <w:t>政策</w:t>
      </w:r>
      <w:r>
        <w:rPr>
          <w:rFonts w:hint="default" w:ascii="Times New Roman" w:hAnsi="Times New Roman" w:eastAsia="仿宋_GB2312" w:cs="Times New Roman"/>
          <w:sz w:val="32"/>
          <w:szCs w:val="32"/>
          <w:highlight w:val="none"/>
        </w:rPr>
        <w:t>倾斜。</w:t>
      </w:r>
      <w:r>
        <w:rPr>
          <w:rFonts w:hint="default" w:ascii="Times New Roman" w:hAnsi="Times New Roman" w:eastAsia="仿宋_GB2312" w:cs="Times New Roman"/>
          <w:sz w:val="32"/>
          <w:szCs w:val="32"/>
          <w:highlight w:val="none"/>
          <w:lang w:eastAsia="zh-CN"/>
        </w:rPr>
        <w:t>积极争取</w:t>
      </w:r>
      <w:r>
        <w:rPr>
          <w:rFonts w:hint="default" w:ascii="Times New Roman" w:hAnsi="Times New Roman" w:eastAsia="仿宋_GB2312" w:cs="Times New Roman"/>
          <w:sz w:val="32"/>
          <w:szCs w:val="32"/>
          <w:highlight w:val="none"/>
        </w:rPr>
        <w:t>中央预算内投资、</w:t>
      </w:r>
      <w:r>
        <w:rPr>
          <w:rFonts w:hint="default" w:ascii="Times New Roman" w:hAnsi="Times New Roman" w:eastAsia="仿宋_GB2312" w:cs="Times New Roman"/>
          <w:sz w:val="32"/>
          <w:szCs w:val="32"/>
          <w:highlight w:val="none"/>
          <w:lang w:eastAsia="zh-CN"/>
        </w:rPr>
        <w:t>增发国债、</w:t>
      </w:r>
      <w:r>
        <w:rPr>
          <w:rFonts w:hint="default" w:ascii="Times New Roman" w:hAnsi="Times New Roman" w:eastAsia="仿宋_GB2312" w:cs="Times New Roman"/>
          <w:sz w:val="32"/>
          <w:szCs w:val="32"/>
          <w:highlight w:val="none"/>
        </w:rPr>
        <w:t>地方政府专项债券等</w:t>
      </w:r>
      <w:r>
        <w:rPr>
          <w:rFonts w:hint="default" w:ascii="Times New Roman" w:hAnsi="Times New Roman" w:eastAsia="仿宋_GB2312" w:cs="Times New Roman"/>
          <w:sz w:val="32"/>
          <w:szCs w:val="32"/>
          <w:highlight w:val="none"/>
          <w:lang w:eastAsia="zh-CN"/>
        </w:rPr>
        <w:t>政策支持</w:t>
      </w:r>
      <w:r>
        <w:rPr>
          <w:rFonts w:hint="default" w:ascii="Times New Roman" w:hAnsi="Times New Roman" w:eastAsia="仿宋_GB2312" w:cs="Times New Roman"/>
          <w:sz w:val="32"/>
          <w:szCs w:val="32"/>
          <w:highlight w:val="none"/>
        </w:rPr>
        <w:t>，深度挖潜各类资源资产盘活空间，最大限度提高财政资源统筹能力。</w:t>
      </w:r>
      <w:r>
        <w:rPr>
          <w:rFonts w:hint="default" w:ascii="Times New Roman" w:hAnsi="Times New Roman" w:eastAsia="仿宋_GB2312" w:cs="Times New Roman"/>
          <w:b/>
          <w:bCs/>
          <w:sz w:val="32"/>
          <w:szCs w:val="32"/>
          <w:highlight w:val="none"/>
        </w:rPr>
        <w:t>三是持续优化营商环境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用好政府采购、财政补助、稳岗就业等多种政策工具，确保惠企利民政策应享尽享。</w:t>
      </w:r>
      <w:r>
        <w:rPr>
          <w:rFonts w:hint="default" w:ascii="Times New Roman" w:hAnsi="Times New Roman" w:eastAsia="仿宋_GB2312" w:cs="Times New Roman"/>
          <w:sz w:val="32"/>
          <w:szCs w:val="32"/>
          <w:highlight w:val="none"/>
        </w:rPr>
        <w:t>进一步扩大“免申即享”范围，提升政策兑现效率，推动惠企政策应享尽享全部兑现。</w:t>
      </w:r>
      <w:r>
        <w:rPr>
          <w:rFonts w:hint="default" w:ascii="Times New Roman" w:hAnsi="Times New Roman" w:eastAsia="仿宋_GB2312" w:cs="Times New Roman"/>
          <w:sz w:val="32"/>
          <w:szCs w:val="31"/>
          <w:highlight w:val="none"/>
        </w:rPr>
        <w:t>鼓励和支持辖区金融机构持续加大普惠信贷支持力度，进一步推进普惠金融扩面增量、提质降本</w:t>
      </w:r>
      <w:r>
        <w:rPr>
          <w:rFonts w:hint="default" w:ascii="Times New Roman" w:hAnsi="Times New Roman" w:eastAsia="仿宋_GB2312" w:cs="Times New Roman"/>
          <w:sz w:val="32"/>
          <w:szCs w:val="31"/>
          <w:highlight w:val="none"/>
        </w:rPr>
        <w:t>。</w:t>
      </w:r>
    </w:p>
    <w:p w14:paraId="74612F1D">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3" w:firstLineChars="200"/>
        <w:jc w:val="both"/>
        <w:textAlignment w:val="baseline"/>
        <w:rPr>
          <w:rFonts w:hint="default" w:ascii="Times New Roman" w:hAnsi="Times New Roman" w:eastAsia="仿宋_GB2312" w:cs="Times New Roman"/>
          <w:sz w:val="32"/>
          <w:szCs w:val="32"/>
          <w:highlight w:val="none"/>
        </w:rPr>
      </w:pPr>
      <w:r>
        <w:rPr>
          <w:rFonts w:hint="default" w:ascii="Times New Roman" w:hAnsi="Times New Roman" w:cs="Times New Roman"/>
          <w:b/>
          <w:bCs/>
          <w:sz w:val="32"/>
          <w:szCs w:val="32"/>
          <w:highlight w:val="none"/>
        </w:rPr>
        <w:t>（二）深化财政体制改革，加快现代财政制度建设。</w:t>
      </w:r>
      <w:r>
        <w:rPr>
          <w:rFonts w:hint="default" w:ascii="Times New Roman" w:hAnsi="Times New Roman" w:eastAsia="仿宋_GB2312" w:cs="Times New Roman"/>
          <w:b/>
          <w:bCs/>
          <w:sz w:val="32"/>
          <w:szCs w:val="32"/>
          <w:highlight w:val="none"/>
        </w:rPr>
        <w:t>一是加大预算管理体制改革力度。</w:t>
      </w:r>
      <w:r>
        <w:rPr>
          <w:rFonts w:hint="default" w:ascii="Times New Roman" w:hAnsi="Times New Roman" w:eastAsia="仿宋_GB2312" w:cs="Times New Roman"/>
          <w:sz w:val="32"/>
          <w:szCs w:val="32"/>
          <w:highlight w:val="none"/>
        </w:rPr>
        <w:t>强化预算编制的科学性和精准性</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做好“压、减、控、保”文章</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健全节约型财政保障机制，推动党政机关习惯过紧日子，将有限的资金用在刀刃上、花在关键处；推动绩效评价深度融入业务流程，逐步实现绩效管理与业务工作互促互进。全面深化财政电子票据普及应用，扩大改革覆盖面，提速“互联网+政务服务”工作。</w:t>
      </w:r>
      <w:r>
        <w:rPr>
          <w:rFonts w:hint="default" w:ascii="Times New Roman" w:hAnsi="Times New Roman" w:eastAsia="仿宋_GB2312" w:cs="Times New Roman"/>
          <w:b/>
          <w:bCs/>
          <w:sz w:val="32"/>
          <w:szCs w:val="32"/>
          <w:highlight w:val="none"/>
          <w:lang w:eastAsia="zh-CN"/>
        </w:rPr>
        <w:t>二</w:t>
      </w:r>
      <w:r>
        <w:rPr>
          <w:rFonts w:hint="default" w:ascii="Times New Roman" w:hAnsi="Times New Roman" w:eastAsia="仿宋_GB2312" w:cs="Times New Roman"/>
          <w:b/>
          <w:bCs/>
          <w:sz w:val="32"/>
          <w:szCs w:val="32"/>
          <w:highlight w:val="none"/>
        </w:rPr>
        <w:t>是加大国资国企改革力度。</w:t>
      </w:r>
      <w:r>
        <w:rPr>
          <w:rFonts w:hint="default" w:ascii="Times New Roman" w:hAnsi="Times New Roman" w:eastAsia="仿宋_GB2312" w:cs="Times New Roman"/>
          <w:sz w:val="32"/>
          <w:szCs w:val="32"/>
          <w:highlight w:val="none"/>
        </w:rPr>
        <w:t>进一步</w:t>
      </w:r>
      <w:r>
        <w:rPr>
          <w:rFonts w:hint="default" w:ascii="Times New Roman" w:hAnsi="Times New Roman" w:eastAsia="仿宋_GB2312" w:cs="Times New Roman"/>
          <w:sz w:val="32"/>
          <w:szCs w:val="32"/>
          <w:highlight w:val="none"/>
          <w:lang w:eastAsia="zh-CN"/>
        </w:rPr>
        <w:t>落实</w:t>
      </w:r>
      <w:r>
        <w:rPr>
          <w:rFonts w:hint="default" w:ascii="Times New Roman" w:hAnsi="Times New Roman" w:eastAsia="仿宋_GB2312" w:cs="Times New Roman"/>
          <w:sz w:val="32"/>
          <w:szCs w:val="32"/>
          <w:highlight w:val="none"/>
        </w:rPr>
        <w:t>国有企业改革深化提升行动，加快国有经济布局优化和结构调整，切实发挥国有企业在建设现代化产业体系、构建新发展格局中的产业控制、安全支撑作用。健全以管资本为主的国资监管体制，完善中国特色国有企业现代公司治理，做强做优做大国有资本和国有企业</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b/>
          <w:bCs/>
          <w:sz w:val="32"/>
          <w:szCs w:val="32"/>
          <w:highlight w:val="none"/>
          <w:lang w:eastAsia="zh-CN"/>
        </w:rPr>
        <w:t>三</w:t>
      </w:r>
      <w:r>
        <w:rPr>
          <w:rFonts w:hint="default" w:ascii="Times New Roman" w:hAnsi="Times New Roman" w:eastAsia="仿宋_GB2312" w:cs="Times New Roman"/>
          <w:b/>
          <w:bCs/>
          <w:sz w:val="32"/>
          <w:szCs w:val="32"/>
          <w:highlight w:val="none"/>
        </w:rPr>
        <w:t>是加大财政监督管理力度。</w:t>
      </w:r>
      <w:r>
        <w:rPr>
          <w:rFonts w:hint="default" w:ascii="Times New Roman" w:hAnsi="Times New Roman" w:eastAsia="仿宋_GB2312" w:cs="Times New Roman"/>
          <w:sz w:val="32"/>
          <w:szCs w:val="32"/>
          <w:highlight w:val="none"/>
        </w:rPr>
        <w:t>严明财经纪律，整饬财经秩序，更好发挥财政监督作用，对于巡视、巡察、审计和</w:t>
      </w:r>
      <w:r>
        <w:rPr>
          <w:rFonts w:hint="default" w:ascii="Times New Roman" w:hAnsi="Times New Roman" w:eastAsia="仿宋_GB2312" w:cs="Times New Roman"/>
          <w:sz w:val="32"/>
          <w:szCs w:val="32"/>
          <w:highlight w:val="none"/>
          <w:lang w:eastAsia="zh-CN"/>
        </w:rPr>
        <w:t>财会监督</w:t>
      </w:r>
      <w:r>
        <w:rPr>
          <w:rFonts w:hint="default" w:ascii="Times New Roman" w:hAnsi="Times New Roman" w:eastAsia="仿宋_GB2312" w:cs="Times New Roman"/>
          <w:sz w:val="32"/>
          <w:szCs w:val="32"/>
          <w:highlight w:val="none"/>
        </w:rPr>
        <w:t>过程中发现的违规问题，坚持即知即改、立行立改，切实把财</w:t>
      </w:r>
      <w:r>
        <w:rPr>
          <w:rFonts w:hint="default" w:ascii="Times New Roman" w:hAnsi="Times New Roman" w:eastAsia="仿宋_GB2312" w:cs="Times New Roman"/>
          <w:sz w:val="32"/>
          <w:szCs w:val="32"/>
          <w:highlight w:val="none"/>
          <w:lang w:eastAsia="zh-CN"/>
        </w:rPr>
        <w:t>经</w:t>
      </w:r>
      <w:r>
        <w:rPr>
          <w:rFonts w:hint="default" w:ascii="Times New Roman" w:hAnsi="Times New Roman" w:eastAsia="仿宋_GB2312" w:cs="Times New Roman"/>
          <w:sz w:val="32"/>
          <w:szCs w:val="32"/>
          <w:highlight w:val="none"/>
        </w:rPr>
        <w:t>纪律和各项管理制度落到实处。</w:t>
      </w:r>
    </w:p>
    <w:p w14:paraId="3FDFF85E">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3" w:firstLineChars="200"/>
        <w:jc w:val="both"/>
        <w:textAlignment w:val="baseline"/>
        <w:rPr>
          <w:rFonts w:hint="default" w:ascii="Times New Roman" w:hAnsi="Times New Roman" w:eastAsia="仿宋_GB2312" w:cs="Times New Roman"/>
          <w:sz w:val="32"/>
          <w:szCs w:val="32"/>
          <w:highlight w:val="none"/>
        </w:rPr>
      </w:pPr>
      <w:r>
        <w:rPr>
          <w:rFonts w:hint="default" w:ascii="Times New Roman" w:hAnsi="Times New Roman" w:cs="Times New Roman"/>
          <w:b/>
          <w:bCs/>
          <w:sz w:val="32"/>
          <w:szCs w:val="32"/>
          <w:highlight w:val="none"/>
        </w:rPr>
        <w:t>（三）加强民生保障投入，充分发挥财政职能作用。</w:t>
      </w:r>
      <w:r>
        <w:rPr>
          <w:rFonts w:hint="default" w:ascii="Times New Roman" w:hAnsi="Times New Roman" w:eastAsia="仿宋_GB2312" w:cs="Times New Roman"/>
          <w:b/>
          <w:bCs/>
          <w:sz w:val="32"/>
          <w:szCs w:val="32"/>
          <w:highlight w:val="none"/>
        </w:rPr>
        <w:t>一是大力落实社会保障政策。</w:t>
      </w:r>
      <w:r>
        <w:rPr>
          <w:rFonts w:hint="default" w:ascii="Times New Roman" w:hAnsi="Times New Roman" w:eastAsia="仿宋_GB2312" w:cs="Times New Roman"/>
          <w:sz w:val="32"/>
          <w:szCs w:val="32"/>
          <w:highlight w:val="none"/>
        </w:rPr>
        <w:t>坚持守住底线、突出重点、完善制度、引导预期，全力保障基本民生需求；稳步提高城乡低保等社会救助、城乡居民养老保险等社会保险待遇，加强对特困人员、残疾人的兜底保障；支持居家和社区养老服务</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促进养老服务增加供给、改善质量。</w:t>
      </w:r>
      <w:r>
        <w:rPr>
          <w:rFonts w:hint="default" w:ascii="Times New Roman" w:hAnsi="Times New Roman" w:eastAsia="仿宋_GB2312" w:cs="Times New Roman"/>
          <w:b/>
          <w:bCs/>
          <w:sz w:val="32"/>
          <w:szCs w:val="32"/>
          <w:highlight w:val="none"/>
        </w:rPr>
        <w:t>二是大力支持教育事业发展。</w:t>
      </w:r>
      <w:r>
        <w:rPr>
          <w:rFonts w:hint="default" w:ascii="Times New Roman" w:hAnsi="Times New Roman" w:eastAsia="仿宋_GB2312" w:cs="Times New Roman"/>
          <w:sz w:val="32"/>
          <w:szCs w:val="32"/>
          <w:highlight w:val="none"/>
        </w:rPr>
        <w:t>继续支持教育基础设施建设，推进城乡义务教育均衡发展，保障“双减”政策落地见效；落实义务教育</w:t>
      </w:r>
      <w:r>
        <w:rPr>
          <w:rFonts w:hint="default" w:ascii="Times New Roman" w:hAnsi="Times New Roman" w:eastAsia="仿宋_GB2312" w:cs="Times New Roman"/>
          <w:sz w:val="32"/>
          <w:szCs w:val="32"/>
          <w:highlight w:val="none"/>
          <w:lang w:val="en-US" w:eastAsia="zh-CN"/>
        </w:rPr>
        <w:t>公用经费制度</w:t>
      </w:r>
      <w:r>
        <w:rPr>
          <w:rFonts w:hint="default" w:ascii="Times New Roman" w:hAnsi="Times New Roman" w:eastAsia="仿宋_GB2312" w:cs="Times New Roman"/>
          <w:sz w:val="32"/>
          <w:szCs w:val="32"/>
          <w:highlight w:val="none"/>
        </w:rPr>
        <w:t>，健全家庭经济困难学生资助制度，激发教育事业生机活力。</w:t>
      </w:r>
      <w:r>
        <w:rPr>
          <w:rFonts w:hint="default" w:ascii="Times New Roman" w:hAnsi="Times New Roman" w:eastAsia="仿宋_GB2312" w:cs="Times New Roman"/>
          <w:b/>
          <w:bCs/>
          <w:sz w:val="32"/>
          <w:szCs w:val="32"/>
          <w:highlight w:val="none"/>
        </w:rPr>
        <w:t>三是加大公共卫生事业投入。</w:t>
      </w:r>
      <w:r>
        <w:rPr>
          <w:rFonts w:hint="default" w:ascii="Times New Roman" w:hAnsi="Times New Roman" w:eastAsia="仿宋_GB2312" w:cs="Times New Roman"/>
          <w:sz w:val="32"/>
          <w:szCs w:val="32"/>
          <w:highlight w:val="none"/>
        </w:rPr>
        <w:t>持续优化医疗领域的财政投入结构，全面提升医疗卫生服务能力。突出民生兜底，提高教育、医疗等基本民生保障水平，着力解决老百姓急难愁盼问题，切实增强人民群众的获得感和幸福感。</w:t>
      </w:r>
    </w:p>
    <w:p w14:paraId="690A0347">
      <w:pPr>
        <w:keepNext w:val="0"/>
        <w:keepLines w:val="0"/>
        <w:pageBreakBefore w:val="0"/>
        <w:widowControl w:val="0"/>
        <w:numPr>
          <w:ilvl w:val="0"/>
          <w:numId w:val="0"/>
        </w:numPr>
        <w:kinsoku/>
        <w:wordWrap/>
        <w:overflowPunct w:val="0"/>
        <w:topLinePunct w:val="0"/>
        <w:autoSpaceDE/>
        <w:autoSpaceDN/>
        <w:bidi w:val="0"/>
        <w:adjustRightInd w:val="0"/>
        <w:snapToGrid w:val="0"/>
        <w:spacing w:line="600" w:lineRule="exact"/>
        <w:ind w:firstLine="643" w:firstLineChars="200"/>
        <w:jc w:val="both"/>
        <w:textAlignment w:val="baseline"/>
        <w:rPr>
          <w:rFonts w:hint="default" w:ascii="Times New Roman" w:hAnsi="Times New Roman" w:cs="Times New Roman"/>
          <w:b/>
          <w:bCs/>
          <w:sz w:val="32"/>
          <w:szCs w:val="32"/>
          <w:highlight w:val="none"/>
          <w:lang w:eastAsia="zh-CN"/>
        </w:rPr>
      </w:pPr>
      <w:r>
        <w:rPr>
          <w:rFonts w:hint="default" w:ascii="Times New Roman" w:hAnsi="Times New Roman" w:cs="Times New Roman"/>
          <w:b/>
          <w:bCs/>
          <w:sz w:val="32"/>
          <w:szCs w:val="32"/>
          <w:highlight w:val="none"/>
        </w:rPr>
        <w:t>（四）</w:t>
      </w:r>
      <w:r>
        <w:rPr>
          <w:rFonts w:hint="default" w:ascii="Times New Roman" w:hAnsi="Times New Roman" w:cs="Times New Roman"/>
          <w:b/>
          <w:bCs/>
          <w:sz w:val="32"/>
          <w:szCs w:val="32"/>
          <w:highlight w:val="none"/>
          <w:lang w:eastAsia="zh-CN"/>
        </w:rPr>
        <w:t>筑牢财政安全防线，防范化解各类风险。</w:t>
      </w:r>
      <w:r>
        <w:rPr>
          <w:rFonts w:hint="default" w:ascii="Times New Roman" w:hAnsi="Times New Roman" w:eastAsia="仿宋_GB2312" w:cs="Times New Roman"/>
          <w:b/>
          <w:bCs/>
          <w:sz w:val="32"/>
          <w:szCs w:val="32"/>
          <w:highlight w:val="none"/>
          <w:lang w:eastAsia="zh-CN"/>
        </w:rPr>
        <w:t>一</w:t>
      </w:r>
      <w:r>
        <w:rPr>
          <w:rFonts w:hint="default" w:ascii="Times New Roman" w:hAnsi="Times New Roman" w:eastAsia="仿宋_GB2312" w:cs="Times New Roman"/>
          <w:b/>
          <w:bCs/>
          <w:sz w:val="32"/>
          <w:szCs w:val="32"/>
          <w:highlight w:val="none"/>
        </w:rPr>
        <w:t>是防范</w:t>
      </w:r>
      <w:r>
        <w:rPr>
          <w:rFonts w:hint="default" w:ascii="Times New Roman" w:hAnsi="Times New Roman" w:eastAsia="仿宋_GB2312" w:cs="Times New Roman"/>
          <w:b/>
          <w:bCs/>
          <w:sz w:val="32"/>
          <w:szCs w:val="32"/>
          <w:highlight w:val="none"/>
          <w:lang w:eastAsia="zh-CN"/>
        </w:rPr>
        <w:t>化解</w:t>
      </w:r>
      <w:r>
        <w:rPr>
          <w:rFonts w:hint="default" w:ascii="Times New Roman" w:hAnsi="Times New Roman" w:eastAsia="仿宋_GB2312" w:cs="Times New Roman"/>
          <w:b/>
          <w:bCs/>
          <w:sz w:val="32"/>
          <w:szCs w:val="32"/>
          <w:highlight w:val="none"/>
        </w:rPr>
        <w:t>地方政府债务风险。</w:t>
      </w:r>
      <w:r>
        <w:rPr>
          <w:rFonts w:hint="default" w:ascii="Times New Roman" w:hAnsi="Times New Roman" w:eastAsia="仿宋_GB2312" w:cs="Times New Roman"/>
          <w:sz w:val="32"/>
          <w:szCs w:val="32"/>
          <w:highlight w:val="none"/>
        </w:rPr>
        <w:t>坚持底线思维和系统观念，统筹促发展和防风险，加快健全政府债务管理制度，精准推进政府债务管理改革，抓实抓好防范化解政府债务风险工作，进一步提高防范化解政府债务风险能力，牢牢守住不发生系统性债务风险的底线。</w:t>
      </w:r>
      <w:r>
        <w:rPr>
          <w:rFonts w:hint="default" w:ascii="Times New Roman" w:hAnsi="Times New Roman" w:eastAsia="仿宋_GB2312" w:cs="Times New Roman"/>
          <w:b/>
          <w:bCs/>
          <w:sz w:val="32"/>
          <w:szCs w:val="32"/>
          <w:highlight w:val="none"/>
          <w:lang w:eastAsia="zh-CN"/>
        </w:rPr>
        <w:t>二是防范化解国有企业经营风险。</w:t>
      </w:r>
      <w:r>
        <w:rPr>
          <w:rFonts w:hint="default" w:ascii="Times New Roman" w:hAnsi="Times New Roman" w:eastAsia="仿宋_GB2312" w:cs="Times New Roman"/>
          <w:sz w:val="32"/>
          <w:szCs w:val="32"/>
          <w:highlight w:val="none"/>
          <w:lang w:eastAsia="zh-CN"/>
        </w:rPr>
        <w:t>推动融资平台公司实体化运营，</w:t>
      </w:r>
      <w:r>
        <w:rPr>
          <w:rFonts w:hint="default" w:ascii="Times New Roman" w:hAnsi="Times New Roman" w:eastAsia="仿宋_GB2312" w:cs="Times New Roman"/>
          <w:sz w:val="32"/>
          <w:szCs w:val="32"/>
          <w:highlight w:val="none"/>
          <w:lang w:val="en-US" w:eastAsia="zh-CN"/>
        </w:rPr>
        <w:t>建立市场化融资机制，做大资金规模和质量，面向资本市场，扩大融资渠道，提升自身竞争力和融资能力，推动公司债务结构、期限、利率优化，坚决防控新增隐性债务风险。</w:t>
      </w:r>
      <w:r>
        <w:rPr>
          <w:rFonts w:hint="default" w:ascii="Times New Roman" w:hAnsi="Times New Roman" w:eastAsia="仿宋_GB2312" w:cs="Times New Roman"/>
          <w:b/>
          <w:bCs/>
          <w:sz w:val="32"/>
          <w:szCs w:val="32"/>
          <w:highlight w:val="none"/>
          <w:lang w:val="en-US" w:eastAsia="zh-CN"/>
        </w:rPr>
        <w:t>三是防范化解金融风险。</w:t>
      </w:r>
      <w:r>
        <w:rPr>
          <w:rFonts w:hint="default" w:ascii="Times New Roman" w:hAnsi="Times New Roman" w:eastAsia="仿宋_GB2312" w:cs="Times New Roman"/>
          <w:sz w:val="32"/>
          <w:szCs w:val="32"/>
          <w:highlight w:val="none"/>
          <w:lang w:val="en-US" w:eastAsia="zh-CN"/>
        </w:rPr>
        <w:t>加强金融监管力度，切实提高金融监管有效性，依法将金融活动全部纳入监管，全面强化机构监管、行为监管、功能监管、持续监管，消除监管空白和盲区，及时处置中小金融机构风险，严厉打击非法金融活动。</w:t>
      </w:r>
    </w:p>
    <w:p w14:paraId="745F819D">
      <w:pPr>
        <w:keepNext w:val="0"/>
        <w:keepLines w:val="0"/>
        <w:pageBreakBefore w:val="0"/>
        <w:widowControl w:val="0"/>
        <w:kinsoku/>
        <w:wordWrap/>
        <w:overflowPunct w:val="0"/>
        <w:topLinePunct w:val="0"/>
        <w:autoSpaceDE/>
        <w:autoSpaceDN/>
        <w:bidi w:val="0"/>
        <w:spacing w:line="600" w:lineRule="exact"/>
        <w:ind w:firstLine="643" w:firstLineChars="200"/>
        <w:jc w:val="both"/>
        <w:rPr>
          <w:rFonts w:hint="default" w:ascii="Times New Roman" w:hAnsi="Times New Roman" w:cs="Times New Roman"/>
          <w:highlight w:val="none"/>
          <w:lang w:eastAsia="zh-CN"/>
        </w:rPr>
      </w:pPr>
      <w:r>
        <w:rPr>
          <w:rFonts w:hint="default" w:ascii="Times New Roman" w:hAnsi="Times New Roman" w:cs="Times New Roman"/>
          <w:b/>
          <w:bCs/>
          <w:sz w:val="32"/>
          <w:szCs w:val="32"/>
          <w:highlight w:val="none"/>
        </w:rPr>
        <w:t>（</w:t>
      </w:r>
      <w:r>
        <w:rPr>
          <w:rFonts w:hint="default" w:ascii="Times New Roman" w:hAnsi="Times New Roman" w:cs="Times New Roman"/>
          <w:b/>
          <w:bCs/>
          <w:sz w:val="32"/>
          <w:szCs w:val="32"/>
          <w:highlight w:val="none"/>
          <w:lang w:eastAsia="zh-CN"/>
        </w:rPr>
        <w:t>五</w:t>
      </w:r>
      <w:r>
        <w:rPr>
          <w:rFonts w:hint="default" w:ascii="Times New Roman" w:hAnsi="Times New Roman" w:cs="Times New Roman"/>
          <w:b/>
          <w:bCs/>
          <w:sz w:val="32"/>
          <w:szCs w:val="32"/>
          <w:highlight w:val="none"/>
        </w:rPr>
        <w:t>）树牢依法理财理念，加强财政队伍建设。</w:t>
      </w:r>
      <w:r>
        <w:rPr>
          <w:rFonts w:hint="default" w:ascii="Times New Roman" w:hAnsi="Times New Roman" w:eastAsia="仿宋_GB2312" w:cs="Times New Roman"/>
          <w:b/>
          <w:bCs/>
          <w:sz w:val="32"/>
          <w:szCs w:val="32"/>
          <w:highlight w:val="none"/>
        </w:rPr>
        <w:t>一是强化</w:t>
      </w:r>
      <w:r>
        <w:rPr>
          <w:rFonts w:hint="default" w:ascii="Times New Roman" w:hAnsi="Times New Roman" w:eastAsia="仿宋_GB2312" w:cs="Times New Roman"/>
          <w:b/>
          <w:bCs/>
          <w:sz w:val="32"/>
          <w:szCs w:val="32"/>
          <w:highlight w:val="none"/>
          <w:lang w:eastAsia="zh-CN"/>
        </w:rPr>
        <w:t>专业能力建设</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坚持以政领财、以财辅政，开展财政专业基础管理能力提升建设，加强财政经济分析，开展重点课题研究，强化专业训练和实践锻炼，提高专业化能力，提升综合履职能力水平。</w:t>
      </w:r>
      <w:r>
        <w:rPr>
          <w:rFonts w:hint="default" w:ascii="Times New Roman" w:hAnsi="Times New Roman" w:eastAsia="仿宋_GB2312" w:cs="Times New Roman"/>
          <w:b/>
          <w:bCs/>
          <w:sz w:val="32"/>
          <w:szCs w:val="32"/>
          <w:highlight w:val="none"/>
          <w:lang w:eastAsia="zh-CN"/>
        </w:rPr>
        <w:t>二</w:t>
      </w:r>
      <w:r>
        <w:rPr>
          <w:rFonts w:hint="default" w:ascii="Times New Roman" w:hAnsi="Times New Roman" w:eastAsia="仿宋_GB2312" w:cs="Times New Roman"/>
          <w:b/>
          <w:bCs/>
          <w:sz w:val="32"/>
          <w:szCs w:val="32"/>
          <w:highlight w:val="none"/>
        </w:rPr>
        <w:t>是抓好财政系统党风廉政。</w:t>
      </w:r>
      <w:r>
        <w:rPr>
          <w:rFonts w:hint="default" w:ascii="Times New Roman" w:hAnsi="Times New Roman" w:eastAsia="仿宋_GB2312" w:cs="Times New Roman"/>
          <w:sz w:val="32"/>
          <w:szCs w:val="32"/>
          <w:highlight w:val="none"/>
        </w:rPr>
        <w:t>始终坚持党对财政工作</w:t>
      </w:r>
      <w:r>
        <w:rPr>
          <w:rFonts w:hint="default" w:ascii="Times New Roman" w:hAnsi="Times New Roman" w:eastAsia="仿宋_GB2312" w:cs="Times New Roman"/>
          <w:sz w:val="32"/>
          <w:szCs w:val="32"/>
          <w:highlight w:val="none"/>
          <w:lang w:eastAsia="zh-CN"/>
        </w:rPr>
        <w:t>的全面</w:t>
      </w:r>
      <w:r>
        <w:rPr>
          <w:rFonts w:hint="default" w:ascii="Times New Roman" w:hAnsi="Times New Roman" w:eastAsia="仿宋_GB2312" w:cs="Times New Roman"/>
          <w:sz w:val="32"/>
          <w:szCs w:val="32"/>
          <w:highlight w:val="none"/>
        </w:rPr>
        <w:t>领导，层层落实党风廉政建设责任制，狠抓源头预防，强化服务意识，提高办事效率，努力锻造一支政治过硬、纪律严明、本领高强的财政干部队伍。</w:t>
      </w:r>
      <w:r>
        <w:rPr>
          <w:rFonts w:hint="default" w:ascii="Times New Roman" w:hAnsi="Times New Roman" w:eastAsia="仿宋_GB2312" w:cs="Times New Roman"/>
          <w:b/>
          <w:bCs/>
          <w:sz w:val="32"/>
          <w:szCs w:val="32"/>
          <w:highlight w:val="none"/>
          <w:lang w:eastAsia="zh-CN"/>
        </w:rPr>
        <w:t>三</w:t>
      </w:r>
      <w:r>
        <w:rPr>
          <w:rFonts w:hint="default" w:ascii="Times New Roman" w:hAnsi="Times New Roman" w:eastAsia="仿宋_GB2312" w:cs="Times New Roman"/>
          <w:b/>
          <w:bCs/>
          <w:sz w:val="32"/>
          <w:szCs w:val="32"/>
          <w:highlight w:val="none"/>
        </w:rPr>
        <w:t>是</w:t>
      </w:r>
      <w:r>
        <w:rPr>
          <w:rFonts w:hint="default" w:ascii="Times New Roman" w:hAnsi="Times New Roman" w:eastAsia="仿宋_GB2312" w:cs="Times New Roman"/>
          <w:b/>
          <w:bCs/>
          <w:sz w:val="32"/>
          <w:szCs w:val="32"/>
          <w:highlight w:val="none"/>
          <w:lang w:eastAsia="zh-CN"/>
        </w:rPr>
        <w:t>牢固树立法治意识。</w:t>
      </w:r>
      <w:r>
        <w:rPr>
          <w:rFonts w:hint="default" w:ascii="Times New Roman" w:hAnsi="Times New Roman" w:eastAsia="仿宋_GB2312" w:cs="Times New Roman"/>
          <w:sz w:val="32"/>
          <w:szCs w:val="32"/>
          <w:highlight w:val="none"/>
          <w:lang w:eastAsia="zh-CN"/>
        </w:rPr>
        <w:t>认真接受人大依法监督和政协民主监督，坚决贯彻预算法及其实施条例，依法全面履行财政职能，加强财经秩序规范管理，推动财政发展更可持续、更高质量。</w:t>
      </w:r>
    </w:p>
    <w:p w14:paraId="1A9A4AE2">
      <w:pPr>
        <w:keepNext w:val="0"/>
        <w:keepLines w:val="0"/>
        <w:pageBreakBefore w:val="0"/>
        <w:widowControl w:val="0"/>
        <w:kinsoku/>
        <w:wordWrap/>
        <w:overflowPunct w:val="0"/>
        <w:topLinePunct w:val="0"/>
        <w:autoSpaceDE/>
        <w:autoSpaceDN/>
        <w:bidi w:val="0"/>
        <w:spacing w:line="600" w:lineRule="exact"/>
        <w:ind w:firstLine="640" w:firstLineChars="200"/>
        <w:jc w:val="both"/>
        <w:rPr>
          <w:rFonts w:hint="default" w:ascii="Times New Roman" w:hAnsi="Times New Roman" w:eastAsia="仿宋_GB2312" w:cs="Times New Roman"/>
          <w:bCs/>
          <w:color w:val="000000" w:themeColor="text1"/>
          <w:sz w:val="32"/>
          <w:szCs w:val="32"/>
          <w:highlight w:val="none"/>
          <w14:textFill>
            <w14:solidFill>
              <w14:schemeClr w14:val="tx1"/>
            </w14:solidFill>
          </w14:textFill>
        </w:rPr>
      </w:pPr>
      <w:r>
        <w:rPr>
          <w:rFonts w:hint="default" w:ascii="Times New Roman" w:hAnsi="Times New Roman" w:eastAsia="仿宋_GB2312" w:cs="Times New Roman"/>
          <w:bCs/>
          <w:color w:val="000000" w:themeColor="text1"/>
          <w:sz w:val="32"/>
          <w:szCs w:val="32"/>
          <w:highlight w:val="none"/>
          <w14:textFill>
            <w14:solidFill>
              <w14:schemeClr w14:val="tx1"/>
            </w14:solidFill>
          </w14:textFill>
        </w:rPr>
        <w:t>各位代表，做好202</w:t>
      </w:r>
      <w:r>
        <w:rPr>
          <w:rFonts w:hint="default" w:ascii="Times New Roman" w:hAnsi="Times New Roman" w:eastAsia="仿宋_GB2312" w:cs="Times New Roman"/>
          <w:bCs/>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_GB2312" w:cs="Times New Roman"/>
          <w:bCs/>
          <w:color w:val="000000" w:themeColor="text1"/>
          <w:sz w:val="32"/>
          <w:szCs w:val="32"/>
          <w:highlight w:val="none"/>
          <w14:textFill>
            <w14:solidFill>
              <w14:schemeClr w14:val="tx1"/>
            </w14:solidFill>
          </w14:textFill>
        </w:rPr>
        <w:t>年财政工作任务艰巨、责任重大。我们将继续坚持稳中求进、以进促稳、</w:t>
      </w:r>
      <w:r>
        <w:rPr>
          <w:rFonts w:hint="default" w:ascii="Times New Roman" w:hAnsi="Times New Roman" w:eastAsia="仿宋_GB2312" w:cs="Times New Roman"/>
          <w:bCs/>
          <w:color w:val="000000" w:themeColor="text1"/>
          <w:sz w:val="32"/>
          <w:szCs w:val="32"/>
          <w:highlight w:val="none"/>
          <w:lang w:eastAsia="zh-CN"/>
          <w14:textFill>
            <w14:solidFill>
              <w14:schemeClr w14:val="tx1"/>
            </w14:solidFill>
          </w14:textFill>
        </w:rPr>
        <w:t>守正创新、</w:t>
      </w:r>
      <w:r>
        <w:rPr>
          <w:rFonts w:hint="default" w:ascii="Times New Roman" w:hAnsi="Times New Roman" w:eastAsia="仿宋_GB2312" w:cs="Times New Roman"/>
          <w:bCs/>
          <w:color w:val="000000" w:themeColor="text1"/>
          <w:sz w:val="32"/>
          <w:szCs w:val="32"/>
          <w:highlight w:val="none"/>
          <w14:textFill>
            <w14:solidFill>
              <w14:schemeClr w14:val="tx1"/>
            </w14:solidFill>
          </w14:textFill>
        </w:rPr>
        <w:t>先立后破，完整、准确、全面贯彻新发展理念，加快融入新发展格局，聚力“稳增长、防风险、保</w:t>
      </w:r>
      <w:r>
        <w:rPr>
          <w:rFonts w:hint="default" w:ascii="Times New Roman" w:hAnsi="Times New Roman" w:eastAsia="仿宋_GB2312" w:cs="Times New Roman"/>
          <w:bCs/>
          <w:color w:val="000000" w:themeColor="text1"/>
          <w:sz w:val="32"/>
          <w:szCs w:val="32"/>
          <w:highlight w:val="none"/>
          <w:lang w:eastAsia="zh-CN"/>
          <w14:textFill>
            <w14:solidFill>
              <w14:schemeClr w14:val="tx1"/>
            </w14:solidFill>
          </w14:textFill>
        </w:rPr>
        <w:t>稳定</w:t>
      </w:r>
      <w:r>
        <w:rPr>
          <w:rFonts w:hint="default" w:ascii="Times New Roman" w:hAnsi="Times New Roman" w:eastAsia="仿宋_GB2312" w:cs="Times New Roman"/>
          <w:bCs/>
          <w:color w:val="000000" w:themeColor="text1"/>
          <w:sz w:val="32"/>
          <w:szCs w:val="32"/>
          <w:highlight w:val="none"/>
          <w14:textFill>
            <w14:solidFill>
              <w14:schemeClr w14:val="tx1"/>
            </w14:solidFill>
          </w14:textFill>
        </w:rPr>
        <w:t>、惠民生”四大任务，不断促进经济活力持续增强、社会预期持续改善、发展信心持续提升、风险隐患持续化解，努力开创财政工作新局面，为推动全</w:t>
      </w:r>
      <w:r>
        <w:rPr>
          <w:rFonts w:hint="default" w:ascii="Times New Roman" w:hAnsi="Times New Roman" w:eastAsia="仿宋_GB2312" w:cs="Times New Roman"/>
          <w:bCs/>
          <w:color w:val="000000" w:themeColor="text1"/>
          <w:sz w:val="32"/>
          <w:szCs w:val="32"/>
          <w:highlight w:val="none"/>
          <w:lang w:eastAsia="zh-CN"/>
          <w14:textFill>
            <w14:solidFill>
              <w14:schemeClr w14:val="tx1"/>
            </w14:solidFill>
          </w14:textFill>
        </w:rPr>
        <w:t>区</w:t>
      </w:r>
      <w:r>
        <w:rPr>
          <w:rFonts w:hint="default" w:ascii="Times New Roman" w:hAnsi="Times New Roman" w:eastAsia="仿宋_GB2312" w:cs="Times New Roman"/>
          <w:bCs/>
          <w:color w:val="000000" w:themeColor="text1"/>
          <w:sz w:val="32"/>
          <w:szCs w:val="32"/>
          <w:highlight w:val="none"/>
          <w14:textFill>
            <w14:solidFill>
              <w14:schemeClr w14:val="tx1"/>
            </w14:solidFill>
          </w14:textFill>
        </w:rPr>
        <w:t>经济社会高质量发展做出积极贡献。</w:t>
      </w:r>
    </w:p>
    <w:p w14:paraId="65964E02">
      <w:pPr>
        <w:pStyle w:val="2"/>
        <w:keepNext w:val="0"/>
        <w:keepLines w:val="0"/>
        <w:pageBreakBefore w:val="0"/>
        <w:kinsoku/>
        <w:wordWrap/>
        <w:topLinePunct w:val="0"/>
        <w:autoSpaceDE/>
        <w:autoSpaceDN/>
        <w:bidi w:val="0"/>
        <w:spacing w:line="560" w:lineRule="exact"/>
        <w:rPr>
          <w:rFonts w:hint="default" w:ascii="Times New Roman" w:hAnsi="Times New Roman" w:cs="Times New Roman"/>
          <w:highlight w:val="none"/>
          <w:lang w:eastAsia="zh-CN"/>
        </w:rPr>
      </w:pPr>
    </w:p>
    <w:p w14:paraId="35C3ABDA">
      <w:pPr>
        <w:keepNext w:val="0"/>
        <w:keepLines w:val="0"/>
        <w:pageBreakBefore w:val="0"/>
        <w:kinsoku/>
        <w:wordWrap/>
        <w:topLinePunct w:val="0"/>
        <w:autoSpaceDE/>
        <w:autoSpaceDN/>
        <w:bidi w:val="0"/>
        <w:spacing w:line="560" w:lineRule="exact"/>
        <w:rPr>
          <w:rFonts w:hint="default" w:ascii="Times New Roman" w:hAnsi="Times New Roman" w:eastAsia="仿宋_GB2312" w:cs="Times New Roman"/>
          <w:sz w:val="32"/>
          <w:szCs w:val="32"/>
          <w:highlight w:val="none"/>
        </w:rPr>
      </w:pPr>
    </w:p>
    <w:p w14:paraId="2301C715">
      <w:pPr>
        <w:pStyle w:val="3"/>
        <w:keepNext w:val="0"/>
        <w:keepLines w:val="0"/>
        <w:pageBreakBefore w:val="0"/>
        <w:kinsoku/>
        <w:wordWrap/>
        <w:topLinePunct w:val="0"/>
        <w:autoSpaceDE/>
        <w:autoSpaceDN/>
        <w:bidi w:val="0"/>
        <w:spacing w:line="560" w:lineRule="exact"/>
        <w:rPr>
          <w:rFonts w:hint="default" w:ascii="Times New Roman" w:hAnsi="Times New Roman" w:eastAsia="仿宋_GB2312" w:cs="Times New Roman"/>
          <w:sz w:val="32"/>
          <w:szCs w:val="32"/>
          <w:highlight w:val="none"/>
        </w:rPr>
      </w:pPr>
    </w:p>
    <w:p w14:paraId="7E122AF6">
      <w:pPr>
        <w:pStyle w:val="3"/>
        <w:keepNext w:val="0"/>
        <w:keepLines w:val="0"/>
        <w:pageBreakBefore w:val="0"/>
        <w:kinsoku/>
        <w:wordWrap/>
        <w:topLinePunct w:val="0"/>
        <w:autoSpaceDE/>
        <w:autoSpaceDN/>
        <w:bidi w:val="0"/>
        <w:spacing w:line="560" w:lineRule="exact"/>
        <w:rPr>
          <w:rFonts w:hint="default" w:ascii="Times New Roman" w:hAnsi="Times New Roman" w:eastAsia="仿宋_GB2312" w:cs="Times New Roman"/>
          <w:sz w:val="32"/>
          <w:szCs w:val="32"/>
          <w:highlight w:val="none"/>
        </w:rPr>
      </w:pPr>
    </w:p>
    <w:p w14:paraId="3E6E58F3">
      <w:pPr>
        <w:pStyle w:val="3"/>
        <w:keepNext w:val="0"/>
        <w:keepLines w:val="0"/>
        <w:pageBreakBefore w:val="0"/>
        <w:kinsoku/>
        <w:wordWrap/>
        <w:topLinePunct w:val="0"/>
        <w:autoSpaceDE/>
        <w:autoSpaceDN/>
        <w:bidi w:val="0"/>
        <w:spacing w:line="560" w:lineRule="exact"/>
        <w:rPr>
          <w:rFonts w:hint="default" w:ascii="Times New Roman" w:hAnsi="Times New Roman" w:eastAsia="仿宋_GB2312" w:cs="Times New Roman"/>
          <w:sz w:val="32"/>
          <w:szCs w:val="32"/>
          <w:highlight w:val="none"/>
        </w:rPr>
      </w:pPr>
    </w:p>
    <w:p w14:paraId="128C43FC">
      <w:pPr>
        <w:pStyle w:val="3"/>
        <w:keepNext w:val="0"/>
        <w:keepLines w:val="0"/>
        <w:pageBreakBefore w:val="0"/>
        <w:kinsoku/>
        <w:wordWrap/>
        <w:topLinePunct w:val="0"/>
        <w:autoSpaceDE/>
        <w:autoSpaceDN/>
        <w:bidi w:val="0"/>
        <w:spacing w:line="560" w:lineRule="exact"/>
        <w:rPr>
          <w:rFonts w:hint="default" w:ascii="Times New Roman" w:hAnsi="Times New Roman" w:eastAsia="仿宋_GB2312" w:cs="Times New Roman"/>
          <w:sz w:val="32"/>
          <w:szCs w:val="32"/>
          <w:highlight w:val="none"/>
        </w:rPr>
      </w:pPr>
    </w:p>
    <w:p w14:paraId="2E8F38DB">
      <w:pPr>
        <w:pStyle w:val="3"/>
        <w:keepNext w:val="0"/>
        <w:keepLines w:val="0"/>
        <w:pageBreakBefore w:val="0"/>
        <w:kinsoku/>
        <w:wordWrap/>
        <w:topLinePunct w:val="0"/>
        <w:autoSpaceDE/>
        <w:autoSpaceDN/>
        <w:bidi w:val="0"/>
        <w:spacing w:line="560" w:lineRule="exact"/>
        <w:rPr>
          <w:rFonts w:hint="default" w:ascii="Times New Roman" w:hAnsi="Times New Roman" w:eastAsia="仿宋_GB2312" w:cs="Times New Roman"/>
          <w:sz w:val="32"/>
          <w:szCs w:val="32"/>
          <w:highlight w:val="none"/>
        </w:rPr>
      </w:pPr>
    </w:p>
    <w:p w14:paraId="7315995B">
      <w:pPr>
        <w:pStyle w:val="3"/>
        <w:keepNext w:val="0"/>
        <w:keepLines w:val="0"/>
        <w:pageBreakBefore w:val="0"/>
        <w:kinsoku/>
        <w:wordWrap/>
        <w:topLinePunct w:val="0"/>
        <w:autoSpaceDE/>
        <w:autoSpaceDN/>
        <w:bidi w:val="0"/>
        <w:spacing w:line="560" w:lineRule="exact"/>
        <w:rPr>
          <w:rFonts w:hint="default" w:ascii="Times New Roman" w:hAnsi="Times New Roman" w:eastAsia="仿宋_GB2312" w:cs="Times New Roman"/>
          <w:sz w:val="32"/>
          <w:szCs w:val="32"/>
          <w:highlight w:val="none"/>
        </w:rPr>
      </w:pPr>
    </w:p>
    <w:p w14:paraId="0E046928">
      <w:pPr>
        <w:widowControl/>
        <w:jc w:val="center"/>
        <w:rPr>
          <w:rFonts w:hint="default" w:ascii="Times New Roman" w:hAnsi="Times New Roman" w:eastAsia="方正大标宋简体" w:cs="Times New Roman"/>
          <w:kern w:val="0"/>
          <w:sz w:val="36"/>
          <w:szCs w:val="36"/>
          <w:highlight w:val="none"/>
          <w:lang w:eastAsia="zh-CN"/>
        </w:rPr>
        <w:sectPr>
          <w:headerReference r:id="rId3" w:type="default"/>
          <w:footerReference r:id="rId4" w:type="default"/>
          <w:footerReference r:id="rId5" w:type="even"/>
          <w:pgSz w:w="11907" w:h="16839"/>
          <w:pgMar w:top="1984" w:right="1417" w:bottom="1644" w:left="1417" w:header="851" w:footer="992" w:gutter="0"/>
          <w:cols w:space="425" w:num="1"/>
          <w:docGrid w:type="lines" w:linePitch="408" w:charSpace="0"/>
        </w:sectPr>
      </w:pPr>
    </w:p>
    <w:tbl>
      <w:tblPr>
        <w:tblStyle w:val="8"/>
        <w:tblW w:w="10447" w:type="dxa"/>
        <w:tblInd w:w="-607" w:type="dxa"/>
        <w:tblLayout w:type="fixed"/>
        <w:tblCellMar>
          <w:top w:w="0" w:type="dxa"/>
          <w:left w:w="108" w:type="dxa"/>
          <w:bottom w:w="0" w:type="dxa"/>
          <w:right w:w="108" w:type="dxa"/>
        </w:tblCellMar>
      </w:tblPr>
      <w:tblGrid>
        <w:gridCol w:w="800"/>
        <w:gridCol w:w="2888"/>
        <w:gridCol w:w="705"/>
        <w:gridCol w:w="147"/>
        <w:gridCol w:w="864"/>
        <w:gridCol w:w="273"/>
        <w:gridCol w:w="2120"/>
        <w:gridCol w:w="856"/>
        <w:gridCol w:w="136"/>
        <w:gridCol w:w="1188"/>
        <w:gridCol w:w="470"/>
      </w:tblGrid>
      <w:tr w14:paraId="4C8599D1">
        <w:tblPrEx>
          <w:tblCellMar>
            <w:top w:w="0" w:type="dxa"/>
            <w:left w:w="108" w:type="dxa"/>
            <w:bottom w:w="0" w:type="dxa"/>
            <w:right w:w="108" w:type="dxa"/>
          </w:tblCellMar>
        </w:tblPrEx>
        <w:trPr>
          <w:trHeight w:val="513" w:hRule="atLeast"/>
        </w:trPr>
        <w:tc>
          <w:tcPr>
            <w:tcW w:w="10447" w:type="dxa"/>
            <w:gridSpan w:val="11"/>
            <w:tcBorders>
              <w:top w:val="nil"/>
              <w:left w:val="nil"/>
              <w:bottom w:val="single" w:color="auto" w:sz="4" w:space="0"/>
              <w:right w:val="nil"/>
            </w:tcBorders>
            <w:vAlign w:val="bottom"/>
          </w:tcPr>
          <w:p w14:paraId="0365FAA5">
            <w:pPr>
              <w:widowControl/>
              <w:jc w:val="center"/>
              <w:rPr>
                <w:rFonts w:hint="default" w:ascii="Times New Roman" w:hAnsi="Times New Roman" w:eastAsia="方正大标宋简体" w:cs="Times New Roman"/>
                <w:kern w:val="0"/>
                <w:sz w:val="36"/>
                <w:szCs w:val="36"/>
                <w:highlight w:val="none"/>
              </w:rPr>
            </w:pPr>
            <w:r>
              <w:rPr>
                <w:rFonts w:hint="default" w:ascii="Times New Roman" w:hAnsi="Times New Roman" w:eastAsia="方正大标宋简体" w:cs="Times New Roman"/>
                <w:kern w:val="0"/>
                <w:sz w:val="36"/>
                <w:szCs w:val="36"/>
                <w:highlight w:val="none"/>
                <w:lang w:eastAsia="zh-CN"/>
              </w:rPr>
              <w:t>八公山区</w:t>
            </w:r>
            <w:r>
              <w:rPr>
                <w:rFonts w:hint="default" w:ascii="Times New Roman" w:hAnsi="Times New Roman" w:eastAsia="方正大标宋简体" w:cs="Times New Roman"/>
                <w:kern w:val="0"/>
                <w:sz w:val="36"/>
                <w:szCs w:val="36"/>
                <w:highlight w:val="none"/>
              </w:rPr>
              <w:t>20</w:t>
            </w:r>
            <w:r>
              <w:rPr>
                <w:rFonts w:hint="default" w:ascii="Times New Roman" w:hAnsi="Times New Roman" w:eastAsia="方正大标宋简体" w:cs="Times New Roman"/>
                <w:kern w:val="0"/>
                <w:sz w:val="36"/>
                <w:szCs w:val="36"/>
                <w:highlight w:val="none"/>
              </w:rPr>
              <w:t>2</w:t>
            </w:r>
            <w:r>
              <w:rPr>
                <w:rFonts w:hint="default" w:ascii="Times New Roman" w:hAnsi="Times New Roman" w:eastAsia="方正大标宋简体" w:cs="Times New Roman"/>
                <w:kern w:val="0"/>
                <w:sz w:val="36"/>
                <w:szCs w:val="36"/>
                <w:highlight w:val="none"/>
                <w:lang w:val="en-US" w:eastAsia="zh-CN"/>
              </w:rPr>
              <w:t>4</w:t>
            </w:r>
            <w:r>
              <w:rPr>
                <w:rFonts w:hint="default" w:ascii="Times New Roman" w:hAnsi="Times New Roman" w:eastAsia="方正大标宋简体" w:cs="Times New Roman"/>
                <w:kern w:val="0"/>
                <w:sz w:val="36"/>
                <w:szCs w:val="36"/>
                <w:highlight w:val="none"/>
              </w:rPr>
              <w:t>年一般公共预算执行情况表</w:t>
            </w:r>
            <w:r>
              <w:rPr>
                <w:rFonts w:hint="default" w:ascii="Times New Roman" w:hAnsi="Times New Roman" w:eastAsia="方正大标宋简体" w:cs="Times New Roman"/>
                <w:kern w:val="0"/>
                <w:sz w:val="36"/>
                <w:szCs w:val="36"/>
                <w:highlight w:val="none"/>
              </w:rPr>
              <w:t xml:space="preserve"> </w:t>
            </w:r>
          </w:p>
          <w:p w14:paraId="176C5B96">
            <w:pPr>
              <w:widowControl/>
              <w:jc w:val="right"/>
              <w:rPr>
                <w:rFonts w:hint="default" w:ascii="Times New Roman" w:hAnsi="Times New Roman" w:eastAsia="楷体_GB2312" w:cs="Times New Roman"/>
                <w:kern w:val="0"/>
                <w:sz w:val="26"/>
                <w:szCs w:val="26"/>
                <w:highlight w:val="none"/>
              </w:rPr>
            </w:pPr>
            <w:r>
              <w:rPr>
                <w:rFonts w:hint="default" w:ascii="Times New Roman" w:hAnsi="Times New Roman" w:eastAsia="方正小标宋简体" w:cs="Times New Roman"/>
                <w:kern w:val="0"/>
                <w:sz w:val="36"/>
                <w:szCs w:val="36"/>
                <w:highlight w:val="none"/>
              </w:rPr>
              <w:t xml:space="preserve"> </w:t>
            </w:r>
            <w:r>
              <w:rPr>
                <w:rFonts w:hint="default" w:ascii="Times New Roman" w:hAnsi="Times New Roman" w:eastAsia="楷体_GB2312" w:cs="Times New Roman"/>
                <w:kern w:val="0"/>
                <w:sz w:val="26"/>
                <w:szCs w:val="26"/>
                <w:highlight w:val="none"/>
              </w:rPr>
              <w:t xml:space="preserve"> </w:t>
            </w:r>
            <w:r>
              <w:rPr>
                <w:rFonts w:hint="default" w:ascii="Times New Roman" w:hAnsi="Times New Roman" w:eastAsia="楷体_GB2312" w:cs="Times New Roman"/>
                <w:kern w:val="0"/>
                <w:sz w:val="26"/>
                <w:szCs w:val="26"/>
                <w:highlight w:val="none"/>
              </w:rPr>
              <w:t>单位：万元</w:t>
            </w:r>
          </w:p>
        </w:tc>
      </w:tr>
      <w:tr w14:paraId="18A63AC4">
        <w:tblPrEx>
          <w:tblCellMar>
            <w:top w:w="0" w:type="dxa"/>
            <w:left w:w="108" w:type="dxa"/>
            <w:bottom w:w="0" w:type="dxa"/>
            <w:right w:w="108" w:type="dxa"/>
          </w:tblCellMar>
        </w:tblPrEx>
        <w:trPr>
          <w:trHeight w:val="522"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6D536F21">
            <w:pPr>
              <w:widowControl/>
              <w:spacing w:line="0" w:lineRule="atLeast"/>
              <w:jc w:val="center"/>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收入项目</w:t>
            </w:r>
          </w:p>
        </w:tc>
        <w:tc>
          <w:tcPr>
            <w:tcW w:w="852" w:type="dxa"/>
            <w:gridSpan w:val="2"/>
            <w:tcBorders>
              <w:top w:val="single" w:color="auto" w:sz="4" w:space="0"/>
              <w:left w:val="nil"/>
              <w:bottom w:val="single" w:color="auto" w:sz="4" w:space="0"/>
              <w:right w:val="single" w:color="auto" w:sz="4" w:space="0"/>
            </w:tcBorders>
            <w:vAlign w:val="center"/>
          </w:tcPr>
          <w:p w14:paraId="747AAD18">
            <w:pPr>
              <w:widowControl/>
              <w:spacing w:line="0" w:lineRule="atLeast"/>
              <w:jc w:val="center"/>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调整</w:t>
            </w:r>
          </w:p>
          <w:p w14:paraId="57693DC1">
            <w:pPr>
              <w:widowControl/>
              <w:spacing w:line="0" w:lineRule="atLeast"/>
              <w:jc w:val="center"/>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预算数</w:t>
            </w:r>
          </w:p>
        </w:tc>
        <w:tc>
          <w:tcPr>
            <w:tcW w:w="864" w:type="dxa"/>
            <w:tcBorders>
              <w:top w:val="single" w:color="auto" w:sz="4" w:space="0"/>
              <w:left w:val="nil"/>
              <w:bottom w:val="single" w:color="auto" w:sz="4" w:space="0"/>
              <w:right w:val="single" w:color="auto" w:sz="4" w:space="0"/>
            </w:tcBorders>
            <w:vAlign w:val="center"/>
          </w:tcPr>
          <w:p w14:paraId="1CB86995">
            <w:pPr>
              <w:widowControl/>
              <w:spacing w:line="0" w:lineRule="atLeast"/>
              <w:jc w:val="center"/>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完成数</w:t>
            </w:r>
          </w:p>
        </w:tc>
        <w:tc>
          <w:tcPr>
            <w:tcW w:w="2393" w:type="dxa"/>
            <w:gridSpan w:val="2"/>
            <w:tcBorders>
              <w:top w:val="single" w:color="auto" w:sz="4" w:space="0"/>
              <w:left w:val="nil"/>
              <w:bottom w:val="single" w:color="auto" w:sz="4" w:space="0"/>
              <w:right w:val="single" w:color="auto" w:sz="4" w:space="0"/>
            </w:tcBorders>
            <w:vAlign w:val="center"/>
          </w:tcPr>
          <w:p w14:paraId="77214061">
            <w:pPr>
              <w:widowControl/>
              <w:spacing w:line="0" w:lineRule="atLeast"/>
              <w:jc w:val="center"/>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支出项目</w:t>
            </w:r>
          </w:p>
        </w:tc>
        <w:tc>
          <w:tcPr>
            <w:tcW w:w="992" w:type="dxa"/>
            <w:gridSpan w:val="2"/>
            <w:tcBorders>
              <w:top w:val="single" w:color="auto" w:sz="4" w:space="0"/>
              <w:left w:val="nil"/>
              <w:bottom w:val="single" w:color="auto" w:sz="4" w:space="0"/>
              <w:right w:val="single" w:color="auto" w:sz="4" w:space="0"/>
            </w:tcBorders>
            <w:vAlign w:val="center"/>
          </w:tcPr>
          <w:p w14:paraId="402950D3">
            <w:pPr>
              <w:widowControl/>
              <w:spacing w:line="0" w:lineRule="atLeast"/>
              <w:jc w:val="center"/>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调整</w:t>
            </w:r>
            <w:r>
              <w:rPr>
                <w:rFonts w:hint="default" w:ascii="Times New Roman" w:hAnsi="Times New Roman" w:eastAsia="黑体" w:cs="Times New Roman"/>
                <w:b w:val="0"/>
                <w:bCs w:val="0"/>
                <w:kern w:val="0"/>
                <w:sz w:val="18"/>
                <w:szCs w:val="18"/>
                <w:highlight w:val="none"/>
              </w:rPr>
              <w:br w:type="textWrapping"/>
            </w:r>
            <w:r>
              <w:rPr>
                <w:rFonts w:hint="default" w:ascii="Times New Roman" w:hAnsi="Times New Roman" w:eastAsia="黑体" w:cs="Times New Roman"/>
                <w:b w:val="0"/>
                <w:bCs w:val="0"/>
                <w:kern w:val="0"/>
                <w:sz w:val="18"/>
                <w:szCs w:val="18"/>
                <w:highlight w:val="none"/>
              </w:rPr>
              <w:t>预算数</w:t>
            </w:r>
          </w:p>
        </w:tc>
        <w:tc>
          <w:tcPr>
            <w:tcW w:w="1658" w:type="dxa"/>
            <w:gridSpan w:val="2"/>
            <w:tcBorders>
              <w:top w:val="single" w:color="auto" w:sz="4" w:space="0"/>
              <w:left w:val="nil"/>
              <w:bottom w:val="single" w:color="auto" w:sz="4" w:space="0"/>
              <w:right w:val="single" w:color="auto" w:sz="4" w:space="0"/>
            </w:tcBorders>
            <w:vAlign w:val="center"/>
          </w:tcPr>
          <w:p w14:paraId="2C94A56F">
            <w:pPr>
              <w:widowControl/>
              <w:spacing w:line="0" w:lineRule="atLeast"/>
              <w:jc w:val="center"/>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完成数</w:t>
            </w:r>
          </w:p>
        </w:tc>
      </w:tr>
      <w:tr w14:paraId="5F8B8B07">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7C0C0B34">
            <w:pPr>
              <w:spacing w:line="0" w:lineRule="atLeast"/>
              <w:rPr>
                <w:rFonts w:hint="default" w:ascii="Times New Roman" w:hAnsi="Times New Roman" w:cs="Times New Roman"/>
                <w:sz w:val="18"/>
                <w:szCs w:val="18"/>
                <w:highlight w:val="none"/>
              </w:rPr>
            </w:pPr>
            <w:r>
              <w:rPr>
                <w:rFonts w:hint="default" w:ascii="Times New Roman" w:hAnsi="Times New Roman" w:cs="Times New Roman"/>
                <w:b/>
                <w:bCs/>
                <w:sz w:val="18"/>
                <w:szCs w:val="18"/>
                <w:highlight w:val="none"/>
              </w:rPr>
              <w:t>（一）地方税收收入小计</w:t>
            </w:r>
          </w:p>
        </w:tc>
        <w:tc>
          <w:tcPr>
            <w:tcW w:w="852" w:type="dxa"/>
            <w:gridSpan w:val="2"/>
            <w:tcBorders>
              <w:top w:val="single" w:color="auto" w:sz="4" w:space="0"/>
              <w:left w:val="nil"/>
              <w:bottom w:val="single" w:color="auto" w:sz="4" w:space="0"/>
              <w:right w:val="single" w:color="auto" w:sz="4" w:space="0"/>
            </w:tcBorders>
            <w:vAlign w:val="center"/>
          </w:tcPr>
          <w:p w14:paraId="0E7CD440">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23080</w:t>
            </w:r>
          </w:p>
        </w:tc>
        <w:tc>
          <w:tcPr>
            <w:tcW w:w="864" w:type="dxa"/>
            <w:tcBorders>
              <w:top w:val="single" w:color="auto" w:sz="4" w:space="0"/>
              <w:left w:val="nil"/>
              <w:bottom w:val="single" w:color="auto" w:sz="4" w:space="0"/>
              <w:right w:val="single" w:color="auto" w:sz="4" w:space="0"/>
            </w:tcBorders>
            <w:vAlign w:val="center"/>
          </w:tcPr>
          <w:p w14:paraId="123E15AA">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23080</w:t>
            </w:r>
          </w:p>
        </w:tc>
        <w:tc>
          <w:tcPr>
            <w:tcW w:w="2393" w:type="dxa"/>
            <w:gridSpan w:val="2"/>
            <w:tcBorders>
              <w:top w:val="single" w:color="auto" w:sz="4" w:space="0"/>
              <w:left w:val="nil"/>
              <w:bottom w:val="single" w:color="auto" w:sz="4" w:space="0"/>
              <w:right w:val="single" w:color="auto" w:sz="4" w:space="0"/>
            </w:tcBorders>
            <w:vAlign w:val="center"/>
          </w:tcPr>
          <w:p w14:paraId="424D7301">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一、一般公共服务</w:t>
            </w:r>
          </w:p>
        </w:tc>
        <w:tc>
          <w:tcPr>
            <w:tcW w:w="992" w:type="dxa"/>
            <w:gridSpan w:val="2"/>
            <w:tcBorders>
              <w:top w:val="single" w:color="auto" w:sz="4" w:space="0"/>
              <w:left w:val="nil"/>
              <w:bottom w:val="single" w:color="auto" w:sz="4" w:space="0"/>
              <w:right w:val="single" w:color="auto" w:sz="4" w:space="0"/>
            </w:tcBorders>
            <w:vAlign w:val="center"/>
          </w:tcPr>
          <w:p w14:paraId="72014A22">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4000</w:t>
            </w:r>
          </w:p>
        </w:tc>
        <w:tc>
          <w:tcPr>
            <w:tcW w:w="1658" w:type="dxa"/>
            <w:gridSpan w:val="2"/>
            <w:tcBorders>
              <w:top w:val="single" w:color="auto" w:sz="4" w:space="0"/>
              <w:left w:val="nil"/>
              <w:bottom w:val="single" w:color="auto" w:sz="4" w:space="0"/>
              <w:right w:val="single" w:color="auto" w:sz="4" w:space="0"/>
            </w:tcBorders>
            <w:vAlign w:val="center"/>
          </w:tcPr>
          <w:p w14:paraId="19DBAB1B">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3912</w:t>
            </w:r>
          </w:p>
        </w:tc>
      </w:tr>
      <w:tr w14:paraId="722639B4">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370006B7">
            <w:pPr>
              <w:spacing w:line="0" w:lineRule="atLeast"/>
              <w:rPr>
                <w:rFonts w:hint="default" w:ascii="Times New Roman" w:hAnsi="Times New Roman" w:cs="Times New Roman"/>
                <w:b/>
                <w:bCs/>
                <w:sz w:val="18"/>
                <w:szCs w:val="18"/>
                <w:highlight w:val="none"/>
              </w:rPr>
            </w:pPr>
            <w:r>
              <w:rPr>
                <w:rFonts w:hint="default" w:ascii="Times New Roman" w:hAnsi="Times New Roman" w:cs="Times New Roman"/>
                <w:sz w:val="20"/>
                <w:highlight w:val="none"/>
              </w:rPr>
              <w:t>1.</w:t>
            </w:r>
            <w:r>
              <w:rPr>
                <w:rFonts w:hint="default" w:ascii="Times New Roman" w:hAnsi="Times New Roman" w:cs="Times New Roman"/>
                <w:sz w:val="20"/>
                <w:highlight w:val="none"/>
              </w:rPr>
              <w:t>增值税</w:t>
            </w:r>
          </w:p>
        </w:tc>
        <w:tc>
          <w:tcPr>
            <w:tcW w:w="852" w:type="dxa"/>
            <w:gridSpan w:val="2"/>
            <w:tcBorders>
              <w:top w:val="single" w:color="auto" w:sz="4" w:space="0"/>
              <w:left w:val="nil"/>
              <w:bottom w:val="single" w:color="auto" w:sz="4" w:space="0"/>
              <w:right w:val="single" w:color="auto" w:sz="4" w:space="0"/>
            </w:tcBorders>
            <w:vAlign w:val="center"/>
          </w:tcPr>
          <w:p w14:paraId="5940B849">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4112</w:t>
            </w:r>
          </w:p>
        </w:tc>
        <w:tc>
          <w:tcPr>
            <w:tcW w:w="864" w:type="dxa"/>
            <w:tcBorders>
              <w:top w:val="single" w:color="auto" w:sz="4" w:space="0"/>
              <w:left w:val="nil"/>
              <w:bottom w:val="single" w:color="auto" w:sz="4" w:space="0"/>
              <w:right w:val="single" w:color="auto" w:sz="4" w:space="0"/>
            </w:tcBorders>
            <w:vAlign w:val="center"/>
          </w:tcPr>
          <w:p w14:paraId="4A18944A">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4112</w:t>
            </w:r>
          </w:p>
        </w:tc>
        <w:tc>
          <w:tcPr>
            <w:tcW w:w="2393" w:type="dxa"/>
            <w:gridSpan w:val="2"/>
            <w:tcBorders>
              <w:top w:val="single" w:color="auto" w:sz="4" w:space="0"/>
              <w:left w:val="nil"/>
              <w:bottom w:val="single" w:color="auto" w:sz="4" w:space="0"/>
              <w:right w:val="single" w:color="auto" w:sz="4" w:space="0"/>
            </w:tcBorders>
            <w:vAlign w:val="center"/>
          </w:tcPr>
          <w:p w14:paraId="4EC30BC5">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二、外交</w:t>
            </w:r>
          </w:p>
        </w:tc>
        <w:tc>
          <w:tcPr>
            <w:tcW w:w="992" w:type="dxa"/>
            <w:gridSpan w:val="2"/>
            <w:tcBorders>
              <w:top w:val="single" w:color="auto" w:sz="4" w:space="0"/>
              <w:left w:val="nil"/>
              <w:bottom w:val="single" w:color="auto" w:sz="4" w:space="0"/>
              <w:right w:val="single" w:color="auto" w:sz="4" w:space="0"/>
            </w:tcBorders>
            <w:vAlign w:val="center"/>
          </w:tcPr>
          <w:p w14:paraId="30EFF95D">
            <w:pPr>
              <w:spacing w:line="0" w:lineRule="atLeast"/>
              <w:jc w:val="center"/>
              <w:rPr>
                <w:rFonts w:hint="default" w:ascii="Times New Roman" w:hAnsi="Times New Roman" w:cs="Times New Roman"/>
                <w:sz w:val="18"/>
                <w:szCs w:val="18"/>
                <w:highlight w:val="none"/>
              </w:rPr>
            </w:pPr>
          </w:p>
        </w:tc>
        <w:tc>
          <w:tcPr>
            <w:tcW w:w="1658" w:type="dxa"/>
            <w:gridSpan w:val="2"/>
            <w:tcBorders>
              <w:top w:val="single" w:color="auto" w:sz="4" w:space="0"/>
              <w:left w:val="nil"/>
              <w:bottom w:val="single" w:color="auto" w:sz="4" w:space="0"/>
              <w:right w:val="single" w:color="auto" w:sz="4" w:space="0"/>
            </w:tcBorders>
            <w:vAlign w:val="center"/>
          </w:tcPr>
          <w:p w14:paraId="145544A6">
            <w:pPr>
              <w:spacing w:line="0" w:lineRule="atLeast"/>
              <w:jc w:val="center"/>
              <w:rPr>
                <w:rFonts w:hint="default" w:ascii="Times New Roman" w:hAnsi="Times New Roman" w:cs="Times New Roman"/>
                <w:sz w:val="18"/>
                <w:szCs w:val="18"/>
                <w:highlight w:val="none"/>
              </w:rPr>
            </w:pPr>
          </w:p>
        </w:tc>
      </w:tr>
      <w:tr w14:paraId="39DCE611">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2E028446">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20"/>
                <w:highlight w:val="none"/>
              </w:rPr>
              <w:t>2.</w:t>
            </w:r>
            <w:r>
              <w:rPr>
                <w:rFonts w:hint="default" w:ascii="Times New Roman" w:hAnsi="Times New Roman" w:cs="Times New Roman"/>
                <w:sz w:val="20"/>
                <w:highlight w:val="none"/>
              </w:rPr>
              <w:t>企业所得税</w:t>
            </w:r>
          </w:p>
        </w:tc>
        <w:tc>
          <w:tcPr>
            <w:tcW w:w="852" w:type="dxa"/>
            <w:gridSpan w:val="2"/>
            <w:tcBorders>
              <w:top w:val="single" w:color="auto" w:sz="4" w:space="0"/>
              <w:left w:val="nil"/>
              <w:bottom w:val="single" w:color="auto" w:sz="4" w:space="0"/>
              <w:right w:val="single" w:color="auto" w:sz="4" w:space="0"/>
            </w:tcBorders>
            <w:vAlign w:val="center"/>
          </w:tcPr>
          <w:p w14:paraId="5F178F24">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1478</w:t>
            </w:r>
          </w:p>
        </w:tc>
        <w:tc>
          <w:tcPr>
            <w:tcW w:w="864" w:type="dxa"/>
            <w:tcBorders>
              <w:top w:val="single" w:color="auto" w:sz="4" w:space="0"/>
              <w:left w:val="nil"/>
              <w:bottom w:val="single" w:color="auto" w:sz="4" w:space="0"/>
              <w:right w:val="single" w:color="auto" w:sz="4" w:space="0"/>
            </w:tcBorders>
            <w:vAlign w:val="center"/>
          </w:tcPr>
          <w:p w14:paraId="78E3CC42">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1478</w:t>
            </w:r>
          </w:p>
        </w:tc>
        <w:tc>
          <w:tcPr>
            <w:tcW w:w="2393" w:type="dxa"/>
            <w:gridSpan w:val="2"/>
            <w:tcBorders>
              <w:top w:val="single" w:color="auto" w:sz="4" w:space="0"/>
              <w:left w:val="nil"/>
              <w:bottom w:val="single" w:color="auto" w:sz="4" w:space="0"/>
              <w:right w:val="single" w:color="auto" w:sz="4" w:space="0"/>
            </w:tcBorders>
            <w:vAlign w:val="center"/>
          </w:tcPr>
          <w:p w14:paraId="47B48BD2">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三、国防</w:t>
            </w:r>
          </w:p>
        </w:tc>
        <w:tc>
          <w:tcPr>
            <w:tcW w:w="992" w:type="dxa"/>
            <w:gridSpan w:val="2"/>
            <w:tcBorders>
              <w:top w:val="single" w:color="auto" w:sz="4" w:space="0"/>
              <w:left w:val="nil"/>
              <w:bottom w:val="single" w:color="auto" w:sz="4" w:space="0"/>
              <w:right w:val="single" w:color="auto" w:sz="4" w:space="0"/>
            </w:tcBorders>
            <w:vAlign w:val="center"/>
          </w:tcPr>
          <w:p w14:paraId="3B6F692B">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150</w:t>
            </w:r>
            <w:r>
              <w:rPr>
                <w:rFonts w:hint="default" w:ascii="Times New Roman" w:hAnsi="Times New Roman" w:cs="Times New Roman"/>
                <w:sz w:val="18"/>
                <w:szCs w:val="18"/>
                <w:highlight w:val="none"/>
              </w:rPr>
              <w:t xml:space="preserve"> </w:t>
            </w:r>
          </w:p>
        </w:tc>
        <w:tc>
          <w:tcPr>
            <w:tcW w:w="1658" w:type="dxa"/>
            <w:gridSpan w:val="2"/>
            <w:tcBorders>
              <w:top w:val="single" w:color="auto" w:sz="4" w:space="0"/>
              <w:left w:val="nil"/>
              <w:bottom w:val="single" w:color="auto" w:sz="4" w:space="0"/>
              <w:right w:val="single" w:color="auto" w:sz="4" w:space="0"/>
            </w:tcBorders>
            <w:vAlign w:val="center"/>
          </w:tcPr>
          <w:p w14:paraId="0A0F68C4">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146</w:t>
            </w:r>
          </w:p>
        </w:tc>
      </w:tr>
      <w:tr w14:paraId="18358B4E">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680C48D3">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20"/>
                <w:highlight w:val="none"/>
              </w:rPr>
              <w:t>3.</w:t>
            </w:r>
            <w:r>
              <w:rPr>
                <w:rFonts w:hint="default" w:ascii="Times New Roman" w:hAnsi="Times New Roman" w:cs="Times New Roman"/>
                <w:sz w:val="20"/>
                <w:highlight w:val="none"/>
              </w:rPr>
              <w:t>个人所得税</w:t>
            </w:r>
          </w:p>
        </w:tc>
        <w:tc>
          <w:tcPr>
            <w:tcW w:w="852" w:type="dxa"/>
            <w:gridSpan w:val="2"/>
            <w:tcBorders>
              <w:top w:val="single" w:color="auto" w:sz="4" w:space="0"/>
              <w:left w:val="nil"/>
              <w:bottom w:val="single" w:color="auto" w:sz="4" w:space="0"/>
              <w:right w:val="single" w:color="auto" w:sz="4" w:space="0"/>
            </w:tcBorders>
            <w:vAlign w:val="center"/>
          </w:tcPr>
          <w:p w14:paraId="666B079B">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352</w:t>
            </w:r>
          </w:p>
        </w:tc>
        <w:tc>
          <w:tcPr>
            <w:tcW w:w="864" w:type="dxa"/>
            <w:tcBorders>
              <w:top w:val="single" w:color="auto" w:sz="4" w:space="0"/>
              <w:left w:val="nil"/>
              <w:bottom w:val="single" w:color="auto" w:sz="4" w:space="0"/>
              <w:right w:val="single" w:color="auto" w:sz="4" w:space="0"/>
            </w:tcBorders>
            <w:vAlign w:val="center"/>
          </w:tcPr>
          <w:p w14:paraId="5CA47FF5">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352</w:t>
            </w:r>
          </w:p>
        </w:tc>
        <w:tc>
          <w:tcPr>
            <w:tcW w:w="2393" w:type="dxa"/>
            <w:gridSpan w:val="2"/>
            <w:tcBorders>
              <w:top w:val="single" w:color="auto" w:sz="4" w:space="0"/>
              <w:left w:val="nil"/>
              <w:bottom w:val="single" w:color="auto" w:sz="4" w:space="0"/>
              <w:right w:val="single" w:color="auto" w:sz="4" w:space="0"/>
            </w:tcBorders>
            <w:vAlign w:val="center"/>
          </w:tcPr>
          <w:p w14:paraId="4CCBD399">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四、公共安全</w:t>
            </w:r>
          </w:p>
        </w:tc>
        <w:tc>
          <w:tcPr>
            <w:tcW w:w="992" w:type="dxa"/>
            <w:gridSpan w:val="2"/>
            <w:tcBorders>
              <w:top w:val="single" w:color="auto" w:sz="4" w:space="0"/>
              <w:left w:val="nil"/>
              <w:bottom w:val="single" w:color="auto" w:sz="4" w:space="0"/>
              <w:right w:val="single" w:color="auto" w:sz="4" w:space="0"/>
            </w:tcBorders>
            <w:vAlign w:val="center"/>
          </w:tcPr>
          <w:p w14:paraId="1DBA5FD6">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360</w:t>
            </w:r>
          </w:p>
        </w:tc>
        <w:tc>
          <w:tcPr>
            <w:tcW w:w="1658" w:type="dxa"/>
            <w:gridSpan w:val="2"/>
            <w:tcBorders>
              <w:top w:val="single" w:color="auto" w:sz="4" w:space="0"/>
              <w:left w:val="nil"/>
              <w:bottom w:val="single" w:color="auto" w:sz="4" w:space="0"/>
              <w:right w:val="single" w:color="auto" w:sz="4" w:space="0"/>
            </w:tcBorders>
            <w:vAlign w:val="center"/>
          </w:tcPr>
          <w:p w14:paraId="64714B54">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353</w:t>
            </w:r>
          </w:p>
        </w:tc>
      </w:tr>
      <w:tr w14:paraId="794EF9AD">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4C49B4E0">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20"/>
                <w:highlight w:val="none"/>
              </w:rPr>
              <w:t>4.</w:t>
            </w:r>
            <w:r>
              <w:rPr>
                <w:rFonts w:hint="default" w:ascii="Times New Roman" w:hAnsi="Times New Roman" w:cs="Times New Roman"/>
                <w:sz w:val="20"/>
                <w:highlight w:val="none"/>
                <w:lang w:eastAsia="zh-CN"/>
              </w:rPr>
              <w:t>城市维护建设税</w:t>
            </w:r>
          </w:p>
        </w:tc>
        <w:tc>
          <w:tcPr>
            <w:tcW w:w="852" w:type="dxa"/>
            <w:gridSpan w:val="2"/>
            <w:tcBorders>
              <w:top w:val="single" w:color="auto" w:sz="4" w:space="0"/>
              <w:left w:val="nil"/>
              <w:bottom w:val="single" w:color="auto" w:sz="4" w:space="0"/>
              <w:right w:val="single" w:color="auto" w:sz="4" w:space="0"/>
            </w:tcBorders>
            <w:vAlign w:val="center"/>
          </w:tcPr>
          <w:p w14:paraId="28385A5B">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472</w:t>
            </w:r>
          </w:p>
        </w:tc>
        <w:tc>
          <w:tcPr>
            <w:tcW w:w="864" w:type="dxa"/>
            <w:tcBorders>
              <w:top w:val="single" w:color="auto" w:sz="4" w:space="0"/>
              <w:left w:val="nil"/>
              <w:bottom w:val="single" w:color="auto" w:sz="4" w:space="0"/>
              <w:right w:val="single" w:color="auto" w:sz="4" w:space="0"/>
            </w:tcBorders>
            <w:vAlign w:val="center"/>
          </w:tcPr>
          <w:p w14:paraId="307459EC">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472</w:t>
            </w:r>
          </w:p>
        </w:tc>
        <w:tc>
          <w:tcPr>
            <w:tcW w:w="2393" w:type="dxa"/>
            <w:gridSpan w:val="2"/>
            <w:tcBorders>
              <w:top w:val="single" w:color="auto" w:sz="4" w:space="0"/>
              <w:left w:val="nil"/>
              <w:bottom w:val="single" w:color="auto" w:sz="4" w:space="0"/>
              <w:right w:val="single" w:color="auto" w:sz="4" w:space="0"/>
            </w:tcBorders>
            <w:vAlign w:val="center"/>
          </w:tcPr>
          <w:p w14:paraId="21E38CF4">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五、教育</w:t>
            </w:r>
          </w:p>
        </w:tc>
        <w:tc>
          <w:tcPr>
            <w:tcW w:w="992" w:type="dxa"/>
            <w:gridSpan w:val="2"/>
            <w:tcBorders>
              <w:top w:val="single" w:color="auto" w:sz="4" w:space="0"/>
              <w:left w:val="nil"/>
              <w:bottom w:val="single" w:color="auto" w:sz="4" w:space="0"/>
              <w:right w:val="single" w:color="auto" w:sz="4" w:space="0"/>
            </w:tcBorders>
            <w:vAlign w:val="center"/>
          </w:tcPr>
          <w:p w14:paraId="4371B1F6">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12215</w:t>
            </w:r>
            <w:r>
              <w:rPr>
                <w:rFonts w:hint="default" w:ascii="Times New Roman" w:hAnsi="Times New Roman" w:cs="Times New Roman"/>
                <w:sz w:val="18"/>
                <w:szCs w:val="18"/>
                <w:highlight w:val="none"/>
              </w:rPr>
              <w:t xml:space="preserve"> </w:t>
            </w:r>
          </w:p>
        </w:tc>
        <w:tc>
          <w:tcPr>
            <w:tcW w:w="1658" w:type="dxa"/>
            <w:gridSpan w:val="2"/>
            <w:tcBorders>
              <w:top w:val="single" w:color="auto" w:sz="4" w:space="0"/>
              <w:left w:val="nil"/>
              <w:bottom w:val="single" w:color="auto" w:sz="4" w:space="0"/>
              <w:right w:val="single" w:color="auto" w:sz="4" w:space="0"/>
            </w:tcBorders>
            <w:vAlign w:val="center"/>
          </w:tcPr>
          <w:p w14:paraId="52FD5DC1">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12226</w:t>
            </w:r>
          </w:p>
        </w:tc>
      </w:tr>
      <w:tr w14:paraId="1C5A96BD">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23727E8A">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20"/>
                <w:highlight w:val="none"/>
              </w:rPr>
              <w:t>5.</w:t>
            </w:r>
            <w:r>
              <w:rPr>
                <w:rFonts w:hint="default" w:ascii="Times New Roman" w:hAnsi="Times New Roman" w:cs="Times New Roman"/>
                <w:sz w:val="20"/>
                <w:highlight w:val="none"/>
                <w:lang w:eastAsia="zh-CN"/>
              </w:rPr>
              <w:t>房产税</w:t>
            </w:r>
          </w:p>
        </w:tc>
        <w:tc>
          <w:tcPr>
            <w:tcW w:w="852" w:type="dxa"/>
            <w:gridSpan w:val="2"/>
            <w:tcBorders>
              <w:top w:val="single" w:color="auto" w:sz="4" w:space="0"/>
              <w:left w:val="nil"/>
              <w:bottom w:val="single" w:color="auto" w:sz="4" w:space="0"/>
              <w:right w:val="single" w:color="auto" w:sz="4" w:space="0"/>
            </w:tcBorders>
            <w:vAlign w:val="center"/>
          </w:tcPr>
          <w:p w14:paraId="708F7FD6">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518</w:t>
            </w:r>
          </w:p>
        </w:tc>
        <w:tc>
          <w:tcPr>
            <w:tcW w:w="864" w:type="dxa"/>
            <w:tcBorders>
              <w:top w:val="single" w:color="auto" w:sz="4" w:space="0"/>
              <w:left w:val="nil"/>
              <w:bottom w:val="single" w:color="auto" w:sz="4" w:space="0"/>
              <w:right w:val="single" w:color="auto" w:sz="4" w:space="0"/>
            </w:tcBorders>
            <w:vAlign w:val="center"/>
          </w:tcPr>
          <w:p w14:paraId="66FC2055">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518</w:t>
            </w:r>
          </w:p>
        </w:tc>
        <w:tc>
          <w:tcPr>
            <w:tcW w:w="2393" w:type="dxa"/>
            <w:gridSpan w:val="2"/>
            <w:tcBorders>
              <w:top w:val="single" w:color="auto" w:sz="4" w:space="0"/>
              <w:left w:val="nil"/>
              <w:bottom w:val="single" w:color="auto" w:sz="4" w:space="0"/>
              <w:right w:val="single" w:color="auto" w:sz="4" w:space="0"/>
            </w:tcBorders>
            <w:vAlign w:val="center"/>
          </w:tcPr>
          <w:p w14:paraId="37941C0F">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六、科学技术</w:t>
            </w:r>
          </w:p>
        </w:tc>
        <w:tc>
          <w:tcPr>
            <w:tcW w:w="992" w:type="dxa"/>
            <w:gridSpan w:val="2"/>
            <w:tcBorders>
              <w:top w:val="single" w:color="auto" w:sz="4" w:space="0"/>
              <w:left w:val="nil"/>
              <w:bottom w:val="single" w:color="auto" w:sz="4" w:space="0"/>
              <w:right w:val="single" w:color="auto" w:sz="4" w:space="0"/>
            </w:tcBorders>
            <w:vAlign w:val="center"/>
          </w:tcPr>
          <w:p w14:paraId="1CEEB70C">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405</w:t>
            </w:r>
            <w:r>
              <w:rPr>
                <w:rFonts w:hint="default" w:ascii="Times New Roman" w:hAnsi="Times New Roman" w:cs="Times New Roman"/>
                <w:sz w:val="18"/>
                <w:szCs w:val="18"/>
                <w:highlight w:val="none"/>
              </w:rPr>
              <w:t xml:space="preserve"> </w:t>
            </w:r>
          </w:p>
        </w:tc>
        <w:tc>
          <w:tcPr>
            <w:tcW w:w="1658" w:type="dxa"/>
            <w:gridSpan w:val="2"/>
            <w:tcBorders>
              <w:top w:val="single" w:color="auto" w:sz="4" w:space="0"/>
              <w:left w:val="nil"/>
              <w:bottom w:val="single" w:color="auto" w:sz="4" w:space="0"/>
              <w:right w:val="single" w:color="auto" w:sz="4" w:space="0"/>
            </w:tcBorders>
            <w:vAlign w:val="center"/>
          </w:tcPr>
          <w:p w14:paraId="5FE55898">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439</w:t>
            </w:r>
          </w:p>
        </w:tc>
      </w:tr>
      <w:tr w14:paraId="5417D5D2">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78EC050B">
            <w:pPr>
              <w:spacing w:line="0" w:lineRule="atLeast"/>
              <w:jc w:val="left"/>
              <w:rPr>
                <w:rFonts w:hint="default" w:ascii="Times New Roman" w:hAnsi="Times New Roman" w:cs="Times New Roman"/>
                <w:sz w:val="18"/>
                <w:szCs w:val="18"/>
                <w:highlight w:val="none"/>
              </w:rPr>
            </w:pPr>
            <w:r>
              <w:rPr>
                <w:rFonts w:hint="default" w:ascii="Times New Roman" w:hAnsi="Times New Roman" w:cs="Times New Roman"/>
                <w:sz w:val="20"/>
                <w:highlight w:val="none"/>
                <w:lang w:val="en-US" w:eastAsia="zh-CN"/>
              </w:rPr>
              <w:t>6</w:t>
            </w:r>
            <w:r>
              <w:rPr>
                <w:rFonts w:hint="default" w:ascii="Times New Roman" w:hAnsi="Times New Roman" w:cs="Times New Roman"/>
                <w:sz w:val="20"/>
                <w:highlight w:val="none"/>
              </w:rPr>
              <w:t>.</w:t>
            </w:r>
            <w:r>
              <w:rPr>
                <w:rFonts w:hint="default" w:ascii="Times New Roman" w:hAnsi="Times New Roman" w:cs="Times New Roman"/>
                <w:sz w:val="20"/>
                <w:highlight w:val="none"/>
                <w:lang w:eastAsia="zh-CN"/>
              </w:rPr>
              <w:t>印花税</w:t>
            </w:r>
            <w:r>
              <w:rPr>
                <w:rFonts w:hint="default" w:ascii="Times New Roman" w:hAnsi="Times New Roman" w:cs="Times New Roman"/>
                <w:sz w:val="20"/>
                <w:highlight w:val="none"/>
              </w:rPr>
              <w:t>　</w:t>
            </w:r>
          </w:p>
        </w:tc>
        <w:tc>
          <w:tcPr>
            <w:tcW w:w="852" w:type="dxa"/>
            <w:gridSpan w:val="2"/>
            <w:tcBorders>
              <w:top w:val="single" w:color="auto" w:sz="4" w:space="0"/>
              <w:left w:val="nil"/>
              <w:bottom w:val="single" w:color="auto" w:sz="4" w:space="0"/>
              <w:right w:val="single" w:color="auto" w:sz="4" w:space="0"/>
            </w:tcBorders>
            <w:vAlign w:val="center"/>
          </w:tcPr>
          <w:p w14:paraId="30EB2541">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171</w:t>
            </w:r>
          </w:p>
        </w:tc>
        <w:tc>
          <w:tcPr>
            <w:tcW w:w="864" w:type="dxa"/>
            <w:tcBorders>
              <w:top w:val="single" w:color="auto" w:sz="4" w:space="0"/>
              <w:left w:val="nil"/>
              <w:bottom w:val="single" w:color="auto" w:sz="4" w:space="0"/>
              <w:right w:val="single" w:color="auto" w:sz="4" w:space="0"/>
            </w:tcBorders>
            <w:vAlign w:val="center"/>
          </w:tcPr>
          <w:p w14:paraId="16F3E3D2">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171</w:t>
            </w:r>
          </w:p>
        </w:tc>
        <w:tc>
          <w:tcPr>
            <w:tcW w:w="2393" w:type="dxa"/>
            <w:gridSpan w:val="2"/>
            <w:tcBorders>
              <w:top w:val="single" w:color="auto" w:sz="4" w:space="0"/>
              <w:left w:val="nil"/>
              <w:bottom w:val="single" w:color="auto" w:sz="4" w:space="0"/>
              <w:right w:val="single" w:color="auto" w:sz="4" w:space="0"/>
            </w:tcBorders>
            <w:vAlign w:val="center"/>
          </w:tcPr>
          <w:p w14:paraId="62A9C54C">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七、文化旅游体育与传媒</w:t>
            </w:r>
          </w:p>
        </w:tc>
        <w:tc>
          <w:tcPr>
            <w:tcW w:w="992" w:type="dxa"/>
            <w:gridSpan w:val="2"/>
            <w:tcBorders>
              <w:top w:val="single" w:color="auto" w:sz="4" w:space="0"/>
              <w:left w:val="nil"/>
              <w:bottom w:val="single" w:color="auto" w:sz="4" w:space="0"/>
              <w:right w:val="single" w:color="auto" w:sz="4" w:space="0"/>
            </w:tcBorders>
            <w:vAlign w:val="center"/>
          </w:tcPr>
          <w:p w14:paraId="6562BCE1">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640</w:t>
            </w:r>
            <w:r>
              <w:rPr>
                <w:rFonts w:hint="default" w:ascii="Times New Roman" w:hAnsi="Times New Roman" w:cs="Times New Roman"/>
                <w:sz w:val="18"/>
                <w:szCs w:val="18"/>
                <w:highlight w:val="none"/>
              </w:rPr>
              <w:t xml:space="preserve"> </w:t>
            </w:r>
          </w:p>
        </w:tc>
        <w:tc>
          <w:tcPr>
            <w:tcW w:w="1658" w:type="dxa"/>
            <w:gridSpan w:val="2"/>
            <w:tcBorders>
              <w:top w:val="single" w:color="auto" w:sz="4" w:space="0"/>
              <w:left w:val="nil"/>
              <w:bottom w:val="single" w:color="auto" w:sz="4" w:space="0"/>
              <w:right w:val="single" w:color="auto" w:sz="4" w:space="0"/>
            </w:tcBorders>
            <w:vAlign w:val="center"/>
          </w:tcPr>
          <w:p w14:paraId="6E26E5C2">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662</w:t>
            </w:r>
          </w:p>
        </w:tc>
      </w:tr>
      <w:tr w14:paraId="5EAACC44">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79477488">
            <w:pPr>
              <w:spacing w:line="0" w:lineRule="atLeast"/>
              <w:jc w:val="left"/>
              <w:rPr>
                <w:rFonts w:hint="default" w:ascii="Times New Roman" w:hAnsi="Times New Roman" w:cs="Times New Roman"/>
                <w:sz w:val="18"/>
                <w:szCs w:val="18"/>
                <w:highlight w:val="none"/>
              </w:rPr>
            </w:pPr>
            <w:r>
              <w:rPr>
                <w:rFonts w:hint="default" w:ascii="Times New Roman" w:hAnsi="Times New Roman" w:cs="Times New Roman"/>
                <w:sz w:val="20"/>
                <w:highlight w:val="none"/>
                <w:lang w:val="en-US" w:eastAsia="zh-CN"/>
              </w:rPr>
              <w:t>7.城镇土地使用税</w:t>
            </w:r>
          </w:p>
        </w:tc>
        <w:tc>
          <w:tcPr>
            <w:tcW w:w="852" w:type="dxa"/>
            <w:gridSpan w:val="2"/>
            <w:tcBorders>
              <w:top w:val="single" w:color="auto" w:sz="4" w:space="0"/>
              <w:left w:val="nil"/>
              <w:bottom w:val="single" w:color="auto" w:sz="4" w:space="0"/>
              <w:right w:val="single" w:color="auto" w:sz="4" w:space="0"/>
            </w:tcBorders>
            <w:vAlign w:val="center"/>
          </w:tcPr>
          <w:p w14:paraId="31DA4434">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1136</w:t>
            </w:r>
          </w:p>
        </w:tc>
        <w:tc>
          <w:tcPr>
            <w:tcW w:w="864" w:type="dxa"/>
            <w:tcBorders>
              <w:top w:val="single" w:color="auto" w:sz="4" w:space="0"/>
              <w:left w:val="nil"/>
              <w:bottom w:val="single" w:color="auto" w:sz="4" w:space="0"/>
              <w:right w:val="single" w:color="auto" w:sz="4" w:space="0"/>
            </w:tcBorders>
            <w:vAlign w:val="center"/>
          </w:tcPr>
          <w:p w14:paraId="19DBA50E">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1136</w:t>
            </w:r>
          </w:p>
        </w:tc>
        <w:tc>
          <w:tcPr>
            <w:tcW w:w="2393" w:type="dxa"/>
            <w:gridSpan w:val="2"/>
            <w:tcBorders>
              <w:top w:val="single" w:color="auto" w:sz="4" w:space="0"/>
              <w:left w:val="nil"/>
              <w:bottom w:val="single" w:color="auto" w:sz="4" w:space="0"/>
              <w:right w:val="single" w:color="auto" w:sz="4" w:space="0"/>
            </w:tcBorders>
            <w:vAlign w:val="center"/>
          </w:tcPr>
          <w:p w14:paraId="6226DAB8">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八、社会保障和就业</w:t>
            </w:r>
          </w:p>
        </w:tc>
        <w:tc>
          <w:tcPr>
            <w:tcW w:w="992" w:type="dxa"/>
            <w:gridSpan w:val="2"/>
            <w:tcBorders>
              <w:top w:val="single" w:color="auto" w:sz="4" w:space="0"/>
              <w:left w:val="nil"/>
              <w:bottom w:val="single" w:color="auto" w:sz="4" w:space="0"/>
              <w:right w:val="single" w:color="auto" w:sz="4" w:space="0"/>
            </w:tcBorders>
            <w:vAlign w:val="center"/>
          </w:tcPr>
          <w:p w14:paraId="315E44B1">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16950</w:t>
            </w:r>
            <w:r>
              <w:rPr>
                <w:rFonts w:hint="default" w:ascii="Times New Roman" w:hAnsi="Times New Roman" w:cs="Times New Roman"/>
                <w:sz w:val="18"/>
                <w:szCs w:val="18"/>
                <w:highlight w:val="none"/>
              </w:rPr>
              <w:t xml:space="preserve"> </w:t>
            </w:r>
          </w:p>
        </w:tc>
        <w:tc>
          <w:tcPr>
            <w:tcW w:w="1658" w:type="dxa"/>
            <w:gridSpan w:val="2"/>
            <w:tcBorders>
              <w:top w:val="single" w:color="auto" w:sz="4" w:space="0"/>
              <w:left w:val="nil"/>
              <w:bottom w:val="single" w:color="auto" w:sz="4" w:space="0"/>
              <w:right w:val="single" w:color="auto" w:sz="4" w:space="0"/>
            </w:tcBorders>
            <w:vAlign w:val="center"/>
          </w:tcPr>
          <w:p w14:paraId="6F0802C4">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17022</w:t>
            </w:r>
          </w:p>
        </w:tc>
      </w:tr>
      <w:tr w14:paraId="0E3C7F49">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4206689D">
            <w:pPr>
              <w:spacing w:line="0" w:lineRule="atLeast"/>
              <w:jc w:val="left"/>
              <w:rPr>
                <w:rFonts w:hint="default" w:ascii="Times New Roman" w:hAnsi="Times New Roman" w:cs="Times New Roman"/>
                <w:b/>
                <w:bCs/>
                <w:sz w:val="18"/>
                <w:szCs w:val="18"/>
                <w:highlight w:val="none"/>
              </w:rPr>
            </w:pPr>
            <w:r>
              <w:rPr>
                <w:rFonts w:hint="default" w:ascii="Times New Roman" w:hAnsi="Times New Roman" w:cs="Times New Roman"/>
                <w:sz w:val="20"/>
                <w:highlight w:val="none"/>
                <w:lang w:val="en-US" w:eastAsia="zh-CN"/>
              </w:rPr>
              <w:t>8.土地增值税</w:t>
            </w:r>
          </w:p>
        </w:tc>
        <w:tc>
          <w:tcPr>
            <w:tcW w:w="852" w:type="dxa"/>
            <w:gridSpan w:val="2"/>
            <w:tcBorders>
              <w:top w:val="single" w:color="auto" w:sz="4" w:space="0"/>
              <w:left w:val="nil"/>
              <w:bottom w:val="single" w:color="auto" w:sz="4" w:space="0"/>
              <w:right w:val="single" w:color="auto" w:sz="4" w:space="0"/>
            </w:tcBorders>
            <w:vAlign w:val="center"/>
          </w:tcPr>
          <w:p w14:paraId="07AB6925">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46</w:t>
            </w:r>
          </w:p>
        </w:tc>
        <w:tc>
          <w:tcPr>
            <w:tcW w:w="864" w:type="dxa"/>
            <w:tcBorders>
              <w:top w:val="single" w:color="auto" w:sz="4" w:space="0"/>
              <w:left w:val="nil"/>
              <w:bottom w:val="single" w:color="auto" w:sz="4" w:space="0"/>
              <w:right w:val="single" w:color="auto" w:sz="4" w:space="0"/>
            </w:tcBorders>
            <w:vAlign w:val="center"/>
          </w:tcPr>
          <w:p w14:paraId="62BF5273">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46</w:t>
            </w:r>
          </w:p>
        </w:tc>
        <w:tc>
          <w:tcPr>
            <w:tcW w:w="2393" w:type="dxa"/>
            <w:gridSpan w:val="2"/>
            <w:tcBorders>
              <w:top w:val="single" w:color="auto" w:sz="4" w:space="0"/>
              <w:left w:val="nil"/>
              <w:bottom w:val="single" w:color="auto" w:sz="4" w:space="0"/>
              <w:right w:val="single" w:color="auto" w:sz="4" w:space="0"/>
            </w:tcBorders>
            <w:vAlign w:val="center"/>
          </w:tcPr>
          <w:p w14:paraId="29CD52BD">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九、卫生健康</w:t>
            </w:r>
          </w:p>
        </w:tc>
        <w:tc>
          <w:tcPr>
            <w:tcW w:w="992" w:type="dxa"/>
            <w:gridSpan w:val="2"/>
            <w:tcBorders>
              <w:top w:val="single" w:color="auto" w:sz="4" w:space="0"/>
              <w:left w:val="nil"/>
              <w:bottom w:val="single" w:color="auto" w:sz="4" w:space="0"/>
              <w:right w:val="single" w:color="auto" w:sz="4" w:space="0"/>
            </w:tcBorders>
            <w:vAlign w:val="center"/>
          </w:tcPr>
          <w:p w14:paraId="15344D6D">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4360</w:t>
            </w:r>
          </w:p>
        </w:tc>
        <w:tc>
          <w:tcPr>
            <w:tcW w:w="1658" w:type="dxa"/>
            <w:gridSpan w:val="2"/>
            <w:tcBorders>
              <w:top w:val="single" w:color="auto" w:sz="4" w:space="0"/>
              <w:left w:val="nil"/>
              <w:bottom w:val="single" w:color="auto" w:sz="4" w:space="0"/>
              <w:right w:val="single" w:color="auto" w:sz="4" w:space="0"/>
            </w:tcBorders>
            <w:vAlign w:val="center"/>
          </w:tcPr>
          <w:p w14:paraId="335B2349">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4502</w:t>
            </w:r>
          </w:p>
        </w:tc>
      </w:tr>
      <w:tr w14:paraId="3823B7E4">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618345C4">
            <w:pPr>
              <w:spacing w:line="0" w:lineRule="atLeast"/>
              <w:jc w:val="left"/>
              <w:rPr>
                <w:rFonts w:hint="default" w:ascii="Times New Roman" w:hAnsi="Times New Roman" w:cs="Times New Roman"/>
                <w:sz w:val="18"/>
                <w:szCs w:val="18"/>
                <w:highlight w:val="none"/>
              </w:rPr>
            </w:pPr>
            <w:r>
              <w:rPr>
                <w:rFonts w:hint="default" w:ascii="Times New Roman" w:hAnsi="Times New Roman" w:cs="Times New Roman"/>
                <w:sz w:val="20"/>
                <w:highlight w:val="none"/>
                <w:lang w:val="en-US" w:eastAsia="zh-CN"/>
              </w:rPr>
              <w:t>9.车船税</w:t>
            </w:r>
          </w:p>
        </w:tc>
        <w:tc>
          <w:tcPr>
            <w:tcW w:w="852" w:type="dxa"/>
            <w:gridSpan w:val="2"/>
            <w:tcBorders>
              <w:top w:val="single" w:color="auto" w:sz="4" w:space="0"/>
              <w:left w:val="nil"/>
              <w:bottom w:val="single" w:color="auto" w:sz="4" w:space="0"/>
              <w:right w:val="single" w:color="auto" w:sz="4" w:space="0"/>
            </w:tcBorders>
            <w:vAlign w:val="center"/>
          </w:tcPr>
          <w:p w14:paraId="55A39935">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180</w:t>
            </w:r>
          </w:p>
        </w:tc>
        <w:tc>
          <w:tcPr>
            <w:tcW w:w="864" w:type="dxa"/>
            <w:tcBorders>
              <w:top w:val="single" w:color="auto" w:sz="4" w:space="0"/>
              <w:left w:val="nil"/>
              <w:bottom w:val="single" w:color="auto" w:sz="4" w:space="0"/>
              <w:right w:val="single" w:color="auto" w:sz="4" w:space="0"/>
            </w:tcBorders>
            <w:vAlign w:val="center"/>
          </w:tcPr>
          <w:p w14:paraId="2846BF02">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180</w:t>
            </w:r>
          </w:p>
        </w:tc>
        <w:tc>
          <w:tcPr>
            <w:tcW w:w="2393" w:type="dxa"/>
            <w:gridSpan w:val="2"/>
            <w:tcBorders>
              <w:top w:val="single" w:color="auto" w:sz="4" w:space="0"/>
              <w:left w:val="nil"/>
              <w:bottom w:val="single" w:color="auto" w:sz="4" w:space="0"/>
              <w:right w:val="single" w:color="auto" w:sz="4" w:space="0"/>
            </w:tcBorders>
            <w:vAlign w:val="center"/>
          </w:tcPr>
          <w:p w14:paraId="22BB4EA5">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十、节能环保</w:t>
            </w:r>
          </w:p>
        </w:tc>
        <w:tc>
          <w:tcPr>
            <w:tcW w:w="992" w:type="dxa"/>
            <w:gridSpan w:val="2"/>
            <w:tcBorders>
              <w:top w:val="single" w:color="auto" w:sz="4" w:space="0"/>
              <w:left w:val="nil"/>
              <w:bottom w:val="single" w:color="auto" w:sz="4" w:space="0"/>
              <w:right w:val="single" w:color="auto" w:sz="4" w:space="0"/>
            </w:tcBorders>
            <w:vAlign w:val="center"/>
          </w:tcPr>
          <w:p w14:paraId="6C31D8CE">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1400</w:t>
            </w:r>
          </w:p>
        </w:tc>
        <w:tc>
          <w:tcPr>
            <w:tcW w:w="1658" w:type="dxa"/>
            <w:gridSpan w:val="2"/>
            <w:tcBorders>
              <w:top w:val="single" w:color="auto" w:sz="4" w:space="0"/>
              <w:left w:val="nil"/>
              <w:bottom w:val="single" w:color="auto" w:sz="4" w:space="0"/>
              <w:right w:val="single" w:color="auto" w:sz="4" w:space="0"/>
            </w:tcBorders>
            <w:vAlign w:val="center"/>
          </w:tcPr>
          <w:p w14:paraId="2C0954E1">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1463</w:t>
            </w:r>
          </w:p>
        </w:tc>
      </w:tr>
      <w:tr w14:paraId="3D4C3144">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7CCCBEC4">
            <w:pPr>
              <w:spacing w:line="0" w:lineRule="atLeast"/>
              <w:rPr>
                <w:rFonts w:hint="default" w:ascii="Times New Roman" w:hAnsi="Times New Roman" w:cs="Times New Roman"/>
                <w:sz w:val="18"/>
                <w:szCs w:val="18"/>
                <w:highlight w:val="none"/>
              </w:rPr>
            </w:pPr>
          </w:p>
        </w:tc>
        <w:tc>
          <w:tcPr>
            <w:tcW w:w="852" w:type="dxa"/>
            <w:gridSpan w:val="2"/>
            <w:tcBorders>
              <w:top w:val="single" w:color="auto" w:sz="4" w:space="0"/>
              <w:left w:val="nil"/>
              <w:bottom w:val="single" w:color="auto" w:sz="4" w:space="0"/>
              <w:right w:val="single" w:color="auto" w:sz="4" w:space="0"/>
            </w:tcBorders>
            <w:vAlign w:val="center"/>
          </w:tcPr>
          <w:p w14:paraId="23434D35">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0EB20E14">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44D508F1">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十一、城乡社区</w:t>
            </w:r>
          </w:p>
        </w:tc>
        <w:tc>
          <w:tcPr>
            <w:tcW w:w="992" w:type="dxa"/>
            <w:gridSpan w:val="2"/>
            <w:tcBorders>
              <w:top w:val="single" w:color="auto" w:sz="4" w:space="0"/>
              <w:left w:val="nil"/>
              <w:bottom w:val="single" w:color="auto" w:sz="4" w:space="0"/>
              <w:right w:val="single" w:color="auto" w:sz="4" w:space="0"/>
            </w:tcBorders>
            <w:vAlign w:val="center"/>
          </w:tcPr>
          <w:p w14:paraId="6FADF949">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5147</w:t>
            </w:r>
          </w:p>
        </w:tc>
        <w:tc>
          <w:tcPr>
            <w:tcW w:w="1658" w:type="dxa"/>
            <w:gridSpan w:val="2"/>
            <w:tcBorders>
              <w:top w:val="single" w:color="auto" w:sz="4" w:space="0"/>
              <w:left w:val="nil"/>
              <w:bottom w:val="single" w:color="auto" w:sz="4" w:space="0"/>
              <w:right w:val="single" w:color="auto" w:sz="4" w:space="0"/>
            </w:tcBorders>
            <w:vAlign w:val="center"/>
          </w:tcPr>
          <w:p w14:paraId="2FD4444E">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5205</w:t>
            </w:r>
          </w:p>
        </w:tc>
      </w:tr>
      <w:tr w14:paraId="15F6D0F5">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70F1E827">
            <w:pPr>
              <w:spacing w:line="0" w:lineRule="atLeast"/>
              <w:rPr>
                <w:rFonts w:hint="default" w:ascii="Times New Roman" w:hAnsi="Times New Roman" w:cs="Times New Roman"/>
                <w:sz w:val="18"/>
                <w:szCs w:val="18"/>
                <w:highlight w:val="none"/>
              </w:rPr>
            </w:pPr>
          </w:p>
        </w:tc>
        <w:tc>
          <w:tcPr>
            <w:tcW w:w="852" w:type="dxa"/>
            <w:gridSpan w:val="2"/>
            <w:tcBorders>
              <w:top w:val="single" w:color="auto" w:sz="4" w:space="0"/>
              <w:left w:val="nil"/>
              <w:bottom w:val="single" w:color="auto" w:sz="4" w:space="0"/>
              <w:right w:val="single" w:color="auto" w:sz="4" w:space="0"/>
            </w:tcBorders>
            <w:vAlign w:val="center"/>
          </w:tcPr>
          <w:p w14:paraId="0BF0479D">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0C92DAB6">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7D19EAB1">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十二、农林水</w:t>
            </w:r>
          </w:p>
        </w:tc>
        <w:tc>
          <w:tcPr>
            <w:tcW w:w="992" w:type="dxa"/>
            <w:gridSpan w:val="2"/>
            <w:tcBorders>
              <w:top w:val="single" w:color="auto" w:sz="4" w:space="0"/>
              <w:left w:val="nil"/>
              <w:bottom w:val="single" w:color="auto" w:sz="4" w:space="0"/>
              <w:right w:val="single" w:color="auto" w:sz="4" w:space="0"/>
            </w:tcBorders>
            <w:vAlign w:val="center"/>
          </w:tcPr>
          <w:p w14:paraId="201EE4E7">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3850</w:t>
            </w:r>
          </w:p>
        </w:tc>
        <w:tc>
          <w:tcPr>
            <w:tcW w:w="1658" w:type="dxa"/>
            <w:gridSpan w:val="2"/>
            <w:tcBorders>
              <w:top w:val="single" w:color="auto" w:sz="4" w:space="0"/>
              <w:left w:val="nil"/>
              <w:bottom w:val="single" w:color="auto" w:sz="4" w:space="0"/>
              <w:right w:val="single" w:color="auto" w:sz="4" w:space="0"/>
            </w:tcBorders>
            <w:vAlign w:val="center"/>
          </w:tcPr>
          <w:p w14:paraId="0DA9B23A">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3869</w:t>
            </w:r>
          </w:p>
        </w:tc>
      </w:tr>
      <w:tr w14:paraId="1508C591">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034DB8C8">
            <w:pPr>
              <w:spacing w:line="0" w:lineRule="atLeast"/>
              <w:rPr>
                <w:rFonts w:hint="default" w:ascii="Times New Roman" w:hAnsi="Times New Roman" w:eastAsia="楷体_GB2312" w:cs="Times New Roman"/>
                <w:kern w:val="2"/>
                <w:sz w:val="18"/>
                <w:szCs w:val="18"/>
                <w:highlight w:val="none"/>
                <w:lang w:val="en-US" w:eastAsia="zh-CN" w:bidi="ar-SA"/>
              </w:rPr>
            </w:pPr>
            <w:r>
              <w:rPr>
                <w:rFonts w:hint="default" w:ascii="Times New Roman" w:hAnsi="Times New Roman" w:cs="Times New Roman"/>
                <w:b/>
                <w:bCs/>
                <w:sz w:val="18"/>
                <w:szCs w:val="18"/>
                <w:highlight w:val="none"/>
              </w:rPr>
              <w:t>（二）非税收入小计</w:t>
            </w:r>
          </w:p>
        </w:tc>
        <w:tc>
          <w:tcPr>
            <w:tcW w:w="852" w:type="dxa"/>
            <w:gridSpan w:val="2"/>
            <w:tcBorders>
              <w:top w:val="single" w:color="auto" w:sz="4" w:space="0"/>
              <w:left w:val="nil"/>
              <w:bottom w:val="single" w:color="auto" w:sz="4" w:space="0"/>
              <w:right w:val="single" w:color="auto" w:sz="4" w:space="0"/>
            </w:tcBorders>
            <w:vAlign w:val="center"/>
          </w:tcPr>
          <w:p w14:paraId="4E3758CA">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12725</w:t>
            </w:r>
          </w:p>
        </w:tc>
        <w:tc>
          <w:tcPr>
            <w:tcW w:w="864" w:type="dxa"/>
            <w:tcBorders>
              <w:top w:val="single" w:color="auto" w:sz="4" w:space="0"/>
              <w:left w:val="nil"/>
              <w:bottom w:val="single" w:color="auto" w:sz="4" w:space="0"/>
              <w:right w:val="single" w:color="auto" w:sz="4" w:space="0"/>
            </w:tcBorders>
            <w:vAlign w:val="center"/>
          </w:tcPr>
          <w:p w14:paraId="1BEAD51B">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12725</w:t>
            </w:r>
          </w:p>
        </w:tc>
        <w:tc>
          <w:tcPr>
            <w:tcW w:w="2393" w:type="dxa"/>
            <w:gridSpan w:val="2"/>
            <w:tcBorders>
              <w:top w:val="single" w:color="auto" w:sz="4" w:space="0"/>
              <w:left w:val="nil"/>
              <w:bottom w:val="single" w:color="auto" w:sz="4" w:space="0"/>
              <w:right w:val="single" w:color="auto" w:sz="4" w:space="0"/>
            </w:tcBorders>
            <w:vAlign w:val="center"/>
          </w:tcPr>
          <w:p w14:paraId="438D2C08">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十三、交通运输</w:t>
            </w:r>
          </w:p>
        </w:tc>
        <w:tc>
          <w:tcPr>
            <w:tcW w:w="992" w:type="dxa"/>
            <w:gridSpan w:val="2"/>
            <w:tcBorders>
              <w:top w:val="single" w:color="auto" w:sz="4" w:space="0"/>
              <w:left w:val="nil"/>
              <w:bottom w:val="single" w:color="auto" w:sz="4" w:space="0"/>
              <w:right w:val="single" w:color="auto" w:sz="4" w:space="0"/>
            </w:tcBorders>
            <w:vAlign w:val="center"/>
          </w:tcPr>
          <w:p w14:paraId="57402308">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330</w:t>
            </w:r>
          </w:p>
        </w:tc>
        <w:tc>
          <w:tcPr>
            <w:tcW w:w="1658" w:type="dxa"/>
            <w:gridSpan w:val="2"/>
            <w:tcBorders>
              <w:top w:val="single" w:color="auto" w:sz="4" w:space="0"/>
              <w:left w:val="nil"/>
              <w:bottom w:val="single" w:color="auto" w:sz="4" w:space="0"/>
              <w:right w:val="single" w:color="auto" w:sz="4" w:space="0"/>
            </w:tcBorders>
            <w:vAlign w:val="center"/>
          </w:tcPr>
          <w:p w14:paraId="16FABD89">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348</w:t>
            </w:r>
          </w:p>
        </w:tc>
      </w:tr>
      <w:tr w14:paraId="57D04C26">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6E32DE3F">
            <w:pPr>
              <w:spacing w:line="0" w:lineRule="atLeast"/>
              <w:rPr>
                <w:rFonts w:hint="default" w:ascii="Times New Roman" w:hAnsi="Times New Roman" w:eastAsia="楷体_GB2312" w:cs="Times New Roman"/>
                <w:b/>
                <w:bCs/>
                <w:kern w:val="2"/>
                <w:sz w:val="18"/>
                <w:szCs w:val="18"/>
                <w:highlight w:val="none"/>
                <w:lang w:val="en-US" w:eastAsia="zh-CN" w:bidi="ar-SA"/>
              </w:rPr>
            </w:pPr>
            <w:r>
              <w:rPr>
                <w:rFonts w:hint="default" w:ascii="Times New Roman" w:hAnsi="Times New Roman" w:cs="Times New Roman"/>
                <w:sz w:val="18"/>
                <w:szCs w:val="18"/>
                <w:highlight w:val="none"/>
              </w:rPr>
              <w:t>1.</w:t>
            </w:r>
            <w:r>
              <w:rPr>
                <w:rFonts w:hint="default" w:ascii="Times New Roman" w:hAnsi="Times New Roman" w:cs="Times New Roman"/>
                <w:sz w:val="18"/>
                <w:szCs w:val="18"/>
                <w:highlight w:val="none"/>
              </w:rPr>
              <w:t>专项收入</w:t>
            </w:r>
          </w:p>
        </w:tc>
        <w:tc>
          <w:tcPr>
            <w:tcW w:w="852" w:type="dxa"/>
            <w:gridSpan w:val="2"/>
            <w:tcBorders>
              <w:top w:val="single" w:color="auto" w:sz="4" w:space="0"/>
              <w:left w:val="nil"/>
              <w:bottom w:val="single" w:color="auto" w:sz="4" w:space="0"/>
              <w:right w:val="single" w:color="auto" w:sz="4" w:space="0"/>
            </w:tcBorders>
            <w:vAlign w:val="center"/>
          </w:tcPr>
          <w:p w14:paraId="454323BC">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13</w:t>
            </w:r>
          </w:p>
        </w:tc>
        <w:tc>
          <w:tcPr>
            <w:tcW w:w="864" w:type="dxa"/>
            <w:tcBorders>
              <w:top w:val="single" w:color="auto" w:sz="4" w:space="0"/>
              <w:left w:val="nil"/>
              <w:bottom w:val="single" w:color="auto" w:sz="4" w:space="0"/>
              <w:right w:val="single" w:color="auto" w:sz="4" w:space="0"/>
            </w:tcBorders>
            <w:vAlign w:val="center"/>
          </w:tcPr>
          <w:p w14:paraId="6229DB4B">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13</w:t>
            </w:r>
          </w:p>
        </w:tc>
        <w:tc>
          <w:tcPr>
            <w:tcW w:w="2393" w:type="dxa"/>
            <w:gridSpan w:val="2"/>
            <w:tcBorders>
              <w:top w:val="single" w:color="auto" w:sz="4" w:space="0"/>
              <w:left w:val="nil"/>
              <w:bottom w:val="single" w:color="auto" w:sz="4" w:space="0"/>
              <w:right w:val="single" w:color="auto" w:sz="4" w:space="0"/>
            </w:tcBorders>
            <w:vAlign w:val="center"/>
          </w:tcPr>
          <w:p w14:paraId="0B907F74">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十四、资源勘探工业信息</w:t>
            </w:r>
          </w:p>
        </w:tc>
        <w:tc>
          <w:tcPr>
            <w:tcW w:w="992" w:type="dxa"/>
            <w:gridSpan w:val="2"/>
            <w:tcBorders>
              <w:top w:val="single" w:color="auto" w:sz="4" w:space="0"/>
              <w:left w:val="nil"/>
              <w:bottom w:val="single" w:color="auto" w:sz="4" w:space="0"/>
              <w:right w:val="single" w:color="auto" w:sz="4" w:space="0"/>
            </w:tcBorders>
            <w:vAlign w:val="center"/>
          </w:tcPr>
          <w:p w14:paraId="27EDB338">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210</w:t>
            </w:r>
          </w:p>
        </w:tc>
        <w:tc>
          <w:tcPr>
            <w:tcW w:w="1658" w:type="dxa"/>
            <w:gridSpan w:val="2"/>
            <w:tcBorders>
              <w:top w:val="single" w:color="auto" w:sz="4" w:space="0"/>
              <w:left w:val="nil"/>
              <w:bottom w:val="single" w:color="auto" w:sz="4" w:space="0"/>
              <w:right w:val="single" w:color="auto" w:sz="4" w:space="0"/>
            </w:tcBorders>
            <w:vAlign w:val="center"/>
          </w:tcPr>
          <w:p w14:paraId="65B7AC5B">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212</w:t>
            </w:r>
          </w:p>
        </w:tc>
      </w:tr>
      <w:tr w14:paraId="26961563">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6BE771EC">
            <w:pPr>
              <w:spacing w:line="0" w:lineRule="atLeast"/>
              <w:rPr>
                <w:rFonts w:hint="default" w:ascii="Times New Roman" w:hAnsi="Times New Roman" w:eastAsia="楷体_GB2312" w:cs="Times New Roman"/>
                <w:kern w:val="2"/>
                <w:sz w:val="18"/>
                <w:szCs w:val="18"/>
                <w:highlight w:val="none"/>
                <w:lang w:val="en-US" w:eastAsia="zh-CN" w:bidi="ar-SA"/>
              </w:rPr>
            </w:pPr>
            <w:r>
              <w:rPr>
                <w:rFonts w:hint="default" w:ascii="Times New Roman" w:hAnsi="Times New Roman" w:cs="Times New Roman"/>
                <w:sz w:val="18"/>
                <w:szCs w:val="18"/>
                <w:highlight w:val="none"/>
              </w:rPr>
              <w:t>2.</w:t>
            </w:r>
            <w:r>
              <w:rPr>
                <w:rFonts w:hint="default" w:ascii="Times New Roman" w:hAnsi="Times New Roman" w:cs="Times New Roman"/>
                <w:sz w:val="18"/>
                <w:szCs w:val="18"/>
                <w:highlight w:val="none"/>
              </w:rPr>
              <w:t>行政事业性收费收入</w:t>
            </w:r>
          </w:p>
        </w:tc>
        <w:tc>
          <w:tcPr>
            <w:tcW w:w="852" w:type="dxa"/>
            <w:gridSpan w:val="2"/>
            <w:tcBorders>
              <w:top w:val="single" w:color="auto" w:sz="4" w:space="0"/>
              <w:left w:val="nil"/>
              <w:bottom w:val="single" w:color="auto" w:sz="4" w:space="0"/>
              <w:right w:val="single" w:color="auto" w:sz="4" w:space="0"/>
            </w:tcBorders>
            <w:vAlign w:val="center"/>
          </w:tcPr>
          <w:p w14:paraId="45F42F29">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453</w:t>
            </w:r>
          </w:p>
        </w:tc>
        <w:tc>
          <w:tcPr>
            <w:tcW w:w="864" w:type="dxa"/>
            <w:tcBorders>
              <w:top w:val="single" w:color="auto" w:sz="4" w:space="0"/>
              <w:left w:val="nil"/>
              <w:bottom w:val="single" w:color="auto" w:sz="4" w:space="0"/>
              <w:right w:val="single" w:color="auto" w:sz="4" w:space="0"/>
            </w:tcBorders>
            <w:vAlign w:val="center"/>
          </w:tcPr>
          <w:p w14:paraId="1226E6AB">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453</w:t>
            </w:r>
          </w:p>
        </w:tc>
        <w:tc>
          <w:tcPr>
            <w:tcW w:w="2393" w:type="dxa"/>
            <w:gridSpan w:val="2"/>
            <w:tcBorders>
              <w:top w:val="single" w:color="auto" w:sz="4" w:space="0"/>
              <w:left w:val="nil"/>
              <w:bottom w:val="single" w:color="auto" w:sz="4" w:space="0"/>
              <w:right w:val="single" w:color="auto" w:sz="4" w:space="0"/>
            </w:tcBorders>
            <w:vAlign w:val="center"/>
          </w:tcPr>
          <w:p w14:paraId="37545F2F">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十五、商业服务业</w:t>
            </w:r>
          </w:p>
        </w:tc>
        <w:tc>
          <w:tcPr>
            <w:tcW w:w="992" w:type="dxa"/>
            <w:gridSpan w:val="2"/>
            <w:tcBorders>
              <w:top w:val="single" w:color="auto" w:sz="4" w:space="0"/>
              <w:left w:val="nil"/>
              <w:bottom w:val="single" w:color="auto" w:sz="4" w:space="0"/>
              <w:right w:val="single" w:color="auto" w:sz="4" w:space="0"/>
            </w:tcBorders>
            <w:vAlign w:val="center"/>
          </w:tcPr>
          <w:p w14:paraId="5A21A6D8">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140</w:t>
            </w:r>
            <w:r>
              <w:rPr>
                <w:rFonts w:hint="default" w:ascii="Times New Roman" w:hAnsi="Times New Roman" w:cs="Times New Roman"/>
                <w:sz w:val="18"/>
                <w:szCs w:val="18"/>
                <w:highlight w:val="none"/>
              </w:rPr>
              <w:t xml:space="preserve"> </w:t>
            </w:r>
          </w:p>
        </w:tc>
        <w:tc>
          <w:tcPr>
            <w:tcW w:w="1658" w:type="dxa"/>
            <w:gridSpan w:val="2"/>
            <w:tcBorders>
              <w:top w:val="single" w:color="auto" w:sz="4" w:space="0"/>
              <w:left w:val="nil"/>
              <w:bottom w:val="single" w:color="auto" w:sz="4" w:space="0"/>
              <w:right w:val="single" w:color="auto" w:sz="4" w:space="0"/>
            </w:tcBorders>
            <w:vAlign w:val="center"/>
          </w:tcPr>
          <w:p w14:paraId="462C1478">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140</w:t>
            </w:r>
          </w:p>
        </w:tc>
      </w:tr>
      <w:tr w14:paraId="24AFD4FB">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1E29156B">
            <w:pPr>
              <w:spacing w:line="0" w:lineRule="atLeast"/>
              <w:rPr>
                <w:rFonts w:hint="default" w:ascii="Times New Roman" w:hAnsi="Times New Roman" w:eastAsia="楷体_GB2312" w:cs="Times New Roman"/>
                <w:kern w:val="2"/>
                <w:sz w:val="18"/>
                <w:szCs w:val="18"/>
                <w:highlight w:val="none"/>
                <w:lang w:val="en-US" w:eastAsia="zh-CN" w:bidi="ar-SA"/>
              </w:rPr>
            </w:pPr>
            <w:r>
              <w:rPr>
                <w:rFonts w:hint="default" w:ascii="Times New Roman" w:hAnsi="Times New Roman" w:cs="Times New Roman"/>
                <w:sz w:val="18"/>
                <w:szCs w:val="18"/>
                <w:highlight w:val="none"/>
              </w:rPr>
              <w:t>3.</w:t>
            </w:r>
            <w:r>
              <w:rPr>
                <w:rFonts w:hint="default" w:ascii="Times New Roman" w:hAnsi="Times New Roman" w:cs="Times New Roman"/>
                <w:sz w:val="18"/>
                <w:szCs w:val="18"/>
                <w:highlight w:val="none"/>
              </w:rPr>
              <w:t>罚没收入</w:t>
            </w:r>
          </w:p>
        </w:tc>
        <w:tc>
          <w:tcPr>
            <w:tcW w:w="852" w:type="dxa"/>
            <w:gridSpan w:val="2"/>
            <w:tcBorders>
              <w:top w:val="single" w:color="auto" w:sz="4" w:space="0"/>
              <w:left w:val="nil"/>
              <w:bottom w:val="single" w:color="auto" w:sz="4" w:space="0"/>
              <w:right w:val="single" w:color="auto" w:sz="4" w:space="0"/>
            </w:tcBorders>
            <w:vAlign w:val="center"/>
          </w:tcPr>
          <w:p w14:paraId="172934F2">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915</w:t>
            </w:r>
          </w:p>
        </w:tc>
        <w:tc>
          <w:tcPr>
            <w:tcW w:w="864" w:type="dxa"/>
            <w:tcBorders>
              <w:top w:val="single" w:color="auto" w:sz="4" w:space="0"/>
              <w:left w:val="nil"/>
              <w:bottom w:val="single" w:color="auto" w:sz="4" w:space="0"/>
              <w:right w:val="single" w:color="auto" w:sz="4" w:space="0"/>
            </w:tcBorders>
            <w:vAlign w:val="center"/>
          </w:tcPr>
          <w:p w14:paraId="610E378A">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915</w:t>
            </w:r>
          </w:p>
        </w:tc>
        <w:tc>
          <w:tcPr>
            <w:tcW w:w="2393" w:type="dxa"/>
            <w:gridSpan w:val="2"/>
            <w:tcBorders>
              <w:top w:val="single" w:color="auto" w:sz="4" w:space="0"/>
              <w:left w:val="nil"/>
              <w:bottom w:val="single" w:color="auto" w:sz="4" w:space="0"/>
              <w:right w:val="single" w:color="auto" w:sz="4" w:space="0"/>
            </w:tcBorders>
            <w:vAlign w:val="center"/>
          </w:tcPr>
          <w:p w14:paraId="2903ACFA">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十六、金融</w:t>
            </w:r>
          </w:p>
        </w:tc>
        <w:tc>
          <w:tcPr>
            <w:tcW w:w="992" w:type="dxa"/>
            <w:gridSpan w:val="2"/>
            <w:tcBorders>
              <w:top w:val="single" w:color="auto" w:sz="4" w:space="0"/>
              <w:left w:val="nil"/>
              <w:bottom w:val="single" w:color="auto" w:sz="4" w:space="0"/>
              <w:right w:val="single" w:color="auto" w:sz="4" w:space="0"/>
            </w:tcBorders>
            <w:vAlign w:val="center"/>
          </w:tcPr>
          <w:p w14:paraId="4F8FB90B">
            <w:pPr>
              <w:spacing w:line="0" w:lineRule="atLeast"/>
              <w:jc w:val="center"/>
              <w:rPr>
                <w:rFonts w:hint="default" w:ascii="Times New Roman" w:hAnsi="Times New Roman" w:cs="Times New Roman"/>
                <w:sz w:val="18"/>
                <w:szCs w:val="18"/>
                <w:highlight w:val="none"/>
              </w:rPr>
            </w:pPr>
          </w:p>
        </w:tc>
        <w:tc>
          <w:tcPr>
            <w:tcW w:w="1658" w:type="dxa"/>
            <w:gridSpan w:val="2"/>
            <w:tcBorders>
              <w:top w:val="single" w:color="auto" w:sz="4" w:space="0"/>
              <w:left w:val="nil"/>
              <w:bottom w:val="single" w:color="auto" w:sz="4" w:space="0"/>
              <w:right w:val="single" w:color="auto" w:sz="4" w:space="0"/>
            </w:tcBorders>
            <w:vAlign w:val="center"/>
          </w:tcPr>
          <w:p w14:paraId="466543C6">
            <w:pPr>
              <w:spacing w:line="0" w:lineRule="atLeast"/>
              <w:jc w:val="center"/>
              <w:rPr>
                <w:rFonts w:hint="default" w:ascii="Times New Roman" w:hAnsi="Times New Roman" w:cs="Times New Roman"/>
                <w:sz w:val="18"/>
                <w:szCs w:val="18"/>
                <w:highlight w:val="none"/>
              </w:rPr>
            </w:pPr>
          </w:p>
        </w:tc>
      </w:tr>
      <w:tr w14:paraId="0C08C996">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20E488E2">
            <w:pPr>
              <w:spacing w:line="0" w:lineRule="atLeast"/>
              <w:rPr>
                <w:rFonts w:hint="default" w:ascii="Times New Roman" w:hAnsi="Times New Roman" w:eastAsia="楷体_GB2312" w:cs="Times New Roman"/>
                <w:kern w:val="2"/>
                <w:sz w:val="18"/>
                <w:szCs w:val="18"/>
                <w:highlight w:val="none"/>
                <w:lang w:val="en-US" w:eastAsia="zh-CN" w:bidi="ar-SA"/>
              </w:rPr>
            </w:pPr>
            <w:r>
              <w:rPr>
                <w:rFonts w:hint="default" w:ascii="Times New Roman" w:hAnsi="Times New Roman" w:cs="Times New Roman"/>
                <w:sz w:val="18"/>
                <w:szCs w:val="18"/>
                <w:highlight w:val="none"/>
              </w:rPr>
              <w:t>4.</w:t>
            </w:r>
            <w:r>
              <w:rPr>
                <w:rFonts w:hint="default" w:ascii="Times New Roman" w:hAnsi="Times New Roman" w:cs="Times New Roman"/>
                <w:sz w:val="18"/>
                <w:szCs w:val="18"/>
                <w:highlight w:val="none"/>
              </w:rPr>
              <w:t>国有资本经营收入</w:t>
            </w:r>
          </w:p>
        </w:tc>
        <w:tc>
          <w:tcPr>
            <w:tcW w:w="852" w:type="dxa"/>
            <w:gridSpan w:val="2"/>
            <w:tcBorders>
              <w:top w:val="single" w:color="auto" w:sz="4" w:space="0"/>
              <w:left w:val="nil"/>
              <w:bottom w:val="single" w:color="auto" w:sz="4" w:space="0"/>
              <w:right w:val="single" w:color="auto" w:sz="4" w:space="0"/>
            </w:tcBorders>
            <w:vAlign w:val="center"/>
          </w:tcPr>
          <w:p w14:paraId="0AAEF7BF">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40049DBD">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7E6ADD0C">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十七、自然资源海洋气象</w:t>
            </w:r>
          </w:p>
        </w:tc>
        <w:tc>
          <w:tcPr>
            <w:tcW w:w="992" w:type="dxa"/>
            <w:gridSpan w:val="2"/>
            <w:tcBorders>
              <w:top w:val="single" w:color="auto" w:sz="4" w:space="0"/>
              <w:left w:val="nil"/>
              <w:bottom w:val="single" w:color="auto" w:sz="4" w:space="0"/>
              <w:right w:val="single" w:color="auto" w:sz="4" w:space="0"/>
            </w:tcBorders>
            <w:vAlign w:val="center"/>
          </w:tcPr>
          <w:p w14:paraId="536D4B8B">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920</w:t>
            </w:r>
          </w:p>
        </w:tc>
        <w:tc>
          <w:tcPr>
            <w:tcW w:w="1658" w:type="dxa"/>
            <w:gridSpan w:val="2"/>
            <w:tcBorders>
              <w:top w:val="single" w:color="auto" w:sz="4" w:space="0"/>
              <w:left w:val="nil"/>
              <w:bottom w:val="single" w:color="auto" w:sz="4" w:space="0"/>
              <w:right w:val="single" w:color="auto" w:sz="4" w:space="0"/>
            </w:tcBorders>
            <w:vAlign w:val="center"/>
          </w:tcPr>
          <w:p w14:paraId="0367FD19">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990</w:t>
            </w:r>
          </w:p>
        </w:tc>
      </w:tr>
      <w:tr w14:paraId="0BC56AF0">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030AE309">
            <w:pPr>
              <w:spacing w:line="0" w:lineRule="atLeast"/>
              <w:rPr>
                <w:rFonts w:hint="default" w:ascii="Times New Roman" w:hAnsi="Times New Roman" w:eastAsia="楷体_GB2312" w:cs="Times New Roman"/>
                <w:kern w:val="2"/>
                <w:sz w:val="18"/>
                <w:szCs w:val="18"/>
                <w:highlight w:val="none"/>
                <w:lang w:val="en-US" w:eastAsia="zh-CN" w:bidi="ar-SA"/>
              </w:rPr>
            </w:pPr>
            <w:r>
              <w:rPr>
                <w:rFonts w:hint="default" w:ascii="Times New Roman" w:hAnsi="Times New Roman" w:cs="Times New Roman"/>
                <w:sz w:val="18"/>
                <w:szCs w:val="18"/>
                <w:highlight w:val="none"/>
              </w:rPr>
              <w:t>5.</w:t>
            </w:r>
            <w:r>
              <w:rPr>
                <w:rFonts w:hint="default" w:ascii="Times New Roman" w:hAnsi="Times New Roman" w:cs="Times New Roman"/>
                <w:sz w:val="18"/>
                <w:szCs w:val="18"/>
                <w:highlight w:val="none"/>
              </w:rPr>
              <w:t>国有资源（资产）有偿使用收入</w:t>
            </w:r>
          </w:p>
        </w:tc>
        <w:tc>
          <w:tcPr>
            <w:tcW w:w="852" w:type="dxa"/>
            <w:gridSpan w:val="2"/>
            <w:tcBorders>
              <w:top w:val="single" w:color="auto" w:sz="4" w:space="0"/>
              <w:left w:val="nil"/>
              <w:bottom w:val="single" w:color="auto" w:sz="4" w:space="0"/>
              <w:right w:val="single" w:color="auto" w:sz="4" w:space="0"/>
            </w:tcBorders>
            <w:vAlign w:val="center"/>
          </w:tcPr>
          <w:p w14:paraId="30317B79">
            <w:pPr>
              <w:spacing w:line="0" w:lineRule="atLeast"/>
              <w:jc w:val="center"/>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12725</w:t>
            </w:r>
          </w:p>
        </w:tc>
        <w:tc>
          <w:tcPr>
            <w:tcW w:w="864" w:type="dxa"/>
            <w:tcBorders>
              <w:top w:val="single" w:color="auto" w:sz="4" w:space="0"/>
              <w:left w:val="nil"/>
              <w:bottom w:val="single" w:color="auto" w:sz="4" w:space="0"/>
              <w:right w:val="single" w:color="auto" w:sz="4" w:space="0"/>
            </w:tcBorders>
            <w:vAlign w:val="center"/>
          </w:tcPr>
          <w:p w14:paraId="572F9EE0">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12725</w:t>
            </w:r>
          </w:p>
        </w:tc>
        <w:tc>
          <w:tcPr>
            <w:tcW w:w="2393" w:type="dxa"/>
            <w:gridSpan w:val="2"/>
            <w:tcBorders>
              <w:top w:val="single" w:color="auto" w:sz="4" w:space="0"/>
              <w:left w:val="nil"/>
              <w:bottom w:val="single" w:color="auto" w:sz="4" w:space="0"/>
              <w:right w:val="single" w:color="auto" w:sz="4" w:space="0"/>
            </w:tcBorders>
            <w:vAlign w:val="center"/>
          </w:tcPr>
          <w:p w14:paraId="1AF29EBE">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十八、住房保障支出</w:t>
            </w:r>
          </w:p>
        </w:tc>
        <w:tc>
          <w:tcPr>
            <w:tcW w:w="992" w:type="dxa"/>
            <w:gridSpan w:val="2"/>
            <w:tcBorders>
              <w:top w:val="single" w:color="auto" w:sz="4" w:space="0"/>
              <w:left w:val="nil"/>
              <w:bottom w:val="single" w:color="auto" w:sz="4" w:space="0"/>
              <w:right w:val="single" w:color="auto" w:sz="4" w:space="0"/>
            </w:tcBorders>
            <w:vAlign w:val="center"/>
          </w:tcPr>
          <w:p w14:paraId="540AA200">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2820</w:t>
            </w:r>
          </w:p>
        </w:tc>
        <w:tc>
          <w:tcPr>
            <w:tcW w:w="1658" w:type="dxa"/>
            <w:gridSpan w:val="2"/>
            <w:tcBorders>
              <w:top w:val="single" w:color="auto" w:sz="4" w:space="0"/>
              <w:left w:val="nil"/>
              <w:bottom w:val="single" w:color="auto" w:sz="4" w:space="0"/>
              <w:right w:val="single" w:color="auto" w:sz="4" w:space="0"/>
            </w:tcBorders>
            <w:vAlign w:val="center"/>
          </w:tcPr>
          <w:p w14:paraId="2F6368E1">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2956</w:t>
            </w:r>
          </w:p>
        </w:tc>
      </w:tr>
      <w:tr w14:paraId="319D8993">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4C99A1C9">
            <w:pPr>
              <w:spacing w:line="0" w:lineRule="atLeast"/>
              <w:rPr>
                <w:rFonts w:hint="default" w:ascii="Times New Roman" w:hAnsi="Times New Roman" w:eastAsia="楷体_GB2312" w:cs="Times New Roman"/>
                <w:kern w:val="2"/>
                <w:sz w:val="18"/>
                <w:szCs w:val="18"/>
                <w:highlight w:val="none"/>
                <w:lang w:val="en-US" w:eastAsia="zh-CN" w:bidi="ar-SA"/>
              </w:rPr>
            </w:pPr>
            <w:r>
              <w:rPr>
                <w:rFonts w:hint="default" w:ascii="Times New Roman" w:hAnsi="Times New Roman" w:cs="Times New Roman"/>
                <w:sz w:val="18"/>
                <w:szCs w:val="18"/>
                <w:highlight w:val="none"/>
              </w:rPr>
              <w:t>6.</w:t>
            </w:r>
            <w:r>
              <w:rPr>
                <w:rFonts w:hint="default" w:ascii="Times New Roman" w:hAnsi="Times New Roman" w:cs="Times New Roman"/>
                <w:sz w:val="18"/>
                <w:szCs w:val="18"/>
                <w:highlight w:val="none"/>
              </w:rPr>
              <w:t>政府住房基金收入</w:t>
            </w:r>
          </w:p>
        </w:tc>
        <w:tc>
          <w:tcPr>
            <w:tcW w:w="852" w:type="dxa"/>
            <w:gridSpan w:val="2"/>
            <w:tcBorders>
              <w:top w:val="single" w:color="auto" w:sz="4" w:space="0"/>
              <w:left w:val="nil"/>
              <w:bottom w:val="single" w:color="auto" w:sz="4" w:space="0"/>
              <w:right w:val="single" w:color="auto" w:sz="4" w:space="0"/>
            </w:tcBorders>
            <w:vAlign w:val="center"/>
          </w:tcPr>
          <w:p w14:paraId="495B4B0D">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65716C9B">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3EB04375">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十九、粮油物资储备</w:t>
            </w:r>
          </w:p>
        </w:tc>
        <w:tc>
          <w:tcPr>
            <w:tcW w:w="992" w:type="dxa"/>
            <w:gridSpan w:val="2"/>
            <w:tcBorders>
              <w:top w:val="single" w:color="auto" w:sz="4" w:space="0"/>
              <w:left w:val="nil"/>
              <w:bottom w:val="single" w:color="auto" w:sz="4" w:space="0"/>
              <w:right w:val="single" w:color="auto" w:sz="4" w:space="0"/>
            </w:tcBorders>
            <w:vAlign w:val="center"/>
          </w:tcPr>
          <w:p w14:paraId="03A2FE7B">
            <w:pPr>
              <w:spacing w:line="0" w:lineRule="atLeast"/>
              <w:jc w:val="center"/>
              <w:rPr>
                <w:rFonts w:hint="default" w:ascii="Times New Roman" w:hAnsi="Times New Roman" w:cs="Times New Roman"/>
                <w:sz w:val="18"/>
                <w:szCs w:val="18"/>
                <w:highlight w:val="none"/>
              </w:rPr>
            </w:pPr>
          </w:p>
        </w:tc>
        <w:tc>
          <w:tcPr>
            <w:tcW w:w="1658" w:type="dxa"/>
            <w:gridSpan w:val="2"/>
            <w:tcBorders>
              <w:top w:val="single" w:color="auto" w:sz="4" w:space="0"/>
              <w:left w:val="nil"/>
              <w:bottom w:val="single" w:color="auto" w:sz="4" w:space="0"/>
              <w:right w:val="single" w:color="auto" w:sz="4" w:space="0"/>
            </w:tcBorders>
            <w:vAlign w:val="center"/>
          </w:tcPr>
          <w:p w14:paraId="2B7B53E3">
            <w:pPr>
              <w:spacing w:line="0" w:lineRule="atLeast"/>
              <w:jc w:val="center"/>
              <w:rPr>
                <w:rFonts w:hint="default" w:ascii="Times New Roman" w:hAnsi="Times New Roman" w:cs="Times New Roman"/>
                <w:sz w:val="18"/>
                <w:szCs w:val="18"/>
                <w:highlight w:val="none"/>
              </w:rPr>
            </w:pPr>
          </w:p>
        </w:tc>
      </w:tr>
      <w:tr w14:paraId="6F22FADC">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4AEF0546">
            <w:pPr>
              <w:spacing w:line="0" w:lineRule="atLeast"/>
              <w:rPr>
                <w:rFonts w:hint="default" w:ascii="Times New Roman" w:hAnsi="Times New Roman" w:eastAsia="楷体_GB2312" w:cs="Times New Roman"/>
                <w:kern w:val="2"/>
                <w:sz w:val="18"/>
                <w:szCs w:val="18"/>
                <w:highlight w:val="none"/>
                <w:lang w:val="en-US" w:eastAsia="zh-CN" w:bidi="ar-SA"/>
              </w:rPr>
            </w:pPr>
            <w:r>
              <w:rPr>
                <w:rFonts w:hint="default" w:ascii="Times New Roman" w:hAnsi="Times New Roman" w:cs="Times New Roman"/>
                <w:sz w:val="18"/>
                <w:szCs w:val="18"/>
                <w:highlight w:val="none"/>
              </w:rPr>
              <w:t>7.捐赠收入</w:t>
            </w:r>
          </w:p>
        </w:tc>
        <w:tc>
          <w:tcPr>
            <w:tcW w:w="852" w:type="dxa"/>
            <w:gridSpan w:val="2"/>
            <w:tcBorders>
              <w:top w:val="single" w:color="auto" w:sz="4" w:space="0"/>
              <w:left w:val="nil"/>
              <w:bottom w:val="single" w:color="auto" w:sz="4" w:space="0"/>
              <w:right w:val="single" w:color="auto" w:sz="4" w:space="0"/>
            </w:tcBorders>
            <w:vAlign w:val="center"/>
          </w:tcPr>
          <w:p w14:paraId="3D12F4B4">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7D441646">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2AE3D3EC">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二十、灾害防治及应急管理支出</w:t>
            </w:r>
          </w:p>
        </w:tc>
        <w:tc>
          <w:tcPr>
            <w:tcW w:w="992" w:type="dxa"/>
            <w:gridSpan w:val="2"/>
            <w:tcBorders>
              <w:top w:val="single" w:color="auto" w:sz="4" w:space="0"/>
              <w:left w:val="nil"/>
              <w:bottom w:val="single" w:color="auto" w:sz="4" w:space="0"/>
              <w:right w:val="single" w:color="auto" w:sz="4" w:space="0"/>
            </w:tcBorders>
            <w:vAlign w:val="center"/>
          </w:tcPr>
          <w:p w14:paraId="4E81A818">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800</w:t>
            </w:r>
          </w:p>
        </w:tc>
        <w:tc>
          <w:tcPr>
            <w:tcW w:w="1658" w:type="dxa"/>
            <w:gridSpan w:val="2"/>
            <w:tcBorders>
              <w:top w:val="single" w:color="auto" w:sz="4" w:space="0"/>
              <w:left w:val="nil"/>
              <w:bottom w:val="single" w:color="auto" w:sz="4" w:space="0"/>
              <w:right w:val="single" w:color="auto" w:sz="4" w:space="0"/>
            </w:tcBorders>
            <w:vAlign w:val="center"/>
          </w:tcPr>
          <w:p w14:paraId="4494C378">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852</w:t>
            </w:r>
          </w:p>
        </w:tc>
      </w:tr>
      <w:tr w14:paraId="6111532B">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60DAD61C">
            <w:pPr>
              <w:spacing w:line="0" w:lineRule="atLeast"/>
              <w:rPr>
                <w:rFonts w:hint="default" w:ascii="Times New Roman" w:hAnsi="Times New Roman" w:eastAsia="楷体_GB2312" w:cs="Times New Roman"/>
                <w:kern w:val="2"/>
                <w:sz w:val="18"/>
                <w:szCs w:val="18"/>
                <w:highlight w:val="none"/>
                <w:lang w:val="en-US" w:eastAsia="zh-CN" w:bidi="ar-SA"/>
              </w:rPr>
            </w:pPr>
            <w:r>
              <w:rPr>
                <w:rFonts w:hint="default" w:ascii="Times New Roman" w:hAnsi="Times New Roman" w:cs="Times New Roman"/>
                <w:sz w:val="18"/>
                <w:szCs w:val="18"/>
                <w:highlight w:val="none"/>
              </w:rPr>
              <w:t>8</w:t>
            </w:r>
            <w:r>
              <w:rPr>
                <w:rFonts w:hint="default" w:ascii="Times New Roman" w:hAnsi="Times New Roman" w:cs="Times New Roman"/>
                <w:sz w:val="18"/>
                <w:szCs w:val="18"/>
                <w:highlight w:val="none"/>
              </w:rPr>
              <w:t>.</w:t>
            </w:r>
            <w:r>
              <w:rPr>
                <w:rFonts w:hint="default" w:ascii="Times New Roman" w:hAnsi="Times New Roman" w:cs="Times New Roman"/>
                <w:sz w:val="18"/>
                <w:szCs w:val="18"/>
                <w:highlight w:val="none"/>
              </w:rPr>
              <w:t>其他收入</w:t>
            </w:r>
          </w:p>
        </w:tc>
        <w:tc>
          <w:tcPr>
            <w:tcW w:w="852" w:type="dxa"/>
            <w:gridSpan w:val="2"/>
            <w:tcBorders>
              <w:top w:val="single" w:color="auto" w:sz="4" w:space="0"/>
              <w:left w:val="nil"/>
              <w:bottom w:val="single" w:color="auto" w:sz="4" w:space="0"/>
              <w:right w:val="single" w:color="auto" w:sz="4" w:space="0"/>
            </w:tcBorders>
            <w:vAlign w:val="center"/>
          </w:tcPr>
          <w:p w14:paraId="4566BD27">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509</w:t>
            </w:r>
          </w:p>
        </w:tc>
        <w:tc>
          <w:tcPr>
            <w:tcW w:w="864" w:type="dxa"/>
            <w:tcBorders>
              <w:top w:val="single" w:color="auto" w:sz="4" w:space="0"/>
              <w:left w:val="nil"/>
              <w:bottom w:val="single" w:color="auto" w:sz="4" w:space="0"/>
              <w:right w:val="single" w:color="auto" w:sz="4" w:space="0"/>
            </w:tcBorders>
            <w:vAlign w:val="center"/>
          </w:tcPr>
          <w:p w14:paraId="6A5E4313">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509</w:t>
            </w:r>
          </w:p>
        </w:tc>
        <w:tc>
          <w:tcPr>
            <w:tcW w:w="2393" w:type="dxa"/>
            <w:gridSpan w:val="2"/>
            <w:tcBorders>
              <w:top w:val="single" w:color="auto" w:sz="4" w:space="0"/>
              <w:left w:val="nil"/>
              <w:bottom w:val="single" w:color="auto" w:sz="4" w:space="0"/>
              <w:right w:val="single" w:color="auto" w:sz="4" w:space="0"/>
            </w:tcBorders>
            <w:vAlign w:val="center"/>
          </w:tcPr>
          <w:p w14:paraId="2F0BDC0F">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二十一、预备费</w:t>
            </w:r>
          </w:p>
        </w:tc>
        <w:tc>
          <w:tcPr>
            <w:tcW w:w="992" w:type="dxa"/>
            <w:gridSpan w:val="2"/>
            <w:tcBorders>
              <w:top w:val="single" w:color="auto" w:sz="4" w:space="0"/>
              <w:left w:val="nil"/>
              <w:bottom w:val="single" w:color="auto" w:sz="4" w:space="0"/>
              <w:right w:val="single" w:color="auto" w:sz="4" w:space="0"/>
            </w:tcBorders>
            <w:vAlign w:val="center"/>
          </w:tcPr>
          <w:p w14:paraId="20E7B655">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600</w:t>
            </w:r>
          </w:p>
        </w:tc>
        <w:tc>
          <w:tcPr>
            <w:tcW w:w="1658" w:type="dxa"/>
            <w:gridSpan w:val="2"/>
            <w:tcBorders>
              <w:top w:val="single" w:color="auto" w:sz="4" w:space="0"/>
              <w:left w:val="nil"/>
              <w:bottom w:val="single" w:color="auto" w:sz="4" w:space="0"/>
              <w:right w:val="single" w:color="auto" w:sz="4" w:space="0"/>
            </w:tcBorders>
            <w:vAlign w:val="center"/>
          </w:tcPr>
          <w:p w14:paraId="07C1CCD5">
            <w:pPr>
              <w:spacing w:line="0" w:lineRule="atLeast"/>
              <w:jc w:val="center"/>
              <w:rPr>
                <w:rFonts w:hint="default" w:ascii="Times New Roman" w:hAnsi="Times New Roman" w:cs="Times New Roman"/>
                <w:sz w:val="18"/>
                <w:szCs w:val="18"/>
                <w:highlight w:val="none"/>
              </w:rPr>
            </w:pPr>
          </w:p>
        </w:tc>
      </w:tr>
      <w:tr w14:paraId="7423B52C">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344492FA">
            <w:pPr>
              <w:spacing w:line="0" w:lineRule="atLeast"/>
              <w:rPr>
                <w:rFonts w:hint="default" w:ascii="Times New Roman" w:hAnsi="Times New Roman" w:cs="Times New Roman"/>
                <w:sz w:val="18"/>
                <w:szCs w:val="18"/>
                <w:highlight w:val="none"/>
              </w:rPr>
            </w:pPr>
          </w:p>
        </w:tc>
        <w:tc>
          <w:tcPr>
            <w:tcW w:w="852" w:type="dxa"/>
            <w:gridSpan w:val="2"/>
            <w:tcBorders>
              <w:top w:val="single" w:color="auto" w:sz="4" w:space="0"/>
              <w:left w:val="nil"/>
              <w:bottom w:val="single" w:color="auto" w:sz="4" w:space="0"/>
              <w:right w:val="single" w:color="auto" w:sz="4" w:space="0"/>
            </w:tcBorders>
            <w:vAlign w:val="center"/>
          </w:tcPr>
          <w:p w14:paraId="7BC90D96">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076466A7">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1AB0AE6B">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二十二、其他支出</w:t>
            </w:r>
          </w:p>
        </w:tc>
        <w:tc>
          <w:tcPr>
            <w:tcW w:w="992" w:type="dxa"/>
            <w:gridSpan w:val="2"/>
            <w:tcBorders>
              <w:top w:val="single" w:color="auto" w:sz="4" w:space="0"/>
              <w:left w:val="nil"/>
              <w:bottom w:val="single" w:color="auto" w:sz="4" w:space="0"/>
              <w:right w:val="single" w:color="auto" w:sz="4" w:space="0"/>
            </w:tcBorders>
            <w:vAlign w:val="center"/>
          </w:tcPr>
          <w:p w14:paraId="6E1BD978">
            <w:pPr>
              <w:spacing w:line="0" w:lineRule="atLeast"/>
              <w:jc w:val="center"/>
              <w:rPr>
                <w:rFonts w:hint="default" w:ascii="Times New Roman" w:hAnsi="Times New Roman" w:cs="Times New Roman"/>
                <w:sz w:val="18"/>
                <w:szCs w:val="18"/>
                <w:highlight w:val="none"/>
              </w:rPr>
            </w:pPr>
          </w:p>
        </w:tc>
        <w:tc>
          <w:tcPr>
            <w:tcW w:w="1658" w:type="dxa"/>
            <w:gridSpan w:val="2"/>
            <w:tcBorders>
              <w:top w:val="single" w:color="auto" w:sz="4" w:space="0"/>
              <w:left w:val="nil"/>
              <w:bottom w:val="single" w:color="auto" w:sz="4" w:space="0"/>
              <w:right w:val="single" w:color="auto" w:sz="4" w:space="0"/>
            </w:tcBorders>
            <w:vAlign w:val="center"/>
          </w:tcPr>
          <w:p w14:paraId="7FDD9472">
            <w:pPr>
              <w:spacing w:line="0" w:lineRule="atLeast"/>
              <w:jc w:val="center"/>
              <w:rPr>
                <w:rFonts w:hint="default" w:ascii="Times New Roman" w:hAnsi="Times New Roman" w:cs="Times New Roman"/>
                <w:sz w:val="18"/>
                <w:szCs w:val="18"/>
                <w:highlight w:val="none"/>
              </w:rPr>
            </w:pPr>
          </w:p>
        </w:tc>
      </w:tr>
      <w:tr w14:paraId="09762296">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1AA81DD9">
            <w:pPr>
              <w:spacing w:line="0" w:lineRule="atLeast"/>
              <w:rPr>
                <w:rFonts w:hint="default" w:ascii="Times New Roman" w:hAnsi="Times New Roman" w:cs="Times New Roman"/>
                <w:sz w:val="18"/>
                <w:szCs w:val="18"/>
                <w:highlight w:val="none"/>
              </w:rPr>
            </w:pPr>
          </w:p>
        </w:tc>
        <w:tc>
          <w:tcPr>
            <w:tcW w:w="852" w:type="dxa"/>
            <w:gridSpan w:val="2"/>
            <w:tcBorders>
              <w:top w:val="single" w:color="auto" w:sz="4" w:space="0"/>
              <w:left w:val="nil"/>
              <w:bottom w:val="single" w:color="auto" w:sz="4" w:space="0"/>
              <w:right w:val="single" w:color="auto" w:sz="4" w:space="0"/>
            </w:tcBorders>
            <w:vAlign w:val="center"/>
          </w:tcPr>
          <w:p w14:paraId="54DC0EF6">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03D83A5B">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05936A4B">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二十三、债务付息支出</w:t>
            </w:r>
          </w:p>
        </w:tc>
        <w:tc>
          <w:tcPr>
            <w:tcW w:w="992" w:type="dxa"/>
            <w:gridSpan w:val="2"/>
            <w:tcBorders>
              <w:top w:val="single" w:color="auto" w:sz="4" w:space="0"/>
              <w:left w:val="nil"/>
              <w:bottom w:val="single" w:color="auto" w:sz="4" w:space="0"/>
              <w:right w:val="single" w:color="auto" w:sz="4" w:space="0"/>
            </w:tcBorders>
            <w:vAlign w:val="center"/>
          </w:tcPr>
          <w:p w14:paraId="154C3552">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593</w:t>
            </w:r>
            <w:r>
              <w:rPr>
                <w:rFonts w:hint="default" w:ascii="Times New Roman" w:hAnsi="Times New Roman" w:cs="Times New Roman"/>
                <w:sz w:val="18"/>
                <w:szCs w:val="18"/>
                <w:highlight w:val="none"/>
              </w:rPr>
              <w:t xml:space="preserve"> </w:t>
            </w:r>
          </w:p>
        </w:tc>
        <w:tc>
          <w:tcPr>
            <w:tcW w:w="1658" w:type="dxa"/>
            <w:gridSpan w:val="2"/>
            <w:tcBorders>
              <w:top w:val="single" w:color="auto" w:sz="4" w:space="0"/>
              <w:left w:val="nil"/>
              <w:bottom w:val="single" w:color="auto" w:sz="4" w:space="0"/>
              <w:right w:val="single" w:color="auto" w:sz="4" w:space="0"/>
            </w:tcBorders>
            <w:vAlign w:val="center"/>
          </w:tcPr>
          <w:p w14:paraId="2D70C5F3">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593</w:t>
            </w:r>
          </w:p>
        </w:tc>
      </w:tr>
      <w:tr w14:paraId="643EC880">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7CFCBD25">
            <w:pPr>
              <w:spacing w:line="0" w:lineRule="atLeast"/>
              <w:rPr>
                <w:rFonts w:hint="default" w:ascii="Times New Roman" w:hAnsi="Times New Roman" w:cs="Times New Roman"/>
                <w:sz w:val="18"/>
                <w:szCs w:val="18"/>
                <w:highlight w:val="none"/>
              </w:rPr>
            </w:pPr>
          </w:p>
        </w:tc>
        <w:tc>
          <w:tcPr>
            <w:tcW w:w="852" w:type="dxa"/>
            <w:gridSpan w:val="2"/>
            <w:tcBorders>
              <w:top w:val="single" w:color="auto" w:sz="4" w:space="0"/>
              <w:left w:val="nil"/>
              <w:bottom w:val="single" w:color="auto" w:sz="4" w:space="0"/>
              <w:right w:val="single" w:color="auto" w:sz="4" w:space="0"/>
            </w:tcBorders>
            <w:vAlign w:val="center"/>
          </w:tcPr>
          <w:p w14:paraId="62213D0C">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71B90757">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605A5ABF">
            <w:pPr>
              <w:spacing w:line="0" w:lineRule="atLeas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二十四、债务发行费用支出</w:t>
            </w:r>
          </w:p>
        </w:tc>
        <w:tc>
          <w:tcPr>
            <w:tcW w:w="992" w:type="dxa"/>
            <w:gridSpan w:val="2"/>
            <w:tcBorders>
              <w:top w:val="single" w:color="auto" w:sz="4" w:space="0"/>
              <w:left w:val="nil"/>
              <w:bottom w:val="single" w:color="auto" w:sz="4" w:space="0"/>
              <w:right w:val="single" w:color="auto" w:sz="4" w:space="0"/>
            </w:tcBorders>
            <w:vAlign w:val="center"/>
          </w:tcPr>
          <w:p w14:paraId="22D9F878">
            <w:pPr>
              <w:spacing w:line="0" w:lineRule="atLeast"/>
              <w:jc w:val="center"/>
              <w:rPr>
                <w:rFonts w:hint="default" w:ascii="Times New Roman" w:hAnsi="Times New Roman" w:cs="Times New Roman"/>
                <w:sz w:val="18"/>
                <w:szCs w:val="18"/>
                <w:highlight w:val="none"/>
              </w:rPr>
            </w:pPr>
          </w:p>
        </w:tc>
        <w:tc>
          <w:tcPr>
            <w:tcW w:w="1658" w:type="dxa"/>
            <w:gridSpan w:val="2"/>
            <w:tcBorders>
              <w:top w:val="single" w:color="auto" w:sz="4" w:space="0"/>
              <w:left w:val="nil"/>
              <w:bottom w:val="single" w:color="auto" w:sz="4" w:space="0"/>
              <w:right w:val="single" w:color="auto" w:sz="4" w:space="0"/>
            </w:tcBorders>
            <w:vAlign w:val="center"/>
          </w:tcPr>
          <w:p w14:paraId="4D21675A">
            <w:pPr>
              <w:spacing w:line="0" w:lineRule="atLeast"/>
              <w:jc w:val="center"/>
              <w:rPr>
                <w:rFonts w:hint="default" w:ascii="Times New Roman" w:hAnsi="Times New Roman" w:cs="Times New Roman"/>
                <w:sz w:val="18"/>
                <w:szCs w:val="18"/>
                <w:highlight w:val="none"/>
              </w:rPr>
            </w:pPr>
          </w:p>
        </w:tc>
      </w:tr>
      <w:tr w14:paraId="32677C5C">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224A4F93">
            <w:pPr>
              <w:spacing w:line="0" w:lineRule="atLeast"/>
              <w:rPr>
                <w:rFonts w:hint="default" w:ascii="Times New Roman" w:hAnsi="Times New Roman" w:cs="Times New Roman"/>
                <w:sz w:val="18"/>
                <w:szCs w:val="18"/>
                <w:highlight w:val="none"/>
              </w:rPr>
            </w:pPr>
          </w:p>
        </w:tc>
        <w:tc>
          <w:tcPr>
            <w:tcW w:w="852" w:type="dxa"/>
            <w:gridSpan w:val="2"/>
            <w:tcBorders>
              <w:top w:val="single" w:color="auto" w:sz="4" w:space="0"/>
              <w:left w:val="nil"/>
              <w:bottom w:val="single" w:color="auto" w:sz="4" w:space="0"/>
              <w:right w:val="single" w:color="auto" w:sz="4" w:space="0"/>
            </w:tcBorders>
            <w:vAlign w:val="center"/>
          </w:tcPr>
          <w:p w14:paraId="166CDBFA">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20476E19">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29117764">
            <w:pPr>
              <w:spacing w:line="0" w:lineRule="atLeast"/>
              <w:rPr>
                <w:rFonts w:hint="default" w:ascii="Times New Roman" w:hAnsi="Times New Roman" w:cs="Times New Roman"/>
                <w:sz w:val="18"/>
                <w:szCs w:val="18"/>
                <w:highlight w:val="none"/>
              </w:rPr>
            </w:pPr>
          </w:p>
        </w:tc>
        <w:tc>
          <w:tcPr>
            <w:tcW w:w="992" w:type="dxa"/>
            <w:gridSpan w:val="2"/>
            <w:tcBorders>
              <w:top w:val="single" w:color="auto" w:sz="4" w:space="0"/>
              <w:left w:val="nil"/>
              <w:bottom w:val="single" w:color="auto" w:sz="4" w:space="0"/>
              <w:right w:val="single" w:color="auto" w:sz="4" w:space="0"/>
            </w:tcBorders>
            <w:vAlign w:val="center"/>
          </w:tcPr>
          <w:p w14:paraId="07E8E2AA">
            <w:pPr>
              <w:spacing w:line="0" w:lineRule="atLeast"/>
              <w:jc w:val="center"/>
              <w:rPr>
                <w:rFonts w:hint="default" w:ascii="Times New Roman" w:hAnsi="Times New Roman" w:cs="Times New Roman"/>
                <w:sz w:val="18"/>
                <w:szCs w:val="18"/>
                <w:highlight w:val="none"/>
              </w:rPr>
            </w:pPr>
          </w:p>
        </w:tc>
        <w:tc>
          <w:tcPr>
            <w:tcW w:w="1658" w:type="dxa"/>
            <w:gridSpan w:val="2"/>
            <w:tcBorders>
              <w:top w:val="single" w:color="auto" w:sz="4" w:space="0"/>
              <w:left w:val="nil"/>
              <w:bottom w:val="single" w:color="auto" w:sz="4" w:space="0"/>
              <w:right w:val="single" w:color="auto" w:sz="4" w:space="0"/>
            </w:tcBorders>
            <w:vAlign w:val="center"/>
          </w:tcPr>
          <w:p w14:paraId="29A6F2E2">
            <w:pPr>
              <w:spacing w:line="0" w:lineRule="atLeast"/>
              <w:jc w:val="center"/>
              <w:rPr>
                <w:rFonts w:hint="default" w:ascii="Times New Roman" w:hAnsi="Times New Roman" w:cs="Times New Roman"/>
                <w:sz w:val="18"/>
                <w:szCs w:val="18"/>
                <w:highlight w:val="none"/>
              </w:rPr>
            </w:pPr>
          </w:p>
        </w:tc>
      </w:tr>
      <w:tr w14:paraId="596225F8">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0B51B9A5">
            <w:pPr>
              <w:spacing w:line="0" w:lineRule="atLeast"/>
              <w:rPr>
                <w:rFonts w:hint="default" w:ascii="Times New Roman" w:hAnsi="Times New Roman" w:cs="Times New Roman"/>
                <w:sz w:val="18"/>
                <w:szCs w:val="18"/>
                <w:highlight w:val="none"/>
              </w:rPr>
            </w:pPr>
          </w:p>
        </w:tc>
        <w:tc>
          <w:tcPr>
            <w:tcW w:w="852" w:type="dxa"/>
            <w:gridSpan w:val="2"/>
            <w:tcBorders>
              <w:top w:val="single" w:color="auto" w:sz="4" w:space="0"/>
              <w:left w:val="nil"/>
              <w:bottom w:val="single" w:color="auto" w:sz="4" w:space="0"/>
              <w:right w:val="single" w:color="auto" w:sz="4" w:space="0"/>
            </w:tcBorders>
            <w:vAlign w:val="center"/>
          </w:tcPr>
          <w:p w14:paraId="07C2B0A4">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35BEA53E">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440AAA53">
            <w:pPr>
              <w:spacing w:line="0" w:lineRule="atLeast"/>
              <w:rPr>
                <w:rFonts w:hint="default" w:ascii="Times New Roman" w:hAnsi="Times New Roman" w:cs="Times New Roman"/>
                <w:sz w:val="18"/>
                <w:szCs w:val="18"/>
                <w:highlight w:val="none"/>
              </w:rPr>
            </w:pPr>
          </w:p>
        </w:tc>
        <w:tc>
          <w:tcPr>
            <w:tcW w:w="992" w:type="dxa"/>
            <w:gridSpan w:val="2"/>
            <w:tcBorders>
              <w:top w:val="single" w:color="auto" w:sz="4" w:space="0"/>
              <w:left w:val="nil"/>
              <w:bottom w:val="single" w:color="auto" w:sz="4" w:space="0"/>
              <w:right w:val="single" w:color="auto" w:sz="4" w:space="0"/>
            </w:tcBorders>
            <w:vAlign w:val="center"/>
          </w:tcPr>
          <w:p w14:paraId="0A284BD1">
            <w:pPr>
              <w:spacing w:line="0" w:lineRule="atLeast"/>
              <w:jc w:val="center"/>
              <w:rPr>
                <w:rFonts w:hint="default" w:ascii="Times New Roman" w:hAnsi="Times New Roman" w:cs="Times New Roman"/>
                <w:sz w:val="18"/>
                <w:szCs w:val="18"/>
                <w:highlight w:val="none"/>
              </w:rPr>
            </w:pPr>
          </w:p>
        </w:tc>
        <w:tc>
          <w:tcPr>
            <w:tcW w:w="1658" w:type="dxa"/>
            <w:gridSpan w:val="2"/>
            <w:tcBorders>
              <w:top w:val="single" w:color="auto" w:sz="4" w:space="0"/>
              <w:left w:val="nil"/>
              <w:bottom w:val="single" w:color="auto" w:sz="4" w:space="0"/>
              <w:right w:val="single" w:color="auto" w:sz="4" w:space="0"/>
            </w:tcBorders>
            <w:vAlign w:val="center"/>
          </w:tcPr>
          <w:p w14:paraId="2EC99BCE">
            <w:pPr>
              <w:spacing w:line="0" w:lineRule="atLeast"/>
              <w:jc w:val="center"/>
              <w:rPr>
                <w:rFonts w:hint="default" w:ascii="Times New Roman" w:hAnsi="Times New Roman" w:cs="Times New Roman"/>
                <w:sz w:val="18"/>
                <w:szCs w:val="18"/>
                <w:highlight w:val="none"/>
              </w:rPr>
            </w:pPr>
          </w:p>
        </w:tc>
      </w:tr>
      <w:tr w14:paraId="28C10637">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4F4A0483">
            <w:pPr>
              <w:spacing w:line="0" w:lineRule="atLeast"/>
              <w:jc w:val="center"/>
              <w:rPr>
                <w:rFonts w:hint="default" w:ascii="Times New Roman" w:hAnsi="Times New Roman" w:cs="Times New Roman"/>
                <w:sz w:val="18"/>
                <w:szCs w:val="18"/>
                <w:highlight w:val="none"/>
              </w:rPr>
            </w:pPr>
          </w:p>
        </w:tc>
        <w:tc>
          <w:tcPr>
            <w:tcW w:w="852" w:type="dxa"/>
            <w:gridSpan w:val="2"/>
            <w:tcBorders>
              <w:top w:val="single" w:color="auto" w:sz="4" w:space="0"/>
              <w:left w:val="nil"/>
              <w:bottom w:val="single" w:color="auto" w:sz="4" w:space="0"/>
              <w:right w:val="single" w:color="auto" w:sz="4" w:space="0"/>
            </w:tcBorders>
            <w:vAlign w:val="center"/>
          </w:tcPr>
          <w:p w14:paraId="05C4359D">
            <w:pPr>
              <w:spacing w:line="0" w:lineRule="atLeast"/>
              <w:jc w:val="center"/>
              <w:rPr>
                <w:rFonts w:hint="default" w:ascii="Times New Roman" w:hAnsi="Times New Roman" w:cs="Times New Roman"/>
                <w:sz w:val="18"/>
                <w:szCs w:val="18"/>
                <w:highlight w:val="none"/>
              </w:rPr>
            </w:pPr>
          </w:p>
        </w:tc>
        <w:tc>
          <w:tcPr>
            <w:tcW w:w="864" w:type="dxa"/>
            <w:tcBorders>
              <w:top w:val="single" w:color="auto" w:sz="4" w:space="0"/>
              <w:left w:val="nil"/>
              <w:bottom w:val="single" w:color="auto" w:sz="4" w:space="0"/>
              <w:right w:val="single" w:color="auto" w:sz="4" w:space="0"/>
            </w:tcBorders>
            <w:vAlign w:val="center"/>
          </w:tcPr>
          <w:p w14:paraId="419884AC">
            <w:pPr>
              <w:spacing w:line="0" w:lineRule="atLeast"/>
              <w:jc w:val="center"/>
              <w:rPr>
                <w:rFonts w:hint="default" w:ascii="Times New Roman" w:hAnsi="Times New Roman" w:cs="Times New Roman"/>
                <w:sz w:val="18"/>
                <w:szCs w:val="18"/>
                <w:highlight w:val="none"/>
              </w:rPr>
            </w:pPr>
          </w:p>
        </w:tc>
        <w:tc>
          <w:tcPr>
            <w:tcW w:w="2393" w:type="dxa"/>
            <w:gridSpan w:val="2"/>
            <w:tcBorders>
              <w:top w:val="single" w:color="auto" w:sz="4" w:space="0"/>
              <w:left w:val="nil"/>
              <w:bottom w:val="single" w:color="auto" w:sz="4" w:space="0"/>
              <w:right w:val="single" w:color="auto" w:sz="4" w:space="0"/>
            </w:tcBorders>
            <w:vAlign w:val="center"/>
          </w:tcPr>
          <w:p w14:paraId="5482F361">
            <w:pPr>
              <w:spacing w:line="0" w:lineRule="atLeast"/>
              <w:jc w:val="center"/>
              <w:rPr>
                <w:rFonts w:hint="default" w:ascii="Times New Roman" w:hAnsi="Times New Roman" w:cs="Times New Roman"/>
                <w:b/>
                <w:bCs/>
                <w:sz w:val="18"/>
                <w:szCs w:val="18"/>
                <w:highlight w:val="none"/>
              </w:rPr>
            </w:pPr>
          </w:p>
        </w:tc>
        <w:tc>
          <w:tcPr>
            <w:tcW w:w="992" w:type="dxa"/>
            <w:gridSpan w:val="2"/>
            <w:tcBorders>
              <w:top w:val="single" w:color="auto" w:sz="4" w:space="0"/>
              <w:left w:val="nil"/>
              <w:bottom w:val="single" w:color="auto" w:sz="4" w:space="0"/>
              <w:right w:val="single" w:color="auto" w:sz="4" w:space="0"/>
            </w:tcBorders>
            <w:vAlign w:val="center"/>
          </w:tcPr>
          <w:p w14:paraId="0FACC65D">
            <w:pPr>
              <w:spacing w:line="0" w:lineRule="atLeast"/>
              <w:jc w:val="center"/>
              <w:rPr>
                <w:rFonts w:hint="default" w:ascii="Times New Roman" w:hAnsi="Times New Roman" w:cs="Times New Roman"/>
                <w:sz w:val="18"/>
                <w:szCs w:val="18"/>
                <w:highlight w:val="none"/>
              </w:rPr>
            </w:pPr>
          </w:p>
        </w:tc>
        <w:tc>
          <w:tcPr>
            <w:tcW w:w="1658" w:type="dxa"/>
            <w:gridSpan w:val="2"/>
            <w:tcBorders>
              <w:top w:val="single" w:color="auto" w:sz="4" w:space="0"/>
              <w:left w:val="nil"/>
              <w:bottom w:val="single" w:color="auto" w:sz="4" w:space="0"/>
              <w:right w:val="single" w:color="auto" w:sz="4" w:space="0"/>
            </w:tcBorders>
            <w:vAlign w:val="center"/>
          </w:tcPr>
          <w:p w14:paraId="71F41682">
            <w:pPr>
              <w:spacing w:line="0" w:lineRule="atLeast"/>
              <w:jc w:val="center"/>
              <w:rPr>
                <w:rFonts w:hint="default" w:ascii="Times New Roman" w:hAnsi="Times New Roman" w:cs="Times New Roman"/>
                <w:sz w:val="18"/>
                <w:szCs w:val="18"/>
                <w:highlight w:val="none"/>
              </w:rPr>
            </w:pPr>
          </w:p>
        </w:tc>
      </w:tr>
      <w:tr w14:paraId="63D1C14A">
        <w:tblPrEx>
          <w:tblCellMar>
            <w:top w:w="0" w:type="dxa"/>
            <w:left w:w="108" w:type="dxa"/>
            <w:bottom w:w="0" w:type="dxa"/>
            <w:right w:w="108" w:type="dxa"/>
          </w:tblCellMar>
        </w:tblPrEx>
        <w:trPr>
          <w:trHeight w:val="397" w:hRule="atLeast"/>
        </w:trPr>
        <w:tc>
          <w:tcPr>
            <w:tcW w:w="3688" w:type="dxa"/>
            <w:gridSpan w:val="2"/>
            <w:tcBorders>
              <w:top w:val="single" w:color="auto" w:sz="4" w:space="0"/>
              <w:left w:val="single" w:color="auto" w:sz="4" w:space="0"/>
              <w:bottom w:val="single" w:color="auto" w:sz="4" w:space="0"/>
              <w:right w:val="single" w:color="auto" w:sz="4" w:space="0"/>
            </w:tcBorders>
            <w:vAlign w:val="center"/>
          </w:tcPr>
          <w:p w14:paraId="220A7BF0">
            <w:pPr>
              <w:spacing w:line="0" w:lineRule="atLeast"/>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一般预算收入合计</w:t>
            </w:r>
          </w:p>
        </w:tc>
        <w:tc>
          <w:tcPr>
            <w:tcW w:w="852" w:type="dxa"/>
            <w:gridSpan w:val="2"/>
            <w:tcBorders>
              <w:top w:val="single" w:color="auto" w:sz="4" w:space="0"/>
              <w:left w:val="nil"/>
              <w:bottom w:val="single" w:color="auto" w:sz="4" w:space="0"/>
              <w:right w:val="single" w:color="auto" w:sz="4" w:space="0"/>
            </w:tcBorders>
            <w:vAlign w:val="center"/>
          </w:tcPr>
          <w:p w14:paraId="11609629">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23080</w:t>
            </w:r>
          </w:p>
        </w:tc>
        <w:tc>
          <w:tcPr>
            <w:tcW w:w="864" w:type="dxa"/>
            <w:tcBorders>
              <w:top w:val="single" w:color="auto" w:sz="4" w:space="0"/>
              <w:left w:val="nil"/>
              <w:bottom w:val="single" w:color="auto" w:sz="4" w:space="0"/>
              <w:right w:val="single" w:color="auto" w:sz="4" w:space="0"/>
            </w:tcBorders>
            <w:vAlign w:val="center"/>
          </w:tcPr>
          <w:p w14:paraId="03E41D7E">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23080</w:t>
            </w:r>
          </w:p>
        </w:tc>
        <w:tc>
          <w:tcPr>
            <w:tcW w:w="2393" w:type="dxa"/>
            <w:gridSpan w:val="2"/>
            <w:tcBorders>
              <w:top w:val="single" w:color="auto" w:sz="4" w:space="0"/>
              <w:left w:val="nil"/>
              <w:bottom w:val="single" w:color="auto" w:sz="4" w:space="0"/>
              <w:right w:val="single" w:color="auto" w:sz="4" w:space="0"/>
            </w:tcBorders>
            <w:vAlign w:val="center"/>
          </w:tcPr>
          <w:p w14:paraId="7C4402C4">
            <w:pPr>
              <w:spacing w:line="0" w:lineRule="atLeast"/>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财政支出总计</w:t>
            </w:r>
          </w:p>
        </w:tc>
        <w:tc>
          <w:tcPr>
            <w:tcW w:w="992" w:type="dxa"/>
            <w:gridSpan w:val="2"/>
            <w:tcBorders>
              <w:top w:val="single" w:color="auto" w:sz="4" w:space="0"/>
              <w:left w:val="nil"/>
              <w:bottom w:val="single" w:color="auto" w:sz="4" w:space="0"/>
              <w:right w:val="single" w:color="auto" w:sz="4" w:space="0"/>
            </w:tcBorders>
            <w:vAlign w:val="center"/>
          </w:tcPr>
          <w:p w14:paraId="30BD306F">
            <w:pPr>
              <w:spacing w:line="0" w:lineRule="atLeas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55890</w:t>
            </w:r>
            <w:r>
              <w:rPr>
                <w:rFonts w:hint="default" w:ascii="Times New Roman" w:hAnsi="Times New Roman" w:cs="Times New Roman"/>
                <w:sz w:val="18"/>
                <w:szCs w:val="18"/>
                <w:highlight w:val="none"/>
              </w:rPr>
              <w:t xml:space="preserve"> </w:t>
            </w:r>
          </w:p>
        </w:tc>
        <w:tc>
          <w:tcPr>
            <w:tcW w:w="1658" w:type="dxa"/>
            <w:gridSpan w:val="2"/>
            <w:tcBorders>
              <w:top w:val="single" w:color="auto" w:sz="4" w:space="0"/>
              <w:left w:val="nil"/>
              <w:bottom w:val="single" w:color="auto" w:sz="4" w:space="0"/>
              <w:right w:val="single" w:color="auto" w:sz="4" w:space="0"/>
            </w:tcBorders>
            <w:vAlign w:val="center"/>
          </w:tcPr>
          <w:p w14:paraId="2912ED3C">
            <w:pPr>
              <w:spacing w:line="0" w:lineRule="atLeast"/>
              <w:jc w:val="center"/>
              <w:rPr>
                <w:rFonts w:hint="default" w:ascii="Times New Roman" w:hAnsi="Times New Roman" w:eastAsia="楷体_GB2312" w:cs="Times New Roman"/>
                <w:sz w:val="18"/>
                <w:szCs w:val="18"/>
                <w:highlight w:val="none"/>
                <w:lang w:val="en-US" w:eastAsia="zh-CN"/>
              </w:rPr>
            </w:pPr>
            <w:r>
              <w:rPr>
                <w:rFonts w:hint="default" w:ascii="Times New Roman" w:hAnsi="Times New Roman" w:cs="Times New Roman"/>
                <w:sz w:val="18"/>
                <w:szCs w:val="18"/>
                <w:highlight w:val="none"/>
                <w:lang w:val="en-US" w:eastAsia="zh-CN"/>
              </w:rPr>
              <w:t>55890</w:t>
            </w:r>
          </w:p>
        </w:tc>
      </w:tr>
      <w:bookmarkEnd w:id="0"/>
      <w:tr w14:paraId="50EEB466">
        <w:tblPrEx>
          <w:tblCellMar>
            <w:top w:w="0" w:type="dxa"/>
            <w:left w:w="108" w:type="dxa"/>
            <w:bottom w:w="0" w:type="dxa"/>
            <w:right w:w="108" w:type="dxa"/>
          </w:tblCellMar>
        </w:tblPrEx>
        <w:trPr>
          <w:gridBefore w:val="1"/>
          <w:gridAfter w:val="1"/>
          <w:wBefore w:w="800" w:type="dxa"/>
          <w:wAfter w:w="470" w:type="dxa"/>
          <w:trHeight w:val="489" w:hRule="atLeast"/>
        </w:trPr>
        <w:tc>
          <w:tcPr>
            <w:tcW w:w="9177" w:type="dxa"/>
            <w:gridSpan w:val="9"/>
            <w:tcBorders>
              <w:top w:val="nil"/>
              <w:left w:val="nil"/>
              <w:bottom w:val="nil"/>
              <w:right w:val="nil"/>
            </w:tcBorders>
            <w:vAlign w:val="bottom"/>
          </w:tcPr>
          <w:p w14:paraId="1AB79FC1">
            <w:pPr>
              <w:widowControl/>
              <w:jc w:val="center"/>
              <w:rPr>
                <w:rFonts w:hint="default" w:ascii="Times New Roman" w:hAnsi="Times New Roman" w:eastAsia="方正大标宋简体" w:cs="Times New Roman"/>
                <w:kern w:val="0"/>
                <w:sz w:val="36"/>
                <w:szCs w:val="36"/>
                <w:highlight w:val="none"/>
              </w:rPr>
            </w:pPr>
            <w:r>
              <w:rPr>
                <w:rFonts w:hint="default" w:ascii="Times New Roman" w:hAnsi="Times New Roman" w:eastAsia="方正大标宋简体" w:cs="Times New Roman"/>
                <w:kern w:val="0"/>
                <w:sz w:val="36"/>
                <w:szCs w:val="36"/>
                <w:highlight w:val="none"/>
                <w:lang w:eastAsia="zh-CN"/>
              </w:rPr>
              <w:t>八公山区</w:t>
            </w:r>
            <w:r>
              <w:rPr>
                <w:rFonts w:hint="default" w:ascii="Times New Roman" w:hAnsi="Times New Roman" w:eastAsia="方正大标宋简体" w:cs="Times New Roman"/>
                <w:kern w:val="0"/>
                <w:sz w:val="36"/>
                <w:szCs w:val="36"/>
                <w:highlight w:val="none"/>
              </w:rPr>
              <w:t>202</w:t>
            </w:r>
            <w:r>
              <w:rPr>
                <w:rFonts w:hint="default" w:ascii="Times New Roman" w:hAnsi="Times New Roman" w:eastAsia="方正大标宋简体" w:cs="Times New Roman"/>
                <w:kern w:val="0"/>
                <w:sz w:val="36"/>
                <w:szCs w:val="36"/>
                <w:highlight w:val="none"/>
                <w:lang w:val="en-US" w:eastAsia="zh-CN"/>
              </w:rPr>
              <w:t>5</w:t>
            </w:r>
            <w:r>
              <w:rPr>
                <w:rFonts w:hint="default" w:ascii="Times New Roman" w:hAnsi="Times New Roman" w:eastAsia="方正大标宋简体" w:cs="Times New Roman"/>
                <w:kern w:val="0"/>
                <w:sz w:val="36"/>
                <w:szCs w:val="36"/>
                <w:highlight w:val="none"/>
              </w:rPr>
              <w:t>年一般公共预算收支表</w:t>
            </w:r>
          </w:p>
        </w:tc>
      </w:tr>
      <w:tr w14:paraId="365352DB">
        <w:tblPrEx>
          <w:tblCellMar>
            <w:top w:w="0" w:type="dxa"/>
            <w:left w:w="108" w:type="dxa"/>
            <w:bottom w:w="0" w:type="dxa"/>
            <w:right w:w="108" w:type="dxa"/>
          </w:tblCellMar>
        </w:tblPrEx>
        <w:trPr>
          <w:gridBefore w:val="1"/>
          <w:gridAfter w:val="1"/>
          <w:wBefore w:w="800" w:type="dxa"/>
          <w:wAfter w:w="470" w:type="dxa"/>
          <w:trHeight w:val="424" w:hRule="atLeast"/>
        </w:trPr>
        <w:tc>
          <w:tcPr>
            <w:tcW w:w="3593" w:type="dxa"/>
            <w:gridSpan w:val="2"/>
            <w:tcBorders>
              <w:top w:val="nil"/>
              <w:left w:val="nil"/>
              <w:bottom w:val="single" w:color="auto" w:sz="4" w:space="0"/>
              <w:right w:val="nil"/>
            </w:tcBorders>
            <w:vAlign w:val="bottom"/>
          </w:tcPr>
          <w:p w14:paraId="1CE54B57">
            <w:pPr>
              <w:widowControl/>
              <w:jc w:val="right"/>
              <w:rPr>
                <w:rFonts w:hint="default" w:ascii="Times New Roman" w:hAnsi="Times New Roman" w:eastAsia="黑体" w:cs="Times New Roman"/>
                <w:kern w:val="0"/>
                <w:sz w:val="40"/>
                <w:szCs w:val="40"/>
                <w:highlight w:val="none"/>
              </w:rPr>
            </w:pPr>
            <w:r>
              <w:rPr>
                <w:rFonts w:hint="default" w:ascii="Times New Roman" w:hAnsi="Times New Roman" w:eastAsia="黑体" w:cs="Times New Roman"/>
                <w:kern w:val="0"/>
                <w:sz w:val="40"/>
                <w:szCs w:val="40"/>
                <w:highlight w:val="none"/>
              </w:rPr>
              <w:t>　</w:t>
            </w:r>
          </w:p>
        </w:tc>
        <w:tc>
          <w:tcPr>
            <w:tcW w:w="1284" w:type="dxa"/>
            <w:gridSpan w:val="3"/>
            <w:tcBorders>
              <w:top w:val="nil"/>
              <w:left w:val="nil"/>
              <w:bottom w:val="single" w:color="auto" w:sz="4" w:space="0"/>
              <w:right w:val="nil"/>
            </w:tcBorders>
            <w:vAlign w:val="bottom"/>
          </w:tcPr>
          <w:p w14:paraId="5931BFC2">
            <w:pPr>
              <w:widowControl/>
              <w:jc w:val="right"/>
              <w:rPr>
                <w:rFonts w:hint="default" w:ascii="Times New Roman" w:hAnsi="Times New Roman" w:eastAsia="黑体" w:cs="Times New Roman"/>
                <w:kern w:val="0"/>
                <w:sz w:val="40"/>
                <w:szCs w:val="40"/>
                <w:highlight w:val="none"/>
              </w:rPr>
            </w:pPr>
            <w:r>
              <w:rPr>
                <w:rFonts w:hint="default" w:ascii="Times New Roman" w:hAnsi="Times New Roman" w:eastAsia="黑体" w:cs="Times New Roman"/>
                <w:kern w:val="0"/>
                <w:sz w:val="40"/>
                <w:szCs w:val="40"/>
                <w:highlight w:val="none"/>
              </w:rPr>
              <w:t>　</w:t>
            </w:r>
          </w:p>
        </w:tc>
        <w:tc>
          <w:tcPr>
            <w:tcW w:w="4300" w:type="dxa"/>
            <w:gridSpan w:val="4"/>
            <w:tcBorders>
              <w:top w:val="nil"/>
              <w:left w:val="nil"/>
              <w:bottom w:val="single" w:color="auto" w:sz="4" w:space="0"/>
              <w:right w:val="nil"/>
            </w:tcBorders>
            <w:vAlign w:val="bottom"/>
          </w:tcPr>
          <w:p w14:paraId="745E1761">
            <w:pPr>
              <w:widowControl/>
              <w:jc w:val="right"/>
              <w:rPr>
                <w:rFonts w:hint="default" w:ascii="Times New Roman" w:hAnsi="Times New Roman" w:eastAsia="楷体_GB2312" w:cs="Times New Roman"/>
                <w:kern w:val="0"/>
                <w:sz w:val="26"/>
                <w:szCs w:val="26"/>
                <w:highlight w:val="none"/>
              </w:rPr>
            </w:pPr>
            <w:r>
              <w:rPr>
                <w:rFonts w:hint="default" w:ascii="Times New Roman" w:hAnsi="Times New Roman" w:eastAsia="楷体_GB2312" w:cs="Times New Roman"/>
                <w:kern w:val="0"/>
                <w:sz w:val="26"/>
                <w:szCs w:val="26"/>
                <w:highlight w:val="none"/>
              </w:rPr>
              <w:t>单位：万元</w:t>
            </w:r>
          </w:p>
        </w:tc>
      </w:tr>
      <w:tr w14:paraId="005B6E84">
        <w:tblPrEx>
          <w:tblCellMar>
            <w:top w:w="0" w:type="dxa"/>
            <w:left w:w="108" w:type="dxa"/>
            <w:bottom w:w="0" w:type="dxa"/>
            <w:right w:w="108" w:type="dxa"/>
          </w:tblCellMar>
        </w:tblPrEx>
        <w:trPr>
          <w:gridBefore w:val="1"/>
          <w:gridAfter w:val="1"/>
          <w:wBefore w:w="800" w:type="dxa"/>
          <w:wAfter w:w="470" w:type="dxa"/>
          <w:trHeight w:val="486" w:hRule="atLeast"/>
        </w:trPr>
        <w:tc>
          <w:tcPr>
            <w:tcW w:w="3593" w:type="dxa"/>
            <w:gridSpan w:val="2"/>
            <w:tcBorders>
              <w:top w:val="single" w:color="auto" w:sz="4" w:space="0"/>
              <w:left w:val="single" w:color="auto" w:sz="4" w:space="0"/>
              <w:bottom w:val="single" w:color="auto" w:sz="4" w:space="0"/>
              <w:right w:val="single" w:color="auto" w:sz="4" w:space="0"/>
            </w:tcBorders>
            <w:vAlign w:val="center"/>
          </w:tcPr>
          <w:p w14:paraId="297D690C">
            <w:pPr>
              <w:widowControl/>
              <w:spacing w:line="0" w:lineRule="atLeast"/>
              <w:jc w:val="center"/>
              <w:rPr>
                <w:rFonts w:hint="default" w:ascii="Times New Roman" w:hAnsi="Times New Roman" w:eastAsia="黑体" w:cs="Times New Roman"/>
                <w:b w:val="0"/>
                <w:bCs w:val="0"/>
                <w:kern w:val="0"/>
                <w:sz w:val="20"/>
                <w:highlight w:val="none"/>
              </w:rPr>
            </w:pPr>
            <w:r>
              <w:rPr>
                <w:rFonts w:hint="default" w:ascii="Times New Roman" w:hAnsi="Times New Roman" w:eastAsia="黑体" w:cs="Times New Roman"/>
                <w:b w:val="0"/>
                <w:bCs w:val="0"/>
                <w:kern w:val="0"/>
                <w:sz w:val="20"/>
                <w:highlight w:val="none"/>
              </w:rPr>
              <w:t>收入项目</w:t>
            </w:r>
          </w:p>
        </w:tc>
        <w:tc>
          <w:tcPr>
            <w:tcW w:w="1284" w:type="dxa"/>
            <w:gridSpan w:val="3"/>
            <w:tcBorders>
              <w:top w:val="single" w:color="auto" w:sz="4" w:space="0"/>
              <w:left w:val="nil"/>
              <w:bottom w:val="single" w:color="auto" w:sz="4" w:space="0"/>
              <w:right w:val="single" w:color="auto" w:sz="4" w:space="0"/>
            </w:tcBorders>
            <w:vAlign w:val="center"/>
          </w:tcPr>
          <w:p w14:paraId="18F23DE4">
            <w:pPr>
              <w:widowControl/>
              <w:spacing w:line="0" w:lineRule="atLeast"/>
              <w:jc w:val="center"/>
              <w:rPr>
                <w:rFonts w:hint="default" w:ascii="Times New Roman" w:hAnsi="Times New Roman" w:eastAsia="黑体" w:cs="Times New Roman"/>
                <w:b w:val="0"/>
                <w:bCs w:val="0"/>
                <w:kern w:val="0"/>
                <w:sz w:val="20"/>
                <w:highlight w:val="none"/>
              </w:rPr>
            </w:pPr>
            <w:r>
              <w:rPr>
                <w:rFonts w:hint="default" w:ascii="Times New Roman" w:hAnsi="Times New Roman" w:eastAsia="黑体" w:cs="Times New Roman"/>
                <w:b w:val="0"/>
                <w:bCs w:val="0"/>
                <w:kern w:val="0"/>
                <w:sz w:val="20"/>
                <w:highlight w:val="none"/>
              </w:rPr>
              <w:t>预算数</w:t>
            </w:r>
          </w:p>
        </w:tc>
        <w:tc>
          <w:tcPr>
            <w:tcW w:w="2976" w:type="dxa"/>
            <w:gridSpan w:val="2"/>
            <w:tcBorders>
              <w:top w:val="single" w:color="auto" w:sz="4" w:space="0"/>
              <w:left w:val="nil"/>
              <w:bottom w:val="single" w:color="auto" w:sz="4" w:space="0"/>
              <w:right w:val="single" w:color="auto" w:sz="4" w:space="0"/>
            </w:tcBorders>
            <w:vAlign w:val="center"/>
          </w:tcPr>
          <w:p w14:paraId="66F34569">
            <w:pPr>
              <w:widowControl/>
              <w:spacing w:line="0" w:lineRule="atLeast"/>
              <w:jc w:val="center"/>
              <w:rPr>
                <w:rFonts w:hint="default" w:ascii="Times New Roman" w:hAnsi="Times New Roman" w:eastAsia="黑体" w:cs="Times New Roman"/>
                <w:b w:val="0"/>
                <w:bCs w:val="0"/>
                <w:kern w:val="0"/>
                <w:sz w:val="20"/>
                <w:highlight w:val="none"/>
              </w:rPr>
            </w:pPr>
            <w:r>
              <w:rPr>
                <w:rFonts w:hint="default" w:ascii="Times New Roman" w:hAnsi="Times New Roman" w:eastAsia="黑体" w:cs="Times New Roman"/>
                <w:b w:val="0"/>
                <w:bCs w:val="0"/>
                <w:kern w:val="0"/>
                <w:sz w:val="20"/>
                <w:highlight w:val="none"/>
              </w:rPr>
              <w:t>支出项目</w:t>
            </w:r>
          </w:p>
        </w:tc>
        <w:tc>
          <w:tcPr>
            <w:tcW w:w="1324" w:type="dxa"/>
            <w:gridSpan w:val="2"/>
            <w:tcBorders>
              <w:top w:val="single" w:color="auto" w:sz="4" w:space="0"/>
              <w:left w:val="nil"/>
              <w:bottom w:val="single" w:color="auto" w:sz="4" w:space="0"/>
              <w:right w:val="single" w:color="auto" w:sz="4" w:space="0"/>
            </w:tcBorders>
            <w:vAlign w:val="center"/>
          </w:tcPr>
          <w:p w14:paraId="77888932">
            <w:pPr>
              <w:widowControl/>
              <w:spacing w:line="0" w:lineRule="atLeast"/>
              <w:jc w:val="center"/>
              <w:rPr>
                <w:rFonts w:hint="default" w:ascii="Times New Roman" w:hAnsi="Times New Roman" w:eastAsia="黑体" w:cs="Times New Roman"/>
                <w:b w:val="0"/>
                <w:bCs w:val="0"/>
                <w:kern w:val="0"/>
                <w:sz w:val="20"/>
                <w:highlight w:val="none"/>
              </w:rPr>
            </w:pPr>
            <w:r>
              <w:rPr>
                <w:rFonts w:hint="default" w:ascii="Times New Roman" w:hAnsi="Times New Roman" w:eastAsia="黑体" w:cs="Times New Roman"/>
                <w:b w:val="0"/>
                <w:bCs w:val="0"/>
                <w:kern w:val="0"/>
                <w:sz w:val="20"/>
                <w:highlight w:val="none"/>
              </w:rPr>
              <w:t>预算数</w:t>
            </w:r>
          </w:p>
        </w:tc>
      </w:tr>
      <w:tr w14:paraId="0C5BA3DE">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6DD5EF80">
            <w:pPr>
              <w:spacing w:line="0" w:lineRule="atLeast"/>
              <w:rPr>
                <w:rFonts w:hint="default" w:ascii="Times New Roman" w:hAnsi="Times New Roman" w:cs="Times New Roman"/>
                <w:b/>
                <w:sz w:val="20"/>
                <w:highlight w:val="none"/>
              </w:rPr>
            </w:pPr>
            <w:r>
              <w:rPr>
                <w:rFonts w:hint="default" w:ascii="Times New Roman" w:hAnsi="Times New Roman" w:cs="Times New Roman"/>
                <w:b/>
                <w:sz w:val="20"/>
                <w:highlight w:val="none"/>
              </w:rPr>
              <w:t>（一）税收收入小计</w:t>
            </w:r>
          </w:p>
        </w:tc>
        <w:tc>
          <w:tcPr>
            <w:tcW w:w="1284" w:type="dxa"/>
            <w:gridSpan w:val="3"/>
            <w:tcBorders>
              <w:top w:val="nil"/>
              <w:left w:val="nil"/>
              <w:bottom w:val="single" w:color="auto" w:sz="4" w:space="0"/>
              <w:right w:val="single" w:color="auto" w:sz="4" w:space="0"/>
            </w:tcBorders>
            <w:vAlign w:val="center"/>
          </w:tcPr>
          <w:p w14:paraId="43010D3D">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8450</w:t>
            </w:r>
          </w:p>
        </w:tc>
        <w:tc>
          <w:tcPr>
            <w:tcW w:w="2976" w:type="dxa"/>
            <w:gridSpan w:val="2"/>
            <w:tcBorders>
              <w:top w:val="nil"/>
              <w:left w:val="nil"/>
              <w:bottom w:val="single" w:color="auto" w:sz="4" w:space="0"/>
              <w:right w:val="single" w:color="auto" w:sz="4" w:space="0"/>
            </w:tcBorders>
            <w:vAlign w:val="center"/>
          </w:tcPr>
          <w:p w14:paraId="4663FDED">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一、一般公共服务</w:t>
            </w:r>
          </w:p>
        </w:tc>
        <w:tc>
          <w:tcPr>
            <w:tcW w:w="1324" w:type="dxa"/>
            <w:gridSpan w:val="2"/>
            <w:tcBorders>
              <w:top w:val="nil"/>
              <w:left w:val="nil"/>
              <w:bottom w:val="single" w:color="auto" w:sz="4" w:space="0"/>
              <w:right w:val="single" w:color="auto" w:sz="4" w:space="0"/>
            </w:tcBorders>
            <w:vAlign w:val="center"/>
          </w:tcPr>
          <w:p w14:paraId="4F7DA4F1">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3990</w:t>
            </w:r>
          </w:p>
        </w:tc>
      </w:tr>
      <w:tr w14:paraId="4B8E3E93">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6B5757F9">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1.</w:t>
            </w:r>
            <w:r>
              <w:rPr>
                <w:rFonts w:hint="default" w:ascii="Times New Roman" w:hAnsi="Times New Roman" w:cs="Times New Roman"/>
                <w:sz w:val="20"/>
                <w:highlight w:val="none"/>
              </w:rPr>
              <w:t>增值税</w:t>
            </w:r>
          </w:p>
        </w:tc>
        <w:tc>
          <w:tcPr>
            <w:tcW w:w="1284" w:type="dxa"/>
            <w:gridSpan w:val="3"/>
            <w:tcBorders>
              <w:top w:val="nil"/>
              <w:left w:val="nil"/>
              <w:bottom w:val="single" w:color="auto" w:sz="4" w:space="0"/>
              <w:right w:val="single" w:color="auto" w:sz="4" w:space="0"/>
            </w:tcBorders>
            <w:vAlign w:val="center"/>
          </w:tcPr>
          <w:p w14:paraId="7EE64D31">
            <w:pPr>
              <w:spacing w:line="0" w:lineRule="atLeast"/>
              <w:jc w:val="center"/>
              <w:rPr>
                <w:rFonts w:hint="default" w:ascii="Times New Roman" w:hAnsi="Times New Roman" w:cs="Times New Roman"/>
                <w:sz w:val="20"/>
                <w:highlight w:val="none"/>
              </w:rPr>
            </w:pPr>
            <w:r>
              <w:rPr>
                <w:rFonts w:hint="default" w:ascii="Times New Roman" w:hAnsi="Times New Roman" w:cs="Times New Roman"/>
                <w:sz w:val="20"/>
                <w:highlight w:val="none"/>
                <w:lang w:val="en-US" w:eastAsia="zh-CN"/>
              </w:rPr>
              <w:t>4560</w:t>
            </w:r>
            <w:r>
              <w:rPr>
                <w:rFonts w:hint="default" w:ascii="Times New Roman" w:hAnsi="Times New Roman" w:cs="Times New Roman"/>
                <w:sz w:val="20"/>
                <w:highlight w:val="none"/>
              </w:rPr>
              <w:t xml:space="preserve"> </w:t>
            </w:r>
          </w:p>
        </w:tc>
        <w:tc>
          <w:tcPr>
            <w:tcW w:w="2976" w:type="dxa"/>
            <w:gridSpan w:val="2"/>
            <w:tcBorders>
              <w:top w:val="nil"/>
              <w:left w:val="nil"/>
              <w:bottom w:val="single" w:color="auto" w:sz="4" w:space="0"/>
              <w:right w:val="single" w:color="auto" w:sz="4" w:space="0"/>
            </w:tcBorders>
            <w:vAlign w:val="center"/>
          </w:tcPr>
          <w:p w14:paraId="593797F7">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二、外交</w:t>
            </w:r>
          </w:p>
        </w:tc>
        <w:tc>
          <w:tcPr>
            <w:tcW w:w="1324" w:type="dxa"/>
            <w:gridSpan w:val="2"/>
            <w:tcBorders>
              <w:top w:val="nil"/>
              <w:left w:val="nil"/>
              <w:bottom w:val="single" w:color="auto" w:sz="4" w:space="0"/>
              <w:right w:val="single" w:color="auto" w:sz="4" w:space="0"/>
            </w:tcBorders>
            <w:vAlign w:val="center"/>
          </w:tcPr>
          <w:p w14:paraId="0769D5E9">
            <w:pPr>
              <w:spacing w:line="0" w:lineRule="atLeast"/>
              <w:jc w:val="center"/>
              <w:rPr>
                <w:rFonts w:hint="default" w:ascii="Times New Roman" w:hAnsi="Times New Roman" w:cs="Times New Roman"/>
                <w:sz w:val="20"/>
                <w:highlight w:val="none"/>
              </w:rPr>
            </w:pPr>
          </w:p>
        </w:tc>
      </w:tr>
      <w:tr w14:paraId="53278560">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3F6A9F97">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2.</w:t>
            </w:r>
            <w:r>
              <w:rPr>
                <w:rFonts w:hint="default" w:ascii="Times New Roman" w:hAnsi="Times New Roman" w:cs="Times New Roman"/>
                <w:sz w:val="20"/>
                <w:highlight w:val="none"/>
              </w:rPr>
              <w:t>企业所得税</w:t>
            </w:r>
          </w:p>
        </w:tc>
        <w:tc>
          <w:tcPr>
            <w:tcW w:w="1284" w:type="dxa"/>
            <w:gridSpan w:val="3"/>
            <w:tcBorders>
              <w:top w:val="nil"/>
              <w:left w:val="nil"/>
              <w:bottom w:val="single" w:color="auto" w:sz="4" w:space="0"/>
              <w:right w:val="single" w:color="auto" w:sz="4" w:space="0"/>
            </w:tcBorders>
            <w:vAlign w:val="center"/>
          </w:tcPr>
          <w:p w14:paraId="0A6FEA9A">
            <w:pPr>
              <w:spacing w:line="0" w:lineRule="atLeast"/>
              <w:jc w:val="center"/>
              <w:rPr>
                <w:rFonts w:hint="default" w:ascii="Times New Roman" w:hAnsi="Times New Roman" w:cs="Times New Roman"/>
                <w:sz w:val="20"/>
                <w:highlight w:val="none"/>
              </w:rPr>
            </w:pPr>
            <w:r>
              <w:rPr>
                <w:rFonts w:hint="default" w:ascii="Times New Roman" w:hAnsi="Times New Roman" w:cs="Times New Roman"/>
                <w:sz w:val="20"/>
                <w:highlight w:val="none"/>
                <w:lang w:val="en-US" w:eastAsia="zh-CN"/>
              </w:rPr>
              <w:t>880</w:t>
            </w:r>
            <w:r>
              <w:rPr>
                <w:rFonts w:hint="default" w:ascii="Times New Roman" w:hAnsi="Times New Roman" w:cs="Times New Roman"/>
                <w:sz w:val="20"/>
                <w:highlight w:val="none"/>
              </w:rPr>
              <w:t xml:space="preserve"> </w:t>
            </w:r>
          </w:p>
        </w:tc>
        <w:tc>
          <w:tcPr>
            <w:tcW w:w="2976" w:type="dxa"/>
            <w:gridSpan w:val="2"/>
            <w:tcBorders>
              <w:top w:val="nil"/>
              <w:left w:val="nil"/>
              <w:bottom w:val="single" w:color="auto" w:sz="4" w:space="0"/>
              <w:right w:val="single" w:color="auto" w:sz="4" w:space="0"/>
            </w:tcBorders>
            <w:vAlign w:val="center"/>
          </w:tcPr>
          <w:p w14:paraId="5A49C0CC">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三、国防</w:t>
            </w:r>
          </w:p>
        </w:tc>
        <w:tc>
          <w:tcPr>
            <w:tcW w:w="1324" w:type="dxa"/>
            <w:gridSpan w:val="2"/>
            <w:tcBorders>
              <w:top w:val="nil"/>
              <w:left w:val="nil"/>
              <w:bottom w:val="single" w:color="auto" w:sz="4" w:space="0"/>
              <w:right w:val="single" w:color="auto" w:sz="4" w:space="0"/>
            </w:tcBorders>
            <w:vAlign w:val="center"/>
          </w:tcPr>
          <w:p w14:paraId="7E3AC4F2">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150</w:t>
            </w:r>
          </w:p>
        </w:tc>
      </w:tr>
      <w:tr w14:paraId="6FCC4609">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5205E86E">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3.</w:t>
            </w:r>
            <w:r>
              <w:rPr>
                <w:rFonts w:hint="default" w:ascii="Times New Roman" w:hAnsi="Times New Roman" w:cs="Times New Roman"/>
                <w:sz w:val="20"/>
                <w:highlight w:val="none"/>
              </w:rPr>
              <w:t>个人所得税</w:t>
            </w:r>
          </w:p>
        </w:tc>
        <w:tc>
          <w:tcPr>
            <w:tcW w:w="1284" w:type="dxa"/>
            <w:gridSpan w:val="3"/>
            <w:tcBorders>
              <w:top w:val="nil"/>
              <w:left w:val="nil"/>
              <w:bottom w:val="single" w:color="auto" w:sz="4" w:space="0"/>
              <w:right w:val="single" w:color="auto" w:sz="4" w:space="0"/>
            </w:tcBorders>
            <w:vAlign w:val="center"/>
          </w:tcPr>
          <w:p w14:paraId="68A7C98E">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420</w:t>
            </w:r>
          </w:p>
        </w:tc>
        <w:tc>
          <w:tcPr>
            <w:tcW w:w="2976" w:type="dxa"/>
            <w:gridSpan w:val="2"/>
            <w:tcBorders>
              <w:top w:val="nil"/>
              <w:left w:val="nil"/>
              <w:bottom w:val="single" w:color="auto" w:sz="4" w:space="0"/>
              <w:right w:val="single" w:color="auto" w:sz="4" w:space="0"/>
            </w:tcBorders>
            <w:vAlign w:val="center"/>
          </w:tcPr>
          <w:p w14:paraId="0031F5C8">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四、公共安全</w:t>
            </w:r>
          </w:p>
        </w:tc>
        <w:tc>
          <w:tcPr>
            <w:tcW w:w="1324" w:type="dxa"/>
            <w:gridSpan w:val="2"/>
            <w:tcBorders>
              <w:top w:val="nil"/>
              <w:left w:val="nil"/>
              <w:bottom w:val="single" w:color="auto" w:sz="4" w:space="0"/>
              <w:right w:val="single" w:color="auto" w:sz="4" w:space="0"/>
            </w:tcBorders>
            <w:vAlign w:val="center"/>
          </w:tcPr>
          <w:p w14:paraId="035A1B4D">
            <w:pPr>
              <w:spacing w:line="0" w:lineRule="atLeast"/>
              <w:jc w:val="center"/>
              <w:rPr>
                <w:rFonts w:hint="default" w:ascii="Times New Roman" w:hAnsi="Times New Roman" w:cs="Times New Roman"/>
                <w:sz w:val="20"/>
                <w:highlight w:val="none"/>
              </w:rPr>
            </w:pPr>
            <w:r>
              <w:rPr>
                <w:rFonts w:hint="default" w:ascii="Times New Roman" w:hAnsi="Times New Roman" w:cs="Times New Roman"/>
                <w:sz w:val="20"/>
                <w:highlight w:val="none"/>
                <w:lang w:val="en-US" w:eastAsia="zh-CN"/>
              </w:rPr>
              <w:t>3</w:t>
            </w:r>
            <w:r>
              <w:rPr>
                <w:rFonts w:hint="default" w:ascii="Times New Roman" w:hAnsi="Times New Roman" w:cs="Times New Roman"/>
                <w:sz w:val="20"/>
                <w:highlight w:val="none"/>
                <w:lang w:val="en-US" w:eastAsia="zh-CN"/>
              </w:rPr>
              <w:t>8</w:t>
            </w:r>
            <w:r>
              <w:rPr>
                <w:rFonts w:hint="default" w:ascii="Times New Roman" w:hAnsi="Times New Roman" w:cs="Times New Roman"/>
                <w:sz w:val="20"/>
                <w:highlight w:val="none"/>
                <w:lang w:val="en-US" w:eastAsia="zh-CN"/>
              </w:rPr>
              <w:t>0</w:t>
            </w:r>
            <w:r>
              <w:rPr>
                <w:rFonts w:hint="default" w:ascii="Times New Roman" w:hAnsi="Times New Roman" w:cs="Times New Roman"/>
                <w:sz w:val="20"/>
                <w:highlight w:val="none"/>
              </w:rPr>
              <w:t xml:space="preserve"> </w:t>
            </w:r>
          </w:p>
        </w:tc>
      </w:tr>
      <w:tr w14:paraId="07125BA7">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2E715B1C">
            <w:pPr>
              <w:spacing w:line="0" w:lineRule="atLeast"/>
              <w:rPr>
                <w:rFonts w:hint="default" w:ascii="Times New Roman" w:hAnsi="Times New Roman" w:eastAsia="楷体_GB2312" w:cs="Times New Roman"/>
                <w:sz w:val="20"/>
                <w:highlight w:val="none"/>
                <w:lang w:eastAsia="zh-CN"/>
              </w:rPr>
            </w:pPr>
            <w:r>
              <w:rPr>
                <w:rFonts w:hint="default" w:ascii="Times New Roman" w:hAnsi="Times New Roman" w:cs="Times New Roman"/>
                <w:sz w:val="20"/>
                <w:highlight w:val="none"/>
              </w:rPr>
              <w:t>4.</w:t>
            </w:r>
            <w:r>
              <w:rPr>
                <w:rFonts w:hint="default" w:ascii="Times New Roman" w:hAnsi="Times New Roman" w:cs="Times New Roman"/>
                <w:sz w:val="20"/>
                <w:highlight w:val="none"/>
                <w:lang w:eastAsia="zh-CN"/>
              </w:rPr>
              <w:t>城市维护建设税</w:t>
            </w:r>
          </w:p>
        </w:tc>
        <w:tc>
          <w:tcPr>
            <w:tcW w:w="1284" w:type="dxa"/>
            <w:gridSpan w:val="3"/>
            <w:tcBorders>
              <w:top w:val="nil"/>
              <w:left w:val="nil"/>
              <w:bottom w:val="single" w:color="auto" w:sz="4" w:space="0"/>
              <w:right w:val="single" w:color="auto" w:sz="4" w:space="0"/>
            </w:tcBorders>
            <w:vAlign w:val="center"/>
          </w:tcPr>
          <w:p w14:paraId="5DF5B63B">
            <w:pPr>
              <w:spacing w:line="0" w:lineRule="atLeast"/>
              <w:jc w:val="center"/>
              <w:rPr>
                <w:rFonts w:hint="default" w:ascii="Times New Roman" w:hAnsi="Times New Roman" w:cs="Times New Roman"/>
                <w:sz w:val="20"/>
                <w:highlight w:val="none"/>
              </w:rPr>
            </w:pPr>
            <w:r>
              <w:rPr>
                <w:rFonts w:hint="default" w:ascii="Times New Roman" w:hAnsi="Times New Roman" w:cs="Times New Roman"/>
                <w:sz w:val="20"/>
                <w:highlight w:val="none"/>
                <w:lang w:val="en-US" w:eastAsia="zh-CN"/>
              </w:rPr>
              <w:t>560</w:t>
            </w:r>
            <w:r>
              <w:rPr>
                <w:rFonts w:hint="default" w:ascii="Times New Roman" w:hAnsi="Times New Roman" w:cs="Times New Roman"/>
                <w:sz w:val="20"/>
                <w:highlight w:val="none"/>
              </w:rPr>
              <w:t xml:space="preserve"> </w:t>
            </w:r>
          </w:p>
        </w:tc>
        <w:tc>
          <w:tcPr>
            <w:tcW w:w="2976" w:type="dxa"/>
            <w:gridSpan w:val="2"/>
            <w:tcBorders>
              <w:top w:val="nil"/>
              <w:left w:val="nil"/>
              <w:bottom w:val="single" w:color="auto" w:sz="4" w:space="0"/>
              <w:right w:val="single" w:color="auto" w:sz="4" w:space="0"/>
            </w:tcBorders>
            <w:vAlign w:val="center"/>
          </w:tcPr>
          <w:p w14:paraId="75A0A685">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五、教育</w:t>
            </w:r>
          </w:p>
        </w:tc>
        <w:tc>
          <w:tcPr>
            <w:tcW w:w="1324" w:type="dxa"/>
            <w:gridSpan w:val="2"/>
            <w:tcBorders>
              <w:top w:val="nil"/>
              <w:left w:val="nil"/>
              <w:bottom w:val="single" w:color="auto" w:sz="4" w:space="0"/>
              <w:right w:val="single" w:color="auto" w:sz="4" w:space="0"/>
            </w:tcBorders>
            <w:vAlign w:val="center"/>
          </w:tcPr>
          <w:p w14:paraId="45168414">
            <w:pPr>
              <w:spacing w:line="0" w:lineRule="atLeast"/>
              <w:jc w:val="center"/>
              <w:rPr>
                <w:rFonts w:hint="default" w:ascii="Times New Roman" w:hAnsi="Times New Roman" w:cs="Times New Roman"/>
                <w:sz w:val="20"/>
                <w:highlight w:val="none"/>
              </w:rPr>
            </w:pPr>
            <w:r>
              <w:rPr>
                <w:rFonts w:hint="default" w:ascii="Times New Roman" w:hAnsi="Times New Roman" w:cs="Times New Roman"/>
                <w:sz w:val="20"/>
                <w:highlight w:val="none"/>
                <w:lang w:val="en-US" w:eastAsia="zh-CN"/>
              </w:rPr>
              <w:t>12</w:t>
            </w:r>
            <w:r>
              <w:rPr>
                <w:rFonts w:hint="default" w:ascii="Times New Roman" w:hAnsi="Times New Roman" w:cs="Times New Roman"/>
                <w:sz w:val="20"/>
                <w:highlight w:val="none"/>
                <w:lang w:val="en-US" w:eastAsia="zh-CN"/>
              </w:rPr>
              <w:t>280</w:t>
            </w:r>
            <w:r>
              <w:rPr>
                <w:rFonts w:hint="default" w:ascii="Times New Roman" w:hAnsi="Times New Roman" w:cs="Times New Roman"/>
                <w:sz w:val="20"/>
                <w:highlight w:val="none"/>
              </w:rPr>
              <w:t xml:space="preserve"> </w:t>
            </w:r>
          </w:p>
        </w:tc>
      </w:tr>
      <w:tr w14:paraId="524C7424">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42C5E5EC">
            <w:pPr>
              <w:spacing w:line="0" w:lineRule="atLeast"/>
              <w:rPr>
                <w:rFonts w:hint="default" w:ascii="Times New Roman" w:hAnsi="Times New Roman" w:eastAsia="楷体_GB2312" w:cs="Times New Roman"/>
                <w:sz w:val="20"/>
                <w:highlight w:val="none"/>
                <w:lang w:eastAsia="zh-CN"/>
              </w:rPr>
            </w:pPr>
            <w:r>
              <w:rPr>
                <w:rFonts w:hint="default" w:ascii="Times New Roman" w:hAnsi="Times New Roman" w:cs="Times New Roman"/>
                <w:sz w:val="20"/>
                <w:highlight w:val="none"/>
              </w:rPr>
              <w:t>5.</w:t>
            </w:r>
            <w:r>
              <w:rPr>
                <w:rFonts w:hint="default" w:ascii="Times New Roman" w:hAnsi="Times New Roman" w:cs="Times New Roman"/>
                <w:sz w:val="20"/>
                <w:highlight w:val="none"/>
                <w:lang w:eastAsia="zh-CN"/>
              </w:rPr>
              <w:t>房产税</w:t>
            </w:r>
          </w:p>
        </w:tc>
        <w:tc>
          <w:tcPr>
            <w:tcW w:w="1284" w:type="dxa"/>
            <w:gridSpan w:val="3"/>
            <w:tcBorders>
              <w:top w:val="nil"/>
              <w:left w:val="nil"/>
              <w:bottom w:val="single" w:color="auto" w:sz="4" w:space="0"/>
              <w:right w:val="single" w:color="auto" w:sz="4" w:space="0"/>
            </w:tcBorders>
            <w:vAlign w:val="center"/>
          </w:tcPr>
          <w:p w14:paraId="55C566DC">
            <w:pPr>
              <w:spacing w:line="0" w:lineRule="atLeast"/>
              <w:jc w:val="center"/>
              <w:rPr>
                <w:rFonts w:hint="default" w:ascii="Times New Roman" w:hAnsi="Times New Roman" w:cs="Times New Roman"/>
                <w:sz w:val="20"/>
                <w:highlight w:val="none"/>
                <w:lang w:val="en-US"/>
              </w:rPr>
            </w:pPr>
            <w:r>
              <w:rPr>
                <w:rFonts w:hint="default" w:ascii="Times New Roman" w:hAnsi="Times New Roman" w:cs="Times New Roman"/>
                <w:sz w:val="20"/>
                <w:highlight w:val="none"/>
                <w:lang w:val="en-US" w:eastAsia="zh-CN"/>
              </w:rPr>
              <w:t>520</w:t>
            </w:r>
          </w:p>
        </w:tc>
        <w:tc>
          <w:tcPr>
            <w:tcW w:w="2976" w:type="dxa"/>
            <w:gridSpan w:val="2"/>
            <w:tcBorders>
              <w:top w:val="nil"/>
              <w:left w:val="nil"/>
              <w:bottom w:val="single" w:color="auto" w:sz="4" w:space="0"/>
              <w:right w:val="single" w:color="auto" w:sz="4" w:space="0"/>
            </w:tcBorders>
            <w:vAlign w:val="center"/>
          </w:tcPr>
          <w:p w14:paraId="4A73CA84">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六、科学技术</w:t>
            </w:r>
          </w:p>
        </w:tc>
        <w:tc>
          <w:tcPr>
            <w:tcW w:w="1324" w:type="dxa"/>
            <w:gridSpan w:val="2"/>
            <w:tcBorders>
              <w:top w:val="nil"/>
              <w:left w:val="nil"/>
              <w:bottom w:val="single" w:color="auto" w:sz="4" w:space="0"/>
              <w:right w:val="single" w:color="auto" w:sz="4" w:space="0"/>
            </w:tcBorders>
            <w:vAlign w:val="center"/>
          </w:tcPr>
          <w:p w14:paraId="3C0FB35C">
            <w:pPr>
              <w:spacing w:line="0" w:lineRule="atLeast"/>
              <w:jc w:val="center"/>
              <w:rPr>
                <w:rFonts w:hint="default" w:ascii="Times New Roman" w:hAnsi="Times New Roman" w:cs="Times New Roman"/>
                <w:sz w:val="20"/>
                <w:highlight w:val="none"/>
              </w:rPr>
            </w:pPr>
            <w:r>
              <w:rPr>
                <w:rFonts w:hint="default" w:ascii="Times New Roman" w:hAnsi="Times New Roman" w:cs="Times New Roman"/>
                <w:sz w:val="20"/>
                <w:highlight w:val="none"/>
                <w:lang w:val="en-US" w:eastAsia="zh-CN"/>
              </w:rPr>
              <w:t>440</w:t>
            </w:r>
            <w:r>
              <w:rPr>
                <w:rFonts w:hint="default" w:ascii="Times New Roman" w:hAnsi="Times New Roman" w:cs="Times New Roman"/>
                <w:sz w:val="20"/>
                <w:highlight w:val="none"/>
              </w:rPr>
              <w:t xml:space="preserve"> </w:t>
            </w:r>
          </w:p>
        </w:tc>
      </w:tr>
      <w:tr w14:paraId="5E81D4E3">
        <w:tblPrEx>
          <w:tblCellMar>
            <w:top w:w="0" w:type="dxa"/>
            <w:left w:w="108" w:type="dxa"/>
            <w:bottom w:w="0" w:type="dxa"/>
            <w:right w:w="108" w:type="dxa"/>
          </w:tblCellMar>
        </w:tblPrEx>
        <w:trPr>
          <w:gridBefore w:val="1"/>
          <w:gridAfter w:val="1"/>
          <w:wBefore w:w="800" w:type="dxa"/>
          <w:wAfter w:w="470" w:type="dxa"/>
          <w:trHeight w:val="373" w:hRule="atLeast"/>
        </w:trPr>
        <w:tc>
          <w:tcPr>
            <w:tcW w:w="3593" w:type="dxa"/>
            <w:gridSpan w:val="2"/>
            <w:tcBorders>
              <w:top w:val="nil"/>
              <w:left w:val="single" w:color="auto" w:sz="4" w:space="0"/>
              <w:bottom w:val="single" w:color="auto" w:sz="4" w:space="0"/>
              <w:right w:val="single" w:color="auto" w:sz="4" w:space="0"/>
            </w:tcBorders>
            <w:vAlign w:val="center"/>
          </w:tcPr>
          <w:p w14:paraId="252FDB95">
            <w:pPr>
              <w:spacing w:line="0" w:lineRule="atLeast"/>
              <w:jc w:val="left"/>
              <w:rPr>
                <w:rFonts w:hint="default" w:ascii="Times New Roman" w:hAnsi="Times New Roman" w:cs="Times New Roman"/>
                <w:sz w:val="20"/>
                <w:highlight w:val="none"/>
              </w:rPr>
            </w:pPr>
            <w:r>
              <w:rPr>
                <w:rFonts w:hint="default" w:ascii="Times New Roman" w:hAnsi="Times New Roman" w:cs="Times New Roman"/>
                <w:sz w:val="20"/>
                <w:highlight w:val="none"/>
                <w:lang w:val="en-US" w:eastAsia="zh-CN"/>
              </w:rPr>
              <w:t>6</w:t>
            </w:r>
            <w:r>
              <w:rPr>
                <w:rFonts w:hint="default" w:ascii="Times New Roman" w:hAnsi="Times New Roman" w:cs="Times New Roman"/>
                <w:sz w:val="20"/>
                <w:highlight w:val="none"/>
              </w:rPr>
              <w:t>.</w:t>
            </w:r>
            <w:r>
              <w:rPr>
                <w:rFonts w:hint="default" w:ascii="Times New Roman" w:hAnsi="Times New Roman" w:cs="Times New Roman"/>
                <w:sz w:val="20"/>
                <w:highlight w:val="none"/>
                <w:lang w:eastAsia="zh-CN"/>
              </w:rPr>
              <w:t>印花税</w:t>
            </w:r>
            <w:r>
              <w:rPr>
                <w:rFonts w:hint="default" w:ascii="Times New Roman" w:hAnsi="Times New Roman" w:cs="Times New Roman"/>
                <w:sz w:val="20"/>
                <w:highlight w:val="none"/>
              </w:rPr>
              <w:t>　</w:t>
            </w:r>
          </w:p>
        </w:tc>
        <w:tc>
          <w:tcPr>
            <w:tcW w:w="1284" w:type="dxa"/>
            <w:gridSpan w:val="3"/>
            <w:tcBorders>
              <w:top w:val="nil"/>
              <w:left w:val="nil"/>
              <w:bottom w:val="single" w:color="auto" w:sz="4" w:space="0"/>
              <w:right w:val="single" w:color="auto" w:sz="4" w:space="0"/>
            </w:tcBorders>
            <w:vAlign w:val="center"/>
          </w:tcPr>
          <w:p w14:paraId="72313608">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180</w:t>
            </w:r>
          </w:p>
        </w:tc>
        <w:tc>
          <w:tcPr>
            <w:tcW w:w="2976" w:type="dxa"/>
            <w:gridSpan w:val="2"/>
            <w:tcBorders>
              <w:top w:val="nil"/>
              <w:left w:val="nil"/>
              <w:bottom w:val="single" w:color="auto" w:sz="4" w:space="0"/>
              <w:right w:val="single" w:color="auto" w:sz="4" w:space="0"/>
            </w:tcBorders>
            <w:vAlign w:val="center"/>
          </w:tcPr>
          <w:p w14:paraId="11E06A4A">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七、文化旅游体育与传媒</w:t>
            </w:r>
          </w:p>
        </w:tc>
        <w:tc>
          <w:tcPr>
            <w:tcW w:w="1324" w:type="dxa"/>
            <w:gridSpan w:val="2"/>
            <w:tcBorders>
              <w:top w:val="nil"/>
              <w:left w:val="nil"/>
              <w:bottom w:val="single" w:color="auto" w:sz="4" w:space="0"/>
              <w:right w:val="single" w:color="auto" w:sz="4" w:space="0"/>
            </w:tcBorders>
            <w:vAlign w:val="center"/>
          </w:tcPr>
          <w:p w14:paraId="53E64BC5">
            <w:pPr>
              <w:spacing w:line="0" w:lineRule="atLeast"/>
              <w:jc w:val="center"/>
              <w:rPr>
                <w:rFonts w:hint="default" w:ascii="Times New Roman" w:hAnsi="Times New Roman" w:cs="Times New Roman"/>
                <w:sz w:val="20"/>
                <w:highlight w:val="none"/>
              </w:rPr>
            </w:pPr>
            <w:r>
              <w:rPr>
                <w:rFonts w:hint="default" w:ascii="Times New Roman" w:hAnsi="Times New Roman" w:cs="Times New Roman"/>
                <w:sz w:val="20"/>
                <w:highlight w:val="none"/>
                <w:lang w:val="en-US" w:eastAsia="zh-CN"/>
              </w:rPr>
              <w:t>680</w:t>
            </w:r>
            <w:r>
              <w:rPr>
                <w:rFonts w:hint="default" w:ascii="Times New Roman" w:hAnsi="Times New Roman" w:cs="Times New Roman"/>
                <w:sz w:val="20"/>
                <w:highlight w:val="none"/>
              </w:rPr>
              <w:t xml:space="preserve"> </w:t>
            </w:r>
          </w:p>
        </w:tc>
      </w:tr>
      <w:tr w14:paraId="6FE59AE9">
        <w:tblPrEx>
          <w:tblCellMar>
            <w:top w:w="0" w:type="dxa"/>
            <w:left w:w="108" w:type="dxa"/>
            <w:bottom w:w="0" w:type="dxa"/>
            <w:right w:w="108" w:type="dxa"/>
          </w:tblCellMar>
        </w:tblPrEx>
        <w:trPr>
          <w:gridBefore w:val="1"/>
          <w:gridAfter w:val="1"/>
          <w:wBefore w:w="800" w:type="dxa"/>
          <w:wAfter w:w="470" w:type="dxa"/>
          <w:trHeight w:val="373" w:hRule="atLeast"/>
        </w:trPr>
        <w:tc>
          <w:tcPr>
            <w:tcW w:w="3593" w:type="dxa"/>
            <w:gridSpan w:val="2"/>
            <w:tcBorders>
              <w:top w:val="nil"/>
              <w:left w:val="single" w:color="auto" w:sz="4" w:space="0"/>
              <w:bottom w:val="single" w:color="auto" w:sz="4" w:space="0"/>
              <w:right w:val="single" w:color="auto" w:sz="4" w:space="0"/>
            </w:tcBorders>
            <w:vAlign w:val="center"/>
          </w:tcPr>
          <w:p w14:paraId="3C0A21A6">
            <w:pPr>
              <w:spacing w:line="0" w:lineRule="atLeast"/>
              <w:jc w:val="left"/>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7.城镇土地使用税</w:t>
            </w:r>
          </w:p>
        </w:tc>
        <w:tc>
          <w:tcPr>
            <w:tcW w:w="1284" w:type="dxa"/>
            <w:gridSpan w:val="3"/>
            <w:tcBorders>
              <w:top w:val="nil"/>
              <w:left w:val="nil"/>
              <w:bottom w:val="single" w:color="auto" w:sz="4" w:space="0"/>
              <w:right w:val="single" w:color="auto" w:sz="4" w:space="0"/>
            </w:tcBorders>
            <w:vAlign w:val="center"/>
          </w:tcPr>
          <w:p w14:paraId="0FFC0FAD">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1100</w:t>
            </w:r>
          </w:p>
        </w:tc>
        <w:tc>
          <w:tcPr>
            <w:tcW w:w="2976" w:type="dxa"/>
            <w:gridSpan w:val="2"/>
            <w:tcBorders>
              <w:top w:val="nil"/>
              <w:left w:val="nil"/>
              <w:bottom w:val="single" w:color="auto" w:sz="4" w:space="0"/>
              <w:right w:val="single" w:color="auto" w:sz="4" w:space="0"/>
            </w:tcBorders>
            <w:vAlign w:val="center"/>
          </w:tcPr>
          <w:p w14:paraId="56968CC8">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八、社会保障和就业</w:t>
            </w:r>
          </w:p>
        </w:tc>
        <w:tc>
          <w:tcPr>
            <w:tcW w:w="1324" w:type="dxa"/>
            <w:gridSpan w:val="2"/>
            <w:tcBorders>
              <w:top w:val="nil"/>
              <w:left w:val="nil"/>
              <w:bottom w:val="single" w:color="auto" w:sz="4" w:space="0"/>
              <w:right w:val="single" w:color="auto" w:sz="4" w:space="0"/>
            </w:tcBorders>
            <w:vAlign w:val="center"/>
          </w:tcPr>
          <w:p w14:paraId="5A3BD833">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1</w:t>
            </w:r>
            <w:r>
              <w:rPr>
                <w:rFonts w:hint="default" w:ascii="Times New Roman" w:hAnsi="Times New Roman" w:cs="Times New Roman"/>
                <w:sz w:val="20"/>
                <w:highlight w:val="none"/>
                <w:lang w:val="en-US" w:eastAsia="zh-CN"/>
              </w:rPr>
              <w:t>7080</w:t>
            </w:r>
          </w:p>
        </w:tc>
      </w:tr>
      <w:tr w14:paraId="3A883209">
        <w:tblPrEx>
          <w:tblCellMar>
            <w:top w:w="0" w:type="dxa"/>
            <w:left w:w="108" w:type="dxa"/>
            <w:bottom w:w="0" w:type="dxa"/>
            <w:right w:w="108" w:type="dxa"/>
          </w:tblCellMar>
        </w:tblPrEx>
        <w:trPr>
          <w:gridBefore w:val="1"/>
          <w:gridAfter w:val="1"/>
          <w:wBefore w:w="800" w:type="dxa"/>
          <w:wAfter w:w="470" w:type="dxa"/>
          <w:trHeight w:val="373" w:hRule="atLeast"/>
        </w:trPr>
        <w:tc>
          <w:tcPr>
            <w:tcW w:w="3593" w:type="dxa"/>
            <w:gridSpan w:val="2"/>
            <w:tcBorders>
              <w:top w:val="nil"/>
              <w:left w:val="single" w:color="auto" w:sz="4" w:space="0"/>
              <w:bottom w:val="single" w:color="auto" w:sz="4" w:space="0"/>
              <w:right w:val="single" w:color="auto" w:sz="4" w:space="0"/>
            </w:tcBorders>
            <w:vAlign w:val="center"/>
          </w:tcPr>
          <w:p w14:paraId="12ED0189">
            <w:pPr>
              <w:spacing w:line="0" w:lineRule="atLeast"/>
              <w:jc w:val="left"/>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8.土地增值税</w:t>
            </w:r>
          </w:p>
        </w:tc>
        <w:tc>
          <w:tcPr>
            <w:tcW w:w="1284" w:type="dxa"/>
            <w:gridSpan w:val="3"/>
            <w:tcBorders>
              <w:top w:val="nil"/>
              <w:left w:val="nil"/>
              <w:bottom w:val="single" w:color="auto" w:sz="4" w:space="0"/>
              <w:right w:val="single" w:color="auto" w:sz="4" w:space="0"/>
            </w:tcBorders>
            <w:vAlign w:val="center"/>
          </w:tcPr>
          <w:p w14:paraId="4D258B0A">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50</w:t>
            </w:r>
          </w:p>
        </w:tc>
        <w:tc>
          <w:tcPr>
            <w:tcW w:w="2976" w:type="dxa"/>
            <w:gridSpan w:val="2"/>
            <w:tcBorders>
              <w:top w:val="nil"/>
              <w:left w:val="nil"/>
              <w:bottom w:val="single" w:color="auto" w:sz="4" w:space="0"/>
              <w:right w:val="single" w:color="auto" w:sz="4" w:space="0"/>
            </w:tcBorders>
            <w:vAlign w:val="center"/>
          </w:tcPr>
          <w:p w14:paraId="17CF6E8A">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九、卫生健康</w:t>
            </w:r>
          </w:p>
        </w:tc>
        <w:tc>
          <w:tcPr>
            <w:tcW w:w="1324" w:type="dxa"/>
            <w:gridSpan w:val="2"/>
            <w:tcBorders>
              <w:top w:val="nil"/>
              <w:left w:val="nil"/>
              <w:bottom w:val="single" w:color="auto" w:sz="4" w:space="0"/>
              <w:right w:val="single" w:color="auto" w:sz="4" w:space="0"/>
            </w:tcBorders>
            <w:vAlign w:val="center"/>
          </w:tcPr>
          <w:p w14:paraId="23DADB8D">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4600</w:t>
            </w:r>
          </w:p>
        </w:tc>
      </w:tr>
      <w:tr w14:paraId="153FD74C">
        <w:tblPrEx>
          <w:tblCellMar>
            <w:top w:w="0" w:type="dxa"/>
            <w:left w:w="108" w:type="dxa"/>
            <w:bottom w:w="0" w:type="dxa"/>
            <w:right w:w="108" w:type="dxa"/>
          </w:tblCellMar>
        </w:tblPrEx>
        <w:trPr>
          <w:gridBefore w:val="1"/>
          <w:gridAfter w:val="1"/>
          <w:wBefore w:w="800" w:type="dxa"/>
          <w:wAfter w:w="470" w:type="dxa"/>
          <w:trHeight w:val="373" w:hRule="atLeast"/>
        </w:trPr>
        <w:tc>
          <w:tcPr>
            <w:tcW w:w="3593" w:type="dxa"/>
            <w:gridSpan w:val="2"/>
            <w:tcBorders>
              <w:top w:val="nil"/>
              <w:left w:val="single" w:color="auto" w:sz="4" w:space="0"/>
              <w:bottom w:val="single" w:color="auto" w:sz="4" w:space="0"/>
              <w:right w:val="single" w:color="auto" w:sz="4" w:space="0"/>
            </w:tcBorders>
            <w:vAlign w:val="center"/>
          </w:tcPr>
          <w:p w14:paraId="1CD0DE70">
            <w:pPr>
              <w:spacing w:line="0" w:lineRule="atLeast"/>
              <w:jc w:val="left"/>
              <w:rPr>
                <w:rFonts w:hint="default" w:ascii="Times New Roman" w:hAnsi="Times New Roman" w:cs="Times New Roman"/>
                <w:sz w:val="20"/>
                <w:highlight w:val="none"/>
                <w:lang w:val="en-US" w:eastAsia="zh-CN"/>
              </w:rPr>
            </w:pPr>
            <w:r>
              <w:rPr>
                <w:rFonts w:hint="default" w:ascii="Times New Roman" w:hAnsi="Times New Roman" w:cs="Times New Roman"/>
                <w:sz w:val="20"/>
                <w:highlight w:val="none"/>
                <w:lang w:val="en-US" w:eastAsia="zh-CN"/>
              </w:rPr>
              <w:t>9.车船税</w:t>
            </w:r>
          </w:p>
        </w:tc>
        <w:tc>
          <w:tcPr>
            <w:tcW w:w="1284" w:type="dxa"/>
            <w:gridSpan w:val="3"/>
            <w:tcBorders>
              <w:top w:val="nil"/>
              <w:left w:val="nil"/>
              <w:bottom w:val="single" w:color="auto" w:sz="4" w:space="0"/>
              <w:right w:val="single" w:color="auto" w:sz="4" w:space="0"/>
            </w:tcBorders>
            <w:vAlign w:val="center"/>
          </w:tcPr>
          <w:p w14:paraId="280E6332">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180</w:t>
            </w:r>
          </w:p>
        </w:tc>
        <w:tc>
          <w:tcPr>
            <w:tcW w:w="2976" w:type="dxa"/>
            <w:gridSpan w:val="2"/>
            <w:tcBorders>
              <w:top w:val="nil"/>
              <w:left w:val="nil"/>
              <w:bottom w:val="single" w:color="auto" w:sz="4" w:space="0"/>
              <w:right w:val="single" w:color="auto" w:sz="4" w:space="0"/>
            </w:tcBorders>
            <w:vAlign w:val="center"/>
          </w:tcPr>
          <w:p w14:paraId="12F479CE">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十、节能环保</w:t>
            </w:r>
          </w:p>
        </w:tc>
        <w:tc>
          <w:tcPr>
            <w:tcW w:w="1324" w:type="dxa"/>
            <w:gridSpan w:val="2"/>
            <w:tcBorders>
              <w:top w:val="nil"/>
              <w:left w:val="nil"/>
              <w:bottom w:val="single" w:color="auto" w:sz="4" w:space="0"/>
              <w:right w:val="single" w:color="auto" w:sz="4" w:space="0"/>
            </w:tcBorders>
            <w:vAlign w:val="center"/>
          </w:tcPr>
          <w:p w14:paraId="33DF3D48">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2</w:t>
            </w:r>
            <w:r>
              <w:rPr>
                <w:rFonts w:hint="default" w:ascii="Times New Roman" w:hAnsi="Times New Roman" w:cs="Times New Roman"/>
                <w:sz w:val="20"/>
                <w:highlight w:val="none"/>
                <w:lang w:val="en-US" w:eastAsia="zh-CN"/>
              </w:rPr>
              <w:t>1</w:t>
            </w:r>
            <w:r>
              <w:rPr>
                <w:rFonts w:hint="default" w:ascii="Times New Roman" w:hAnsi="Times New Roman" w:cs="Times New Roman"/>
                <w:sz w:val="20"/>
                <w:highlight w:val="none"/>
                <w:lang w:val="en-US" w:eastAsia="zh-CN"/>
              </w:rPr>
              <w:t>00</w:t>
            </w:r>
            <w:r>
              <w:rPr>
                <w:rFonts w:hint="default" w:ascii="Times New Roman" w:hAnsi="Times New Roman" w:cs="Times New Roman"/>
                <w:sz w:val="20"/>
                <w:highlight w:val="none"/>
              </w:rPr>
              <w:t xml:space="preserve"> </w:t>
            </w:r>
          </w:p>
        </w:tc>
      </w:tr>
      <w:tr w14:paraId="7CA23856">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12F51E6B">
            <w:pPr>
              <w:spacing w:line="0" w:lineRule="atLeast"/>
              <w:rPr>
                <w:rFonts w:hint="default" w:ascii="Times New Roman" w:hAnsi="Times New Roman" w:cs="Times New Roman"/>
                <w:b/>
                <w:sz w:val="20"/>
                <w:highlight w:val="none"/>
              </w:rPr>
            </w:pPr>
            <w:r>
              <w:rPr>
                <w:rFonts w:hint="default" w:ascii="Times New Roman" w:hAnsi="Times New Roman" w:cs="Times New Roman"/>
                <w:b/>
                <w:sz w:val="20"/>
                <w:highlight w:val="none"/>
              </w:rPr>
              <w:t>（二）非税收入小计</w:t>
            </w:r>
          </w:p>
        </w:tc>
        <w:tc>
          <w:tcPr>
            <w:tcW w:w="1284" w:type="dxa"/>
            <w:gridSpan w:val="3"/>
            <w:tcBorders>
              <w:top w:val="nil"/>
              <w:left w:val="nil"/>
              <w:bottom w:val="single" w:color="auto" w:sz="4" w:space="0"/>
              <w:right w:val="single" w:color="auto" w:sz="4" w:space="0"/>
            </w:tcBorders>
            <w:vAlign w:val="center"/>
          </w:tcPr>
          <w:p w14:paraId="3CA43C36">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1</w:t>
            </w:r>
            <w:r>
              <w:rPr>
                <w:rFonts w:hint="default" w:ascii="Times New Roman" w:hAnsi="Times New Roman" w:cs="Times New Roman"/>
                <w:sz w:val="20"/>
                <w:highlight w:val="none"/>
                <w:lang w:val="en-US" w:eastAsia="zh-CN"/>
              </w:rPr>
              <w:t>5810</w:t>
            </w:r>
          </w:p>
        </w:tc>
        <w:tc>
          <w:tcPr>
            <w:tcW w:w="2976" w:type="dxa"/>
            <w:gridSpan w:val="2"/>
            <w:tcBorders>
              <w:top w:val="nil"/>
              <w:left w:val="nil"/>
              <w:bottom w:val="single" w:color="auto" w:sz="4" w:space="0"/>
              <w:right w:val="single" w:color="auto" w:sz="4" w:space="0"/>
            </w:tcBorders>
            <w:vAlign w:val="center"/>
          </w:tcPr>
          <w:p w14:paraId="2D92650A">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十一、城乡社区</w:t>
            </w:r>
          </w:p>
        </w:tc>
        <w:tc>
          <w:tcPr>
            <w:tcW w:w="1324" w:type="dxa"/>
            <w:gridSpan w:val="2"/>
            <w:tcBorders>
              <w:top w:val="nil"/>
              <w:left w:val="nil"/>
              <w:bottom w:val="single" w:color="auto" w:sz="4" w:space="0"/>
              <w:right w:val="single" w:color="auto" w:sz="4" w:space="0"/>
            </w:tcBorders>
            <w:vAlign w:val="center"/>
          </w:tcPr>
          <w:p w14:paraId="436C6B1E">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5</w:t>
            </w:r>
            <w:r>
              <w:rPr>
                <w:rFonts w:hint="default" w:ascii="Times New Roman" w:hAnsi="Times New Roman" w:cs="Times New Roman"/>
                <w:sz w:val="20"/>
                <w:highlight w:val="none"/>
                <w:lang w:val="en-US" w:eastAsia="zh-CN"/>
              </w:rPr>
              <w:t>2</w:t>
            </w:r>
            <w:r>
              <w:rPr>
                <w:rFonts w:hint="default" w:ascii="Times New Roman" w:hAnsi="Times New Roman" w:cs="Times New Roman"/>
                <w:sz w:val="20"/>
                <w:highlight w:val="none"/>
                <w:lang w:val="en-US" w:eastAsia="zh-CN"/>
              </w:rPr>
              <w:t>00</w:t>
            </w:r>
          </w:p>
        </w:tc>
      </w:tr>
      <w:tr w14:paraId="69C03C6A">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79B930A8">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1.</w:t>
            </w:r>
            <w:r>
              <w:rPr>
                <w:rFonts w:hint="default" w:ascii="Times New Roman" w:hAnsi="Times New Roman" w:cs="Times New Roman"/>
                <w:sz w:val="20"/>
                <w:highlight w:val="none"/>
              </w:rPr>
              <w:t>专项收入</w:t>
            </w:r>
          </w:p>
        </w:tc>
        <w:tc>
          <w:tcPr>
            <w:tcW w:w="1284" w:type="dxa"/>
            <w:gridSpan w:val="3"/>
            <w:tcBorders>
              <w:top w:val="nil"/>
              <w:left w:val="nil"/>
              <w:bottom w:val="single" w:color="auto" w:sz="4" w:space="0"/>
              <w:right w:val="single" w:color="auto" w:sz="4" w:space="0"/>
            </w:tcBorders>
            <w:vAlign w:val="center"/>
          </w:tcPr>
          <w:p w14:paraId="7343A2C7">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10</w:t>
            </w:r>
          </w:p>
        </w:tc>
        <w:tc>
          <w:tcPr>
            <w:tcW w:w="2976" w:type="dxa"/>
            <w:gridSpan w:val="2"/>
            <w:tcBorders>
              <w:top w:val="nil"/>
              <w:left w:val="nil"/>
              <w:bottom w:val="single" w:color="auto" w:sz="4" w:space="0"/>
              <w:right w:val="single" w:color="auto" w:sz="4" w:space="0"/>
            </w:tcBorders>
            <w:vAlign w:val="center"/>
          </w:tcPr>
          <w:p w14:paraId="3E99F275">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十二、农林水</w:t>
            </w:r>
          </w:p>
        </w:tc>
        <w:tc>
          <w:tcPr>
            <w:tcW w:w="1324" w:type="dxa"/>
            <w:gridSpan w:val="2"/>
            <w:tcBorders>
              <w:top w:val="nil"/>
              <w:left w:val="nil"/>
              <w:bottom w:val="single" w:color="auto" w:sz="4" w:space="0"/>
              <w:right w:val="single" w:color="auto" w:sz="4" w:space="0"/>
            </w:tcBorders>
            <w:vAlign w:val="center"/>
          </w:tcPr>
          <w:p w14:paraId="1051091F">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3</w:t>
            </w:r>
            <w:r>
              <w:rPr>
                <w:rFonts w:hint="default" w:ascii="Times New Roman" w:hAnsi="Times New Roman" w:cs="Times New Roman"/>
                <w:sz w:val="20"/>
                <w:highlight w:val="none"/>
                <w:lang w:val="en-US" w:eastAsia="zh-CN"/>
              </w:rPr>
              <w:t>90</w:t>
            </w:r>
            <w:r>
              <w:rPr>
                <w:rFonts w:hint="default" w:ascii="Times New Roman" w:hAnsi="Times New Roman" w:cs="Times New Roman"/>
                <w:sz w:val="20"/>
                <w:highlight w:val="none"/>
                <w:lang w:val="en-US" w:eastAsia="zh-CN"/>
              </w:rPr>
              <w:t>0</w:t>
            </w:r>
          </w:p>
        </w:tc>
      </w:tr>
      <w:tr w14:paraId="2A4070DD">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69BB4CF8">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2.</w:t>
            </w:r>
            <w:r>
              <w:rPr>
                <w:rFonts w:hint="default" w:ascii="Times New Roman" w:hAnsi="Times New Roman" w:cs="Times New Roman"/>
                <w:sz w:val="20"/>
                <w:highlight w:val="none"/>
              </w:rPr>
              <w:t>行政事业性收费收入</w:t>
            </w:r>
          </w:p>
        </w:tc>
        <w:tc>
          <w:tcPr>
            <w:tcW w:w="1284" w:type="dxa"/>
            <w:gridSpan w:val="3"/>
            <w:tcBorders>
              <w:top w:val="nil"/>
              <w:left w:val="nil"/>
              <w:bottom w:val="single" w:color="auto" w:sz="4" w:space="0"/>
              <w:right w:val="single" w:color="auto" w:sz="4" w:space="0"/>
            </w:tcBorders>
            <w:vAlign w:val="center"/>
          </w:tcPr>
          <w:p w14:paraId="7D5B73D1">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500</w:t>
            </w:r>
          </w:p>
        </w:tc>
        <w:tc>
          <w:tcPr>
            <w:tcW w:w="2976" w:type="dxa"/>
            <w:gridSpan w:val="2"/>
            <w:tcBorders>
              <w:top w:val="nil"/>
              <w:left w:val="nil"/>
              <w:bottom w:val="single" w:color="auto" w:sz="4" w:space="0"/>
              <w:right w:val="single" w:color="auto" w:sz="4" w:space="0"/>
            </w:tcBorders>
            <w:vAlign w:val="center"/>
          </w:tcPr>
          <w:p w14:paraId="40243077">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十三、交通运输</w:t>
            </w:r>
          </w:p>
        </w:tc>
        <w:tc>
          <w:tcPr>
            <w:tcW w:w="1324" w:type="dxa"/>
            <w:gridSpan w:val="2"/>
            <w:tcBorders>
              <w:top w:val="nil"/>
              <w:left w:val="nil"/>
              <w:bottom w:val="single" w:color="auto" w:sz="4" w:space="0"/>
              <w:right w:val="single" w:color="auto" w:sz="4" w:space="0"/>
            </w:tcBorders>
            <w:vAlign w:val="center"/>
          </w:tcPr>
          <w:p w14:paraId="7CB4F6AC">
            <w:pPr>
              <w:spacing w:line="0" w:lineRule="atLeast"/>
              <w:jc w:val="center"/>
              <w:rPr>
                <w:rFonts w:hint="default" w:ascii="Times New Roman" w:hAnsi="Times New Roman" w:eastAsia="楷体_GB2312" w:cs="Times New Roman"/>
                <w:kern w:val="2"/>
                <w:sz w:val="20"/>
                <w:szCs w:val="30"/>
                <w:highlight w:val="none"/>
                <w:lang w:val="en-US" w:eastAsia="zh-CN" w:bidi="ar-SA"/>
              </w:rPr>
            </w:pPr>
          </w:p>
        </w:tc>
      </w:tr>
      <w:tr w14:paraId="1A865E0F">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55147597">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3.</w:t>
            </w:r>
            <w:r>
              <w:rPr>
                <w:rFonts w:hint="default" w:ascii="Times New Roman" w:hAnsi="Times New Roman" w:cs="Times New Roman"/>
                <w:sz w:val="20"/>
                <w:highlight w:val="none"/>
              </w:rPr>
              <w:t>罚没收入</w:t>
            </w:r>
          </w:p>
        </w:tc>
        <w:tc>
          <w:tcPr>
            <w:tcW w:w="1284" w:type="dxa"/>
            <w:gridSpan w:val="3"/>
            <w:tcBorders>
              <w:top w:val="nil"/>
              <w:left w:val="nil"/>
              <w:bottom w:val="single" w:color="auto" w:sz="4" w:space="0"/>
              <w:right w:val="single" w:color="auto" w:sz="4" w:space="0"/>
            </w:tcBorders>
            <w:vAlign w:val="center"/>
          </w:tcPr>
          <w:p w14:paraId="48F3572F">
            <w:pPr>
              <w:spacing w:line="0" w:lineRule="atLeast"/>
              <w:jc w:val="center"/>
              <w:rPr>
                <w:rFonts w:hint="default" w:ascii="Times New Roman" w:hAnsi="Times New Roman" w:cs="Times New Roman"/>
                <w:sz w:val="20"/>
                <w:highlight w:val="none"/>
                <w:lang w:val="en-US"/>
              </w:rPr>
            </w:pPr>
            <w:r>
              <w:rPr>
                <w:rFonts w:hint="default" w:ascii="Times New Roman" w:hAnsi="Times New Roman" w:cs="Times New Roman"/>
                <w:sz w:val="20"/>
                <w:highlight w:val="none"/>
                <w:lang w:val="en-US" w:eastAsia="zh-CN"/>
              </w:rPr>
              <w:t>1000</w:t>
            </w:r>
          </w:p>
        </w:tc>
        <w:tc>
          <w:tcPr>
            <w:tcW w:w="2976" w:type="dxa"/>
            <w:gridSpan w:val="2"/>
            <w:tcBorders>
              <w:top w:val="nil"/>
              <w:left w:val="nil"/>
              <w:bottom w:val="single" w:color="auto" w:sz="4" w:space="0"/>
              <w:right w:val="single" w:color="auto" w:sz="4" w:space="0"/>
            </w:tcBorders>
            <w:vAlign w:val="center"/>
          </w:tcPr>
          <w:p w14:paraId="0324585E">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十四、资源勘探工业信息</w:t>
            </w:r>
          </w:p>
        </w:tc>
        <w:tc>
          <w:tcPr>
            <w:tcW w:w="1324" w:type="dxa"/>
            <w:gridSpan w:val="2"/>
            <w:tcBorders>
              <w:top w:val="nil"/>
              <w:left w:val="nil"/>
              <w:bottom w:val="single" w:color="auto" w:sz="4" w:space="0"/>
              <w:right w:val="single" w:color="auto" w:sz="4" w:space="0"/>
            </w:tcBorders>
            <w:vAlign w:val="center"/>
          </w:tcPr>
          <w:p w14:paraId="7838FB87">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1</w:t>
            </w:r>
            <w:r>
              <w:rPr>
                <w:rFonts w:hint="default" w:ascii="Times New Roman" w:hAnsi="Times New Roman" w:cs="Times New Roman"/>
                <w:sz w:val="20"/>
                <w:highlight w:val="none"/>
                <w:lang w:val="en-US" w:eastAsia="zh-CN"/>
              </w:rPr>
              <w:t>50</w:t>
            </w:r>
            <w:r>
              <w:rPr>
                <w:rFonts w:hint="default" w:ascii="Times New Roman" w:hAnsi="Times New Roman" w:cs="Times New Roman"/>
                <w:sz w:val="20"/>
                <w:highlight w:val="none"/>
              </w:rPr>
              <w:t xml:space="preserve"> </w:t>
            </w:r>
          </w:p>
        </w:tc>
      </w:tr>
      <w:tr w14:paraId="4AFF8938">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759262C1">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4.</w:t>
            </w:r>
            <w:r>
              <w:rPr>
                <w:rFonts w:hint="default" w:ascii="Times New Roman" w:hAnsi="Times New Roman" w:cs="Times New Roman"/>
                <w:sz w:val="20"/>
                <w:highlight w:val="none"/>
              </w:rPr>
              <w:t>国有资本经营收入</w:t>
            </w:r>
          </w:p>
        </w:tc>
        <w:tc>
          <w:tcPr>
            <w:tcW w:w="1284" w:type="dxa"/>
            <w:gridSpan w:val="3"/>
            <w:tcBorders>
              <w:top w:val="nil"/>
              <w:left w:val="nil"/>
              <w:bottom w:val="single" w:color="auto" w:sz="4" w:space="0"/>
              <w:right w:val="single" w:color="auto" w:sz="4" w:space="0"/>
            </w:tcBorders>
            <w:vAlign w:val="center"/>
          </w:tcPr>
          <w:p w14:paraId="0813E1BB">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200</w:t>
            </w:r>
          </w:p>
        </w:tc>
        <w:tc>
          <w:tcPr>
            <w:tcW w:w="2976" w:type="dxa"/>
            <w:gridSpan w:val="2"/>
            <w:tcBorders>
              <w:top w:val="nil"/>
              <w:left w:val="nil"/>
              <w:bottom w:val="single" w:color="auto" w:sz="4" w:space="0"/>
              <w:right w:val="single" w:color="auto" w:sz="4" w:space="0"/>
            </w:tcBorders>
            <w:vAlign w:val="center"/>
          </w:tcPr>
          <w:p w14:paraId="52787896">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十五、商业服务业</w:t>
            </w:r>
          </w:p>
        </w:tc>
        <w:tc>
          <w:tcPr>
            <w:tcW w:w="1324" w:type="dxa"/>
            <w:gridSpan w:val="2"/>
            <w:tcBorders>
              <w:top w:val="nil"/>
              <w:left w:val="nil"/>
              <w:bottom w:val="single" w:color="auto" w:sz="4" w:space="0"/>
              <w:right w:val="single" w:color="auto" w:sz="4" w:space="0"/>
            </w:tcBorders>
            <w:vAlign w:val="center"/>
          </w:tcPr>
          <w:p w14:paraId="5E63CF98">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150</w:t>
            </w:r>
            <w:r>
              <w:rPr>
                <w:rFonts w:hint="default" w:ascii="Times New Roman" w:hAnsi="Times New Roman" w:cs="Times New Roman"/>
                <w:sz w:val="20"/>
                <w:highlight w:val="none"/>
              </w:rPr>
              <w:t xml:space="preserve"> </w:t>
            </w:r>
          </w:p>
        </w:tc>
      </w:tr>
      <w:tr w14:paraId="1002DDDC">
        <w:tblPrEx>
          <w:tblCellMar>
            <w:top w:w="0" w:type="dxa"/>
            <w:left w:w="108" w:type="dxa"/>
            <w:bottom w:w="0" w:type="dxa"/>
            <w:right w:w="108" w:type="dxa"/>
          </w:tblCellMar>
        </w:tblPrEx>
        <w:trPr>
          <w:gridBefore w:val="1"/>
          <w:gridAfter w:val="1"/>
          <w:wBefore w:w="800" w:type="dxa"/>
          <w:wAfter w:w="470" w:type="dxa"/>
          <w:trHeight w:val="358" w:hRule="atLeast"/>
        </w:trPr>
        <w:tc>
          <w:tcPr>
            <w:tcW w:w="3593" w:type="dxa"/>
            <w:gridSpan w:val="2"/>
            <w:tcBorders>
              <w:top w:val="nil"/>
              <w:left w:val="single" w:color="auto" w:sz="4" w:space="0"/>
              <w:bottom w:val="single" w:color="auto" w:sz="4" w:space="0"/>
              <w:right w:val="single" w:color="auto" w:sz="4" w:space="0"/>
            </w:tcBorders>
            <w:vAlign w:val="center"/>
          </w:tcPr>
          <w:p w14:paraId="04EBD18E">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5.</w:t>
            </w:r>
            <w:r>
              <w:rPr>
                <w:rFonts w:hint="default" w:ascii="Times New Roman" w:hAnsi="Times New Roman" w:cs="Times New Roman"/>
                <w:sz w:val="20"/>
                <w:highlight w:val="none"/>
              </w:rPr>
              <w:t>国有资源（资产）有偿使用收入</w:t>
            </w:r>
          </w:p>
        </w:tc>
        <w:tc>
          <w:tcPr>
            <w:tcW w:w="1284" w:type="dxa"/>
            <w:gridSpan w:val="3"/>
            <w:tcBorders>
              <w:top w:val="nil"/>
              <w:left w:val="nil"/>
              <w:bottom w:val="single" w:color="auto" w:sz="4" w:space="0"/>
              <w:right w:val="single" w:color="auto" w:sz="4" w:space="0"/>
            </w:tcBorders>
            <w:vAlign w:val="center"/>
          </w:tcPr>
          <w:p w14:paraId="1C22751F">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13800</w:t>
            </w:r>
          </w:p>
        </w:tc>
        <w:tc>
          <w:tcPr>
            <w:tcW w:w="2976" w:type="dxa"/>
            <w:gridSpan w:val="2"/>
            <w:tcBorders>
              <w:top w:val="nil"/>
              <w:left w:val="nil"/>
              <w:bottom w:val="single" w:color="auto" w:sz="4" w:space="0"/>
              <w:right w:val="single" w:color="auto" w:sz="4" w:space="0"/>
            </w:tcBorders>
            <w:vAlign w:val="center"/>
          </w:tcPr>
          <w:p w14:paraId="26F6FA27">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十六、金融</w:t>
            </w:r>
          </w:p>
        </w:tc>
        <w:tc>
          <w:tcPr>
            <w:tcW w:w="1324" w:type="dxa"/>
            <w:gridSpan w:val="2"/>
            <w:tcBorders>
              <w:top w:val="nil"/>
              <w:left w:val="nil"/>
              <w:bottom w:val="single" w:color="auto" w:sz="4" w:space="0"/>
              <w:right w:val="single" w:color="auto" w:sz="4" w:space="0"/>
            </w:tcBorders>
            <w:vAlign w:val="center"/>
          </w:tcPr>
          <w:p w14:paraId="5C8BA3CA">
            <w:pPr>
              <w:spacing w:line="0" w:lineRule="atLeast"/>
              <w:jc w:val="center"/>
              <w:rPr>
                <w:rFonts w:hint="default" w:ascii="Times New Roman" w:hAnsi="Times New Roman" w:eastAsia="楷体_GB2312" w:cs="Times New Roman"/>
                <w:kern w:val="2"/>
                <w:sz w:val="20"/>
                <w:szCs w:val="30"/>
                <w:highlight w:val="none"/>
                <w:lang w:val="en-US" w:eastAsia="zh-CN" w:bidi="ar-SA"/>
              </w:rPr>
            </w:pPr>
          </w:p>
        </w:tc>
      </w:tr>
      <w:tr w14:paraId="208EDC49">
        <w:tblPrEx>
          <w:tblCellMar>
            <w:top w:w="0" w:type="dxa"/>
            <w:left w:w="108" w:type="dxa"/>
            <w:bottom w:w="0" w:type="dxa"/>
            <w:right w:w="108" w:type="dxa"/>
          </w:tblCellMar>
        </w:tblPrEx>
        <w:trPr>
          <w:gridBefore w:val="1"/>
          <w:gridAfter w:val="1"/>
          <w:wBefore w:w="800" w:type="dxa"/>
          <w:wAfter w:w="470" w:type="dxa"/>
          <w:trHeight w:val="358" w:hRule="atLeast"/>
        </w:trPr>
        <w:tc>
          <w:tcPr>
            <w:tcW w:w="3593" w:type="dxa"/>
            <w:gridSpan w:val="2"/>
            <w:tcBorders>
              <w:top w:val="nil"/>
              <w:left w:val="single" w:color="auto" w:sz="4" w:space="0"/>
              <w:bottom w:val="single" w:color="auto" w:sz="4" w:space="0"/>
              <w:right w:val="single" w:color="auto" w:sz="4" w:space="0"/>
            </w:tcBorders>
            <w:vAlign w:val="center"/>
          </w:tcPr>
          <w:p w14:paraId="093F376F">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6.</w:t>
            </w:r>
            <w:r>
              <w:rPr>
                <w:rFonts w:hint="default" w:ascii="Times New Roman" w:hAnsi="Times New Roman" w:cs="Times New Roman"/>
                <w:sz w:val="20"/>
                <w:highlight w:val="none"/>
              </w:rPr>
              <w:t>政府住房基金收入</w:t>
            </w:r>
          </w:p>
        </w:tc>
        <w:tc>
          <w:tcPr>
            <w:tcW w:w="1284" w:type="dxa"/>
            <w:gridSpan w:val="3"/>
            <w:tcBorders>
              <w:top w:val="nil"/>
              <w:left w:val="nil"/>
              <w:bottom w:val="single" w:color="auto" w:sz="4" w:space="0"/>
              <w:right w:val="single" w:color="auto" w:sz="4" w:space="0"/>
            </w:tcBorders>
            <w:vAlign w:val="center"/>
          </w:tcPr>
          <w:p w14:paraId="7A803F4C">
            <w:pPr>
              <w:spacing w:line="0" w:lineRule="atLeast"/>
              <w:jc w:val="center"/>
              <w:rPr>
                <w:rFonts w:hint="default" w:ascii="Times New Roman" w:hAnsi="Times New Roman" w:cs="Times New Roman"/>
                <w:sz w:val="20"/>
                <w:highlight w:val="none"/>
              </w:rPr>
            </w:pPr>
            <w:r>
              <w:rPr>
                <w:rFonts w:hint="default" w:ascii="Times New Roman" w:hAnsi="Times New Roman" w:cs="Times New Roman"/>
                <w:sz w:val="20"/>
                <w:highlight w:val="none"/>
              </w:rPr>
              <w:t xml:space="preserve"> </w:t>
            </w:r>
          </w:p>
        </w:tc>
        <w:tc>
          <w:tcPr>
            <w:tcW w:w="2976" w:type="dxa"/>
            <w:gridSpan w:val="2"/>
            <w:tcBorders>
              <w:top w:val="nil"/>
              <w:left w:val="nil"/>
              <w:bottom w:val="single" w:color="auto" w:sz="4" w:space="0"/>
              <w:right w:val="single" w:color="auto" w:sz="4" w:space="0"/>
            </w:tcBorders>
            <w:vAlign w:val="center"/>
          </w:tcPr>
          <w:p w14:paraId="17C1ED77">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十七、自然资源海洋气象等支出</w:t>
            </w:r>
          </w:p>
        </w:tc>
        <w:tc>
          <w:tcPr>
            <w:tcW w:w="1324" w:type="dxa"/>
            <w:gridSpan w:val="2"/>
            <w:tcBorders>
              <w:top w:val="nil"/>
              <w:left w:val="nil"/>
              <w:bottom w:val="single" w:color="auto" w:sz="4" w:space="0"/>
              <w:right w:val="single" w:color="auto" w:sz="4" w:space="0"/>
            </w:tcBorders>
            <w:vAlign w:val="center"/>
          </w:tcPr>
          <w:p w14:paraId="7294D686">
            <w:pPr>
              <w:spacing w:line="0" w:lineRule="atLeast"/>
              <w:jc w:val="center"/>
              <w:rPr>
                <w:rFonts w:hint="default" w:ascii="Times New Roman" w:hAnsi="Times New Roman" w:eastAsia="楷体_GB2312" w:cs="Times New Roman"/>
                <w:kern w:val="2"/>
                <w:sz w:val="20"/>
                <w:szCs w:val="30"/>
                <w:highlight w:val="none"/>
                <w:lang w:val="en-US" w:eastAsia="zh-CN" w:bidi="ar-SA"/>
              </w:rPr>
            </w:pPr>
          </w:p>
        </w:tc>
      </w:tr>
      <w:tr w14:paraId="2F8F6D7C">
        <w:tblPrEx>
          <w:tblCellMar>
            <w:top w:w="0" w:type="dxa"/>
            <w:left w:w="108" w:type="dxa"/>
            <w:bottom w:w="0" w:type="dxa"/>
            <w:right w:w="108" w:type="dxa"/>
          </w:tblCellMar>
        </w:tblPrEx>
        <w:trPr>
          <w:gridBefore w:val="1"/>
          <w:gridAfter w:val="1"/>
          <w:wBefore w:w="800" w:type="dxa"/>
          <w:wAfter w:w="470" w:type="dxa"/>
          <w:trHeight w:val="358" w:hRule="atLeast"/>
        </w:trPr>
        <w:tc>
          <w:tcPr>
            <w:tcW w:w="3593" w:type="dxa"/>
            <w:gridSpan w:val="2"/>
            <w:tcBorders>
              <w:top w:val="nil"/>
              <w:left w:val="single" w:color="auto" w:sz="4" w:space="0"/>
              <w:bottom w:val="single" w:color="auto" w:sz="4" w:space="0"/>
              <w:right w:val="single" w:color="auto" w:sz="4" w:space="0"/>
            </w:tcBorders>
            <w:vAlign w:val="center"/>
          </w:tcPr>
          <w:p w14:paraId="5E0730A7">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7.捐赠收入</w:t>
            </w:r>
          </w:p>
        </w:tc>
        <w:tc>
          <w:tcPr>
            <w:tcW w:w="1284" w:type="dxa"/>
            <w:gridSpan w:val="3"/>
            <w:tcBorders>
              <w:top w:val="nil"/>
              <w:left w:val="nil"/>
              <w:bottom w:val="single" w:color="auto" w:sz="4" w:space="0"/>
              <w:right w:val="single" w:color="auto" w:sz="4" w:space="0"/>
            </w:tcBorders>
            <w:vAlign w:val="center"/>
          </w:tcPr>
          <w:p w14:paraId="32ACBC41">
            <w:pPr>
              <w:spacing w:line="0" w:lineRule="atLeast"/>
              <w:jc w:val="center"/>
              <w:rPr>
                <w:rFonts w:hint="default" w:ascii="Times New Roman" w:hAnsi="Times New Roman" w:cs="Times New Roman"/>
                <w:sz w:val="20"/>
                <w:highlight w:val="none"/>
              </w:rPr>
            </w:pPr>
          </w:p>
        </w:tc>
        <w:tc>
          <w:tcPr>
            <w:tcW w:w="2976" w:type="dxa"/>
            <w:gridSpan w:val="2"/>
            <w:tcBorders>
              <w:top w:val="nil"/>
              <w:left w:val="nil"/>
              <w:bottom w:val="single" w:color="auto" w:sz="4" w:space="0"/>
              <w:right w:val="single" w:color="auto" w:sz="4" w:space="0"/>
            </w:tcBorders>
            <w:vAlign w:val="center"/>
          </w:tcPr>
          <w:p w14:paraId="03000174">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十八、住房保障</w:t>
            </w:r>
          </w:p>
        </w:tc>
        <w:tc>
          <w:tcPr>
            <w:tcW w:w="1324" w:type="dxa"/>
            <w:gridSpan w:val="2"/>
            <w:tcBorders>
              <w:top w:val="nil"/>
              <w:left w:val="nil"/>
              <w:bottom w:val="single" w:color="auto" w:sz="4" w:space="0"/>
              <w:right w:val="single" w:color="auto" w:sz="4" w:space="0"/>
            </w:tcBorders>
            <w:vAlign w:val="center"/>
          </w:tcPr>
          <w:p w14:paraId="05B68FAA">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3607</w:t>
            </w:r>
            <w:r>
              <w:rPr>
                <w:rFonts w:hint="default" w:ascii="Times New Roman" w:hAnsi="Times New Roman" w:cs="Times New Roman"/>
                <w:sz w:val="20"/>
                <w:highlight w:val="none"/>
              </w:rPr>
              <w:t xml:space="preserve"> </w:t>
            </w:r>
          </w:p>
        </w:tc>
      </w:tr>
      <w:tr w14:paraId="0A7CEEF6">
        <w:tblPrEx>
          <w:tblCellMar>
            <w:top w:w="0" w:type="dxa"/>
            <w:left w:w="108" w:type="dxa"/>
            <w:bottom w:w="0" w:type="dxa"/>
            <w:right w:w="108" w:type="dxa"/>
          </w:tblCellMar>
        </w:tblPrEx>
        <w:trPr>
          <w:gridBefore w:val="1"/>
          <w:gridAfter w:val="1"/>
          <w:wBefore w:w="800" w:type="dxa"/>
          <w:wAfter w:w="470" w:type="dxa"/>
          <w:trHeight w:val="383" w:hRule="atLeast"/>
        </w:trPr>
        <w:tc>
          <w:tcPr>
            <w:tcW w:w="3593" w:type="dxa"/>
            <w:gridSpan w:val="2"/>
            <w:tcBorders>
              <w:top w:val="nil"/>
              <w:left w:val="single" w:color="auto" w:sz="4" w:space="0"/>
              <w:bottom w:val="single" w:color="auto" w:sz="4" w:space="0"/>
              <w:right w:val="single" w:color="auto" w:sz="4" w:space="0"/>
            </w:tcBorders>
            <w:vAlign w:val="center"/>
          </w:tcPr>
          <w:p w14:paraId="3C61C42C">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8.其他收入</w:t>
            </w:r>
          </w:p>
        </w:tc>
        <w:tc>
          <w:tcPr>
            <w:tcW w:w="1284" w:type="dxa"/>
            <w:gridSpan w:val="3"/>
            <w:tcBorders>
              <w:top w:val="nil"/>
              <w:left w:val="nil"/>
              <w:bottom w:val="single" w:color="auto" w:sz="4" w:space="0"/>
              <w:right w:val="single" w:color="auto" w:sz="4" w:space="0"/>
            </w:tcBorders>
            <w:vAlign w:val="center"/>
          </w:tcPr>
          <w:p w14:paraId="3EC76A2A">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rPr>
              <w:t xml:space="preserve"> </w:t>
            </w:r>
            <w:r>
              <w:rPr>
                <w:rFonts w:hint="default" w:ascii="Times New Roman" w:hAnsi="Times New Roman" w:cs="Times New Roman"/>
                <w:sz w:val="20"/>
                <w:highlight w:val="none"/>
                <w:lang w:val="en-US" w:eastAsia="zh-CN"/>
              </w:rPr>
              <w:t>300</w:t>
            </w:r>
          </w:p>
        </w:tc>
        <w:tc>
          <w:tcPr>
            <w:tcW w:w="2976" w:type="dxa"/>
            <w:gridSpan w:val="2"/>
            <w:tcBorders>
              <w:top w:val="nil"/>
              <w:left w:val="nil"/>
              <w:bottom w:val="single" w:color="auto" w:sz="4" w:space="0"/>
              <w:right w:val="single" w:color="auto" w:sz="4" w:space="0"/>
            </w:tcBorders>
            <w:vAlign w:val="center"/>
          </w:tcPr>
          <w:p w14:paraId="3A324B60">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十九、粮油物资储备</w:t>
            </w:r>
          </w:p>
        </w:tc>
        <w:tc>
          <w:tcPr>
            <w:tcW w:w="1324" w:type="dxa"/>
            <w:gridSpan w:val="2"/>
            <w:tcBorders>
              <w:top w:val="nil"/>
              <w:left w:val="nil"/>
              <w:bottom w:val="single" w:color="auto" w:sz="4" w:space="0"/>
              <w:right w:val="single" w:color="auto" w:sz="4" w:space="0"/>
            </w:tcBorders>
            <w:vAlign w:val="center"/>
          </w:tcPr>
          <w:p w14:paraId="668E35E3">
            <w:pPr>
              <w:spacing w:line="0" w:lineRule="atLeast"/>
              <w:jc w:val="center"/>
              <w:rPr>
                <w:rFonts w:hint="default" w:ascii="Times New Roman" w:hAnsi="Times New Roman" w:eastAsia="楷体_GB2312" w:cs="Times New Roman"/>
                <w:kern w:val="2"/>
                <w:sz w:val="20"/>
                <w:szCs w:val="30"/>
                <w:highlight w:val="none"/>
                <w:lang w:val="en-US" w:eastAsia="zh-CN" w:bidi="ar-SA"/>
              </w:rPr>
            </w:pPr>
          </w:p>
        </w:tc>
      </w:tr>
      <w:tr w14:paraId="13519353">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2FCDDDCD">
            <w:pPr>
              <w:spacing w:line="0" w:lineRule="atLeast"/>
              <w:rPr>
                <w:rFonts w:hint="default" w:ascii="Times New Roman" w:hAnsi="Times New Roman" w:cs="Times New Roman"/>
                <w:b/>
                <w:bCs/>
                <w:sz w:val="20"/>
                <w:highlight w:val="none"/>
              </w:rPr>
            </w:pPr>
            <w:r>
              <w:rPr>
                <w:rFonts w:hint="default" w:ascii="Times New Roman" w:hAnsi="Times New Roman" w:cs="Times New Roman"/>
                <w:b/>
                <w:bCs/>
                <w:sz w:val="20"/>
                <w:highlight w:val="none"/>
              </w:rPr>
              <w:t>地方一般预算收入合计</w:t>
            </w:r>
          </w:p>
        </w:tc>
        <w:tc>
          <w:tcPr>
            <w:tcW w:w="1284" w:type="dxa"/>
            <w:gridSpan w:val="3"/>
            <w:tcBorders>
              <w:top w:val="nil"/>
              <w:left w:val="nil"/>
              <w:bottom w:val="single" w:color="auto" w:sz="4" w:space="0"/>
              <w:right w:val="single" w:color="auto" w:sz="4" w:space="0"/>
            </w:tcBorders>
            <w:vAlign w:val="center"/>
          </w:tcPr>
          <w:p w14:paraId="424945F1">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24260</w:t>
            </w:r>
          </w:p>
        </w:tc>
        <w:tc>
          <w:tcPr>
            <w:tcW w:w="2976" w:type="dxa"/>
            <w:gridSpan w:val="2"/>
            <w:tcBorders>
              <w:top w:val="nil"/>
              <w:left w:val="nil"/>
              <w:bottom w:val="single" w:color="auto" w:sz="4" w:space="0"/>
              <w:right w:val="single" w:color="auto" w:sz="4" w:space="0"/>
            </w:tcBorders>
            <w:vAlign w:val="center"/>
          </w:tcPr>
          <w:p w14:paraId="74E34202">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二十、灾害防治及应急管理支出</w:t>
            </w:r>
          </w:p>
        </w:tc>
        <w:tc>
          <w:tcPr>
            <w:tcW w:w="1324" w:type="dxa"/>
            <w:gridSpan w:val="2"/>
            <w:tcBorders>
              <w:top w:val="nil"/>
              <w:left w:val="nil"/>
              <w:bottom w:val="single" w:color="auto" w:sz="4" w:space="0"/>
              <w:right w:val="single" w:color="auto" w:sz="4" w:space="0"/>
            </w:tcBorders>
            <w:vAlign w:val="center"/>
          </w:tcPr>
          <w:p w14:paraId="4DD28FAC">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6</w:t>
            </w:r>
            <w:r>
              <w:rPr>
                <w:rFonts w:hint="default" w:ascii="Times New Roman" w:hAnsi="Times New Roman" w:cs="Times New Roman"/>
                <w:sz w:val="20"/>
                <w:highlight w:val="none"/>
                <w:lang w:val="en-US" w:eastAsia="zh-CN"/>
              </w:rPr>
              <w:t>00</w:t>
            </w:r>
            <w:r>
              <w:rPr>
                <w:rFonts w:hint="default" w:ascii="Times New Roman" w:hAnsi="Times New Roman" w:cs="Times New Roman"/>
                <w:sz w:val="20"/>
                <w:highlight w:val="none"/>
              </w:rPr>
              <w:t xml:space="preserve"> </w:t>
            </w:r>
          </w:p>
        </w:tc>
      </w:tr>
      <w:tr w14:paraId="716DF09C">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73A0163C">
            <w:pPr>
              <w:spacing w:line="0" w:lineRule="atLeast"/>
              <w:rPr>
                <w:rFonts w:hint="default" w:ascii="Times New Roman" w:hAnsi="Times New Roman" w:cs="Times New Roman"/>
                <w:sz w:val="20"/>
                <w:highlight w:val="none"/>
              </w:rPr>
            </w:pPr>
          </w:p>
        </w:tc>
        <w:tc>
          <w:tcPr>
            <w:tcW w:w="1284" w:type="dxa"/>
            <w:gridSpan w:val="3"/>
            <w:tcBorders>
              <w:top w:val="nil"/>
              <w:left w:val="nil"/>
              <w:bottom w:val="single" w:color="auto" w:sz="4" w:space="0"/>
              <w:right w:val="single" w:color="auto" w:sz="4" w:space="0"/>
            </w:tcBorders>
            <w:vAlign w:val="center"/>
          </w:tcPr>
          <w:p w14:paraId="0F96278D">
            <w:pPr>
              <w:spacing w:line="0" w:lineRule="atLeast"/>
              <w:jc w:val="center"/>
              <w:rPr>
                <w:rFonts w:hint="default" w:ascii="Times New Roman" w:hAnsi="Times New Roman" w:cs="Times New Roman"/>
                <w:sz w:val="20"/>
                <w:highlight w:val="none"/>
              </w:rPr>
            </w:pPr>
          </w:p>
        </w:tc>
        <w:tc>
          <w:tcPr>
            <w:tcW w:w="2976" w:type="dxa"/>
            <w:gridSpan w:val="2"/>
            <w:tcBorders>
              <w:top w:val="nil"/>
              <w:left w:val="nil"/>
              <w:bottom w:val="single" w:color="auto" w:sz="4" w:space="0"/>
              <w:right w:val="single" w:color="auto" w:sz="4" w:space="0"/>
            </w:tcBorders>
            <w:vAlign w:val="center"/>
          </w:tcPr>
          <w:p w14:paraId="0BF85137">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二十一、预备费</w:t>
            </w:r>
          </w:p>
        </w:tc>
        <w:tc>
          <w:tcPr>
            <w:tcW w:w="1324" w:type="dxa"/>
            <w:gridSpan w:val="2"/>
            <w:tcBorders>
              <w:top w:val="nil"/>
              <w:left w:val="nil"/>
              <w:bottom w:val="single" w:color="auto" w:sz="4" w:space="0"/>
              <w:right w:val="single" w:color="auto" w:sz="4" w:space="0"/>
            </w:tcBorders>
            <w:vAlign w:val="center"/>
          </w:tcPr>
          <w:p w14:paraId="08B3D68D">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600</w:t>
            </w:r>
          </w:p>
        </w:tc>
      </w:tr>
      <w:tr w14:paraId="0B8AB942">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68A6F27A">
            <w:pPr>
              <w:spacing w:line="0" w:lineRule="atLeast"/>
              <w:rPr>
                <w:rFonts w:hint="default" w:ascii="Times New Roman" w:hAnsi="Times New Roman" w:cs="Times New Roman"/>
                <w:b/>
                <w:bCs/>
                <w:sz w:val="20"/>
                <w:highlight w:val="none"/>
              </w:rPr>
            </w:pPr>
          </w:p>
        </w:tc>
        <w:tc>
          <w:tcPr>
            <w:tcW w:w="1284" w:type="dxa"/>
            <w:gridSpan w:val="3"/>
            <w:tcBorders>
              <w:top w:val="nil"/>
              <w:left w:val="nil"/>
              <w:bottom w:val="single" w:color="auto" w:sz="4" w:space="0"/>
              <w:right w:val="single" w:color="auto" w:sz="4" w:space="0"/>
            </w:tcBorders>
            <w:vAlign w:val="center"/>
          </w:tcPr>
          <w:p w14:paraId="03C92FD5">
            <w:pPr>
              <w:spacing w:line="0" w:lineRule="atLeast"/>
              <w:jc w:val="center"/>
              <w:rPr>
                <w:rFonts w:hint="default" w:ascii="Times New Roman" w:hAnsi="Times New Roman" w:cs="Times New Roman"/>
                <w:sz w:val="20"/>
                <w:highlight w:val="none"/>
              </w:rPr>
            </w:pPr>
          </w:p>
        </w:tc>
        <w:tc>
          <w:tcPr>
            <w:tcW w:w="2976" w:type="dxa"/>
            <w:gridSpan w:val="2"/>
            <w:tcBorders>
              <w:top w:val="nil"/>
              <w:left w:val="nil"/>
              <w:bottom w:val="single" w:color="auto" w:sz="4" w:space="0"/>
              <w:right w:val="single" w:color="auto" w:sz="4" w:space="0"/>
            </w:tcBorders>
            <w:vAlign w:val="center"/>
          </w:tcPr>
          <w:p w14:paraId="2FF317D8">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二十二、其他支出</w:t>
            </w:r>
          </w:p>
        </w:tc>
        <w:tc>
          <w:tcPr>
            <w:tcW w:w="1324" w:type="dxa"/>
            <w:gridSpan w:val="2"/>
            <w:tcBorders>
              <w:top w:val="nil"/>
              <w:left w:val="nil"/>
              <w:bottom w:val="single" w:color="auto" w:sz="4" w:space="0"/>
              <w:right w:val="single" w:color="auto" w:sz="4" w:space="0"/>
            </w:tcBorders>
            <w:vAlign w:val="center"/>
          </w:tcPr>
          <w:p w14:paraId="2E721C23">
            <w:pPr>
              <w:spacing w:line="0" w:lineRule="atLeast"/>
              <w:jc w:val="center"/>
              <w:rPr>
                <w:rFonts w:hint="default" w:ascii="Times New Roman" w:hAnsi="Times New Roman" w:eastAsia="楷体_GB2312" w:cs="Times New Roman"/>
                <w:kern w:val="2"/>
                <w:sz w:val="20"/>
                <w:szCs w:val="30"/>
                <w:highlight w:val="none"/>
                <w:lang w:val="en-US" w:eastAsia="zh-CN" w:bidi="ar-SA"/>
              </w:rPr>
            </w:pPr>
          </w:p>
        </w:tc>
      </w:tr>
      <w:tr w14:paraId="2C3DEFF6">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0FC42E5E">
            <w:pPr>
              <w:spacing w:line="0" w:lineRule="atLeast"/>
              <w:rPr>
                <w:rFonts w:hint="default" w:ascii="Times New Roman" w:hAnsi="Times New Roman" w:cs="Times New Roman"/>
                <w:sz w:val="20"/>
                <w:highlight w:val="none"/>
              </w:rPr>
            </w:pPr>
          </w:p>
        </w:tc>
        <w:tc>
          <w:tcPr>
            <w:tcW w:w="1284" w:type="dxa"/>
            <w:gridSpan w:val="3"/>
            <w:tcBorders>
              <w:top w:val="nil"/>
              <w:left w:val="nil"/>
              <w:bottom w:val="single" w:color="auto" w:sz="4" w:space="0"/>
              <w:right w:val="single" w:color="auto" w:sz="4" w:space="0"/>
            </w:tcBorders>
            <w:vAlign w:val="center"/>
          </w:tcPr>
          <w:p w14:paraId="258F1305">
            <w:pPr>
              <w:spacing w:line="0" w:lineRule="atLeast"/>
              <w:jc w:val="center"/>
              <w:rPr>
                <w:rFonts w:hint="default" w:ascii="Times New Roman" w:hAnsi="Times New Roman" w:cs="Times New Roman"/>
                <w:sz w:val="20"/>
                <w:highlight w:val="none"/>
              </w:rPr>
            </w:pPr>
          </w:p>
        </w:tc>
        <w:tc>
          <w:tcPr>
            <w:tcW w:w="2976" w:type="dxa"/>
            <w:gridSpan w:val="2"/>
            <w:tcBorders>
              <w:top w:val="nil"/>
              <w:left w:val="nil"/>
              <w:bottom w:val="single" w:color="auto" w:sz="4" w:space="0"/>
              <w:right w:val="single" w:color="auto" w:sz="4" w:space="0"/>
            </w:tcBorders>
            <w:vAlign w:val="center"/>
          </w:tcPr>
          <w:p w14:paraId="6D217F25">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rPr>
              <w:t>二十</w:t>
            </w:r>
            <w:r>
              <w:rPr>
                <w:rFonts w:hint="default" w:ascii="Times New Roman" w:hAnsi="Times New Roman" w:cs="Times New Roman"/>
                <w:sz w:val="20"/>
                <w:highlight w:val="none"/>
                <w:lang w:eastAsia="zh-CN"/>
              </w:rPr>
              <w:t>三</w:t>
            </w:r>
            <w:r>
              <w:rPr>
                <w:rFonts w:hint="default" w:ascii="Times New Roman" w:hAnsi="Times New Roman" w:cs="Times New Roman"/>
                <w:sz w:val="20"/>
                <w:highlight w:val="none"/>
              </w:rPr>
              <w:t>、</w:t>
            </w:r>
            <w:r>
              <w:rPr>
                <w:rFonts w:hint="default" w:ascii="Times New Roman" w:hAnsi="Times New Roman" w:cs="Times New Roman"/>
                <w:sz w:val="20"/>
                <w:highlight w:val="none"/>
                <w:lang w:eastAsia="zh-CN"/>
              </w:rPr>
              <w:t>债务付息支出</w:t>
            </w:r>
          </w:p>
        </w:tc>
        <w:tc>
          <w:tcPr>
            <w:tcW w:w="1324" w:type="dxa"/>
            <w:gridSpan w:val="2"/>
            <w:tcBorders>
              <w:top w:val="nil"/>
              <w:left w:val="nil"/>
              <w:bottom w:val="single" w:color="auto" w:sz="4" w:space="0"/>
              <w:right w:val="single" w:color="auto" w:sz="4" w:space="0"/>
            </w:tcBorders>
            <w:vAlign w:val="center"/>
          </w:tcPr>
          <w:p w14:paraId="7041DB93">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593</w:t>
            </w:r>
          </w:p>
        </w:tc>
      </w:tr>
      <w:tr w14:paraId="1901738F">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6AA63807">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 xml:space="preserve"> </w:t>
            </w:r>
          </w:p>
        </w:tc>
        <w:tc>
          <w:tcPr>
            <w:tcW w:w="1284" w:type="dxa"/>
            <w:gridSpan w:val="3"/>
            <w:tcBorders>
              <w:top w:val="nil"/>
              <w:left w:val="nil"/>
              <w:bottom w:val="single" w:color="auto" w:sz="4" w:space="0"/>
              <w:right w:val="single" w:color="auto" w:sz="4" w:space="0"/>
            </w:tcBorders>
            <w:vAlign w:val="center"/>
          </w:tcPr>
          <w:p w14:paraId="2B1D07BD">
            <w:pPr>
              <w:spacing w:line="0" w:lineRule="atLeast"/>
              <w:jc w:val="center"/>
              <w:rPr>
                <w:rFonts w:hint="default" w:ascii="Times New Roman" w:hAnsi="Times New Roman" w:cs="Times New Roman"/>
                <w:sz w:val="20"/>
                <w:highlight w:val="none"/>
              </w:rPr>
            </w:pPr>
          </w:p>
        </w:tc>
        <w:tc>
          <w:tcPr>
            <w:tcW w:w="2976" w:type="dxa"/>
            <w:gridSpan w:val="2"/>
            <w:tcBorders>
              <w:top w:val="nil"/>
              <w:left w:val="nil"/>
              <w:bottom w:val="single" w:color="auto" w:sz="4" w:space="0"/>
              <w:right w:val="single" w:color="auto" w:sz="4" w:space="0"/>
            </w:tcBorders>
            <w:vAlign w:val="center"/>
          </w:tcPr>
          <w:p w14:paraId="5EB9C335">
            <w:pPr>
              <w:spacing w:line="0" w:lineRule="atLeast"/>
              <w:rPr>
                <w:rFonts w:hint="default" w:ascii="Times New Roman" w:hAnsi="Times New Roman" w:cs="Times New Roman"/>
                <w:sz w:val="20"/>
                <w:highlight w:val="none"/>
              </w:rPr>
            </w:pPr>
          </w:p>
        </w:tc>
        <w:tc>
          <w:tcPr>
            <w:tcW w:w="1324" w:type="dxa"/>
            <w:gridSpan w:val="2"/>
            <w:tcBorders>
              <w:top w:val="nil"/>
              <w:left w:val="nil"/>
              <w:bottom w:val="single" w:color="auto" w:sz="4" w:space="0"/>
              <w:right w:val="single" w:color="auto" w:sz="4" w:space="0"/>
            </w:tcBorders>
            <w:vAlign w:val="center"/>
          </w:tcPr>
          <w:p w14:paraId="1032C5B8">
            <w:pPr>
              <w:spacing w:line="0" w:lineRule="atLeast"/>
              <w:jc w:val="center"/>
              <w:rPr>
                <w:rFonts w:hint="default" w:ascii="Times New Roman" w:hAnsi="Times New Roman" w:eastAsia="楷体_GB2312" w:cs="Times New Roman"/>
                <w:sz w:val="20"/>
                <w:highlight w:val="none"/>
                <w:lang w:val="en-US" w:eastAsia="zh-CN"/>
              </w:rPr>
            </w:pPr>
          </w:p>
        </w:tc>
      </w:tr>
      <w:tr w14:paraId="09838A16">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0E2E1900">
            <w:pPr>
              <w:spacing w:line="0" w:lineRule="atLeast"/>
              <w:rPr>
                <w:rFonts w:hint="default" w:ascii="Times New Roman" w:hAnsi="Times New Roman" w:cs="Times New Roman"/>
                <w:sz w:val="20"/>
                <w:highlight w:val="none"/>
              </w:rPr>
            </w:pPr>
          </w:p>
        </w:tc>
        <w:tc>
          <w:tcPr>
            <w:tcW w:w="1284" w:type="dxa"/>
            <w:gridSpan w:val="3"/>
            <w:tcBorders>
              <w:top w:val="nil"/>
              <w:left w:val="nil"/>
              <w:bottom w:val="single" w:color="auto" w:sz="4" w:space="0"/>
              <w:right w:val="single" w:color="auto" w:sz="4" w:space="0"/>
            </w:tcBorders>
            <w:vAlign w:val="center"/>
          </w:tcPr>
          <w:p w14:paraId="238C3FF8">
            <w:pPr>
              <w:spacing w:line="0" w:lineRule="atLeast"/>
              <w:jc w:val="center"/>
              <w:rPr>
                <w:rFonts w:hint="default" w:ascii="Times New Roman" w:hAnsi="Times New Roman" w:cs="Times New Roman"/>
                <w:sz w:val="20"/>
                <w:highlight w:val="none"/>
              </w:rPr>
            </w:pPr>
          </w:p>
        </w:tc>
        <w:tc>
          <w:tcPr>
            <w:tcW w:w="2976" w:type="dxa"/>
            <w:gridSpan w:val="2"/>
            <w:tcBorders>
              <w:top w:val="nil"/>
              <w:left w:val="nil"/>
              <w:bottom w:val="single" w:color="auto" w:sz="4" w:space="0"/>
              <w:right w:val="single" w:color="auto" w:sz="4" w:space="0"/>
            </w:tcBorders>
            <w:vAlign w:val="center"/>
          </w:tcPr>
          <w:p w14:paraId="76FB27B3">
            <w:pPr>
              <w:spacing w:line="0" w:lineRule="atLeast"/>
              <w:rPr>
                <w:rFonts w:hint="default" w:ascii="Times New Roman" w:hAnsi="Times New Roman" w:cs="Times New Roman"/>
                <w:sz w:val="20"/>
                <w:highlight w:val="none"/>
              </w:rPr>
            </w:pPr>
          </w:p>
        </w:tc>
        <w:tc>
          <w:tcPr>
            <w:tcW w:w="1324" w:type="dxa"/>
            <w:gridSpan w:val="2"/>
            <w:tcBorders>
              <w:top w:val="nil"/>
              <w:left w:val="nil"/>
              <w:bottom w:val="single" w:color="auto" w:sz="4" w:space="0"/>
              <w:right w:val="single" w:color="auto" w:sz="4" w:space="0"/>
            </w:tcBorders>
            <w:vAlign w:val="center"/>
          </w:tcPr>
          <w:p w14:paraId="793DFAF9">
            <w:pPr>
              <w:spacing w:line="0" w:lineRule="atLeast"/>
              <w:jc w:val="center"/>
              <w:rPr>
                <w:rFonts w:hint="default" w:ascii="Times New Roman" w:hAnsi="Times New Roman" w:cs="Times New Roman"/>
                <w:sz w:val="20"/>
                <w:highlight w:val="none"/>
              </w:rPr>
            </w:pPr>
          </w:p>
        </w:tc>
      </w:tr>
      <w:tr w14:paraId="3390B7CD">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660A3116">
            <w:pPr>
              <w:spacing w:line="0" w:lineRule="atLeast"/>
              <w:rPr>
                <w:rFonts w:hint="default" w:ascii="Times New Roman" w:hAnsi="Times New Roman" w:cs="Times New Roman"/>
                <w:sz w:val="20"/>
                <w:highlight w:val="none"/>
              </w:rPr>
            </w:pPr>
            <w:r>
              <w:rPr>
                <w:rFonts w:hint="default" w:ascii="Times New Roman" w:hAnsi="Times New Roman" w:cs="Times New Roman"/>
                <w:b/>
                <w:bCs/>
                <w:sz w:val="20"/>
                <w:highlight w:val="none"/>
              </w:rPr>
              <w:t>加：</w:t>
            </w:r>
            <w:r>
              <w:rPr>
                <w:rFonts w:hint="default" w:ascii="Times New Roman" w:hAnsi="Times New Roman" w:cs="Times New Roman"/>
                <w:sz w:val="20"/>
                <w:highlight w:val="none"/>
              </w:rPr>
              <w:t>上级补助收入</w:t>
            </w:r>
          </w:p>
        </w:tc>
        <w:tc>
          <w:tcPr>
            <w:tcW w:w="1284" w:type="dxa"/>
            <w:gridSpan w:val="3"/>
            <w:tcBorders>
              <w:top w:val="nil"/>
              <w:left w:val="nil"/>
              <w:bottom w:val="single" w:color="auto" w:sz="4" w:space="0"/>
              <w:right w:val="single" w:color="auto" w:sz="4" w:space="0"/>
            </w:tcBorders>
            <w:vAlign w:val="center"/>
          </w:tcPr>
          <w:p w14:paraId="36ABB892">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rPr>
              <w:t>3</w:t>
            </w:r>
            <w:r>
              <w:rPr>
                <w:rFonts w:hint="default" w:ascii="Times New Roman" w:hAnsi="Times New Roman" w:cs="Times New Roman"/>
                <w:sz w:val="20"/>
                <w:highlight w:val="none"/>
                <w:lang w:val="en-US" w:eastAsia="zh-CN"/>
              </w:rPr>
              <w:t>3450</w:t>
            </w:r>
          </w:p>
        </w:tc>
        <w:tc>
          <w:tcPr>
            <w:tcW w:w="2976" w:type="dxa"/>
            <w:gridSpan w:val="2"/>
            <w:tcBorders>
              <w:top w:val="nil"/>
              <w:left w:val="nil"/>
              <w:bottom w:val="single" w:color="auto" w:sz="4" w:space="0"/>
              <w:right w:val="single" w:color="auto" w:sz="4" w:space="0"/>
            </w:tcBorders>
            <w:vAlign w:val="center"/>
          </w:tcPr>
          <w:p w14:paraId="397F4AF5">
            <w:pPr>
              <w:spacing w:line="0" w:lineRule="atLeast"/>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b/>
                <w:bCs/>
                <w:sz w:val="20"/>
                <w:highlight w:val="none"/>
                <w:lang w:val="en-US" w:eastAsia="zh-CN"/>
              </w:rPr>
              <w:t>加：</w:t>
            </w:r>
            <w:r>
              <w:rPr>
                <w:rFonts w:hint="default" w:ascii="Times New Roman" w:hAnsi="Times New Roman" w:cs="Times New Roman"/>
                <w:sz w:val="20"/>
                <w:highlight w:val="none"/>
              </w:rPr>
              <w:t>上解支出</w:t>
            </w:r>
          </w:p>
        </w:tc>
        <w:tc>
          <w:tcPr>
            <w:tcW w:w="1324" w:type="dxa"/>
            <w:gridSpan w:val="2"/>
            <w:tcBorders>
              <w:top w:val="nil"/>
              <w:left w:val="nil"/>
              <w:bottom w:val="single" w:color="auto" w:sz="4" w:space="0"/>
              <w:right w:val="single" w:color="auto" w:sz="4" w:space="0"/>
            </w:tcBorders>
            <w:vAlign w:val="center"/>
          </w:tcPr>
          <w:p w14:paraId="13A2B053">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6600</w:t>
            </w:r>
          </w:p>
        </w:tc>
      </w:tr>
      <w:tr w14:paraId="2F2452B5">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3A808C22">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 xml:space="preserve">    调入资金</w:t>
            </w:r>
          </w:p>
        </w:tc>
        <w:tc>
          <w:tcPr>
            <w:tcW w:w="1284" w:type="dxa"/>
            <w:gridSpan w:val="3"/>
            <w:tcBorders>
              <w:top w:val="nil"/>
              <w:left w:val="nil"/>
              <w:bottom w:val="single" w:color="auto" w:sz="4" w:space="0"/>
              <w:right w:val="single" w:color="auto" w:sz="4" w:space="0"/>
            </w:tcBorders>
            <w:vAlign w:val="center"/>
          </w:tcPr>
          <w:p w14:paraId="43CF7E6D">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5548</w:t>
            </w:r>
          </w:p>
        </w:tc>
        <w:tc>
          <w:tcPr>
            <w:tcW w:w="2976" w:type="dxa"/>
            <w:gridSpan w:val="2"/>
            <w:tcBorders>
              <w:top w:val="nil"/>
              <w:left w:val="nil"/>
              <w:bottom w:val="single" w:color="auto" w:sz="4" w:space="0"/>
              <w:right w:val="single" w:color="auto" w:sz="4" w:space="0"/>
            </w:tcBorders>
            <w:vAlign w:val="center"/>
          </w:tcPr>
          <w:p w14:paraId="1300D8BB">
            <w:pPr>
              <w:spacing w:line="0" w:lineRule="atLeast"/>
              <w:jc w:val="both"/>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b/>
                <w:bCs/>
                <w:sz w:val="20"/>
                <w:highlight w:val="none"/>
                <w:lang w:val="en-US" w:eastAsia="zh-CN"/>
              </w:rPr>
              <w:t xml:space="preserve">    </w:t>
            </w:r>
            <w:r>
              <w:rPr>
                <w:rFonts w:hint="default" w:ascii="Times New Roman" w:hAnsi="Times New Roman" w:cs="Times New Roman"/>
                <w:sz w:val="20"/>
                <w:highlight w:val="none"/>
              </w:rPr>
              <w:t>一般债券还本支</w:t>
            </w:r>
            <w:r>
              <w:rPr>
                <w:rFonts w:hint="default" w:ascii="Times New Roman" w:hAnsi="Times New Roman" w:cs="Times New Roman"/>
                <w:sz w:val="20"/>
                <w:highlight w:val="none"/>
              </w:rPr>
              <w:t>出　</w:t>
            </w:r>
          </w:p>
        </w:tc>
        <w:tc>
          <w:tcPr>
            <w:tcW w:w="1324" w:type="dxa"/>
            <w:gridSpan w:val="2"/>
            <w:tcBorders>
              <w:top w:val="nil"/>
              <w:left w:val="nil"/>
              <w:bottom w:val="single" w:color="auto" w:sz="4" w:space="0"/>
              <w:right w:val="single" w:color="auto" w:sz="4" w:space="0"/>
            </w:tcBorders>
            <w:vAlign w:val="center"/>
          </w:tcPr>
          <w:p w14:paraId="006D24C9">
            <w:pPr>
              <w:spacing w:line="0" w:lineRule="atLeast"/>
              <w:jc w:val="center"/>
              <w:rPr>
                <w:rFonts w:hint="default" w:ascii="Times New Roman" w:hAnsi="Times New Roman" w:eastAsia="楷体_GB2312" w:cs="Times New Roman"/>
                <w:kern w:val="2"/>
                <w:sz w:val="20"/>
                <w:szCs w:val="30"/>
                <w:highlight w:val="none"/>
                <w:lang w:val="en-US" w:eastAsia="zh-CN" w:bidi="ar-SA"/>
              </w:rPr>
            </w:pPr>
            <w:r>
              <w:rPr>
                <w:rFonts w:hint="default" w:ascii="Times New Roman" w:hAnsi="Times New Roman" w:cs="Times New Roman"/>
                <w:sz w:val="20"/>
                <w:highlight w:val="none"/>
                <w:lang w:val="en-US" w:eastAsia="zh-CN"/>
              </w:rPr>
              <w:t>1573</w:t>
            </w:r>
          </w:p>
        </w:tc>
      </w:tr>
      <w:tr w14:paraId="4CF6EB68">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75F5D599">
            <w:pPr>
              <w:spacing w:line="0" w:lineRule="atLeast"/>
              <w:ind w:firstLine="400" w:firstLineChars="200"/>
              <w:rPr>
                <w:rFonts w:hint="default" w:ascii="Times New Roman" w:hAnsi="Times New Roman" w:cs="Times New Roman"/>
                <w:sz w:val="20"/>
                <w:highlight w:val="none"/>
                <w:lang w:val="en-US" w:eastAsia="zh-CN"/>
              </w:rPr>
            </w:pPr>
            <w:r>
              <w:rPr>
                <w:rFonts w:hint="default" w:ascii="Times New Roman" w:hAnsi="Times New Roman" w:cs="Times New Roman"/>
                <w:sz w:val="20"/>
                <w:highlight w:val="none"/>
                <w:lang w:val="en-US" w:eastAsia="zh-CN"/>
              </w:rPr>
              <w:t>一般债务转贷收入</w:t>
            </w:r>
          </w:p>
        </w:tc>
        <w:tc>
          <w:tcPr>
            <w:tcW w:w="1284" w:type="dxa"/>
            <w:gridSpan w:val="3"/>
            <w:tcBorders>
              <w:top w:val="nil"/>
              <w:left w:val="nil"/>
              <w:bottom w:val="single" w:color="auto" w:sz="4" w:space="0"/>
              <w:right w:val="single" w:color="auto" w:sz="4" w:space="0"/>
            </w:tcBorders>
            <w:vAlign w:val="center"/>
          </w:tcPr>
          <w:p w14:paraId="34BAF544">
            <w:pPr>
              <w:spacing w:line="0" w:lineRule="atLeast"/>
              <w:jc w:val="center"/>
              <w:rPr>
                <w:rFonts w:hint="default" w:ascii="Times New Roman" w:hAnsi="Times New Roman" w:eastAsia="楷体_GB2312" w:cs="Times New Roman"/>
                <w:sz w:val="20"/>
                <w:highlight w:val="none"/>
                <w:lang w:val="en-US" w:eastAsia="zh-CN"/>
              </w:rPr>
            </w:pPr>
            <w:r>
              <w:rPr>
                <w:rFonts w:hint="default" w:ascii="Times New Roman" w:hAnsi="Times New Roman" w:cs="Times New Roman"/>
                <w:sz w:val="20"/>
                <w:highlight w:val="none"/>
                <w:lang w:val="en-US" w:eastAsia="zh-CN"/>
              </w:rPr>
              <w:t>1415</w:t>
            </w:r>
          </w:p>
        </w:tc>
        <w:tc>
          <w:tcPr>
            <w:tcW w:w="2976" w:type="dxa"/>
            <w:gridSpan w:val="2"/>
            <w:tcBorders>
              <w:top w:val="nil"/>
              <w:left w:val="nil"/>
              <w:bottom w:val="single" w:color="auto" w:sz="4" w:space="0"/>
              <w:right w:val="single" w:color="auto" w:sz="4" w:space="0"/>
            </w:tcBorders>
            <w:vAlign w:val="center"/>
          </w:tcPr>
          <w:p w14:paraId="4A9330CA">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　</w:t>
            </w:r>
          </w:p>
        </w:tc>
        <w:tc>
          <w:tcPr>
            <w:tcW w:w="1324" w:type="dxa"/>
            <w:gridSpan w:val="2"/>
            <w:tcBorders>
              <w:top w:val="nil"/>
              <w:left w:val="nil"/>
              <w:bottom w:val="single" w:color="auto" w:sz="4" w:space="0"/>
              <w:right w:val="single" w:color="auto" w:sz="4" w:space="0"/>
            </w:tcBorders>
            <w:vAlign w:val="center"/>
          </w:tcPr>
          <w:p w14:paraId="5148D246">
            <w:pPr>
              <w:spacing w:line="0" w:lineRule="atLeast"/>
              <w:jc w:val="center"/>
              <w:rPr>
                <w:rFonts w:hint="default" w:ascii="Times New Roman" w:hAnsi="Times New Roman" w:cs="Times New Roman"/>
                <w:sz w:val="20"/>
                <w:highlight w:val="none"/>
              </w:rPr>
            </w:pPr>
          </w:p>
        </w:tc>
      </w:tr>
      <w:tr w14:paraId="101E67CF">
        <w:tblPrEx>
          <w:tblCellMar>
            <w:top w:w="0" w:type="dxa"/>
            <w:left w:w="108" w:type="dxa"/>
            <w:bottom w:w="0" w:type="dxa"/>
            <w:right w:w="108" w:type="dxa"/>
          </w:tblCellMar>
        </w:tblPrEx>
        <w:trPr>
          <w:gridBefore w:val="1"/>
          <w:gridAfter w:val="1"/>
          <w:wBefore w:w="800" w:type="dxa"/>
          <w:wAfter w:w="470" w:type="dxa"/>
          <w:trHeight w:val="358" w:hRule="atLeast"/>
        </w:trPr>
        <w:tc>
          <w:tcPr>
            <w:tcW w:w="3593" w:type="dxa"/>
            <w:gridSpan w:val="2"/>
            <w:tcBorders>
              <w:top w:val="nil"/>
              <w:left w:val="single" w:color="auto" w:sz="4" w:space="0"/>
              <w:bottom w:val="single" w:color="auto" w:sz="4" w:space="0"/>
              <w:right w:val="single" w:color="auto" w:sz="4" w:space="0"/>
            </w:tcBorders>
            <w:vAlign w:val="center"/>
          </w:tcPr>
          <w:p w14:paraId="452EF525">
            <w:pPr>
              <w:spacing w:line="0" w:lineRule="atLeast"/>
              <w:jc w:val="both"/>
              <w:rPr>
                <w:rFonts w:hint="default" w:ascii="Times New Roman" w:hAnsi="Times New Roman" w:cs="Times New Roman"/>
                <w:sz w:val="20"/>
                <w:highlight w:val="none"/>
              </w:rPr>
            </w:pPr>
          </w:p>
        </w:tc>
        <w:tc>
          <w:tcPr>
            <w:tcW w:w="1284" w:type="dxa"/>
            <w:gridSpan w:val="3"/>
            <w:tcBorders>
              <w:top w:val="nil"/>
              <w:left w:val="nil"/>
              <w:bottom w:val="single" w:color="auto" w:sz="4" w:space="0"/>
              <w:right w:val="single" w:color="auto" w:sz="4" w:space="0"/>
            </w:tcBorders>
            <w:vAlign w:val="center"/>
          </w:tcPr>
          <w:p w14:paraId="1BA237F3">
            <w:pPr>
              <w:spacing w:line="0" w:lineRule="atLeast"/>
              <w:jc w:val="center"/>
              <w:rPr>
                <w:rFonts w:hint="default" w:ascii="Times New Roman" w:hAnsi="Times New Roman" w:cs="Times New Roman"/>
                <w:sz w:val="20"/>
                <w:highlight w:val="none"/>
              </w:rPr>
            </w:pPr>
          </w:p>
        </w:tc>
        <w:tc>
          <w:tcPr>
            <w:tcW w:w="2976" w:type="dxa"/>
            <w:gridSpan w:val="2"/>
            <w:tcBorders>
              <w:top w:val="nil"/>
              <w:left w:val="nil"/>
              <w:bottom w:val="single" w:color="auto" w:sz="4" w:space="0"/>
              <w:right w:val="single" w:color="auto" w:sz="4" w:space="0"/>
            </w:tcBorders>
            <w:vAlign w:val="center"/>
          </w:tcPr>
          <w:p w14:paraId="1622A28C">
            <w:pPr>
              <w:spacing w:line="0" w:lineRule="atLeast"/>
              <w:rPr>
                <w:rFonts w:hint="default" w:ascii="Times New Roman" w:hAnsi="Times New Roman" w:cs="Times New Roman"/>
                <w:sz w:val="20"/>
                <w:highlight w:val="none"/>
              </w:rPr>
            </w:pPr>
          </w:p>
        </w:tc>
        <w:tc>
          <w:tcPr>
            <w:tcW w:w="1324" w:type="dxa"/>
            <w:gridSpan w:val="2"/>
            <w:tcBorders>
              <w:top w:val="nil"/>
              <w:left w:val="nil"/>
              <w:bottom w:val="single" w:color="auto" w:sz="4" w:space="0"/>
              <w:right w:val="single" w:color="auto" w:sz="4" w:space="0"/>
            </w:tcBorders>
            <w:vAlign w:val="center"/>
          </w:tcPr>
          <w:p w14:paraId="28D5BA11">
            <w:pPr>
              <w:spacing w:line="0" w:lineRule="atLeast"/>
              <w:jc w:val="center"/>
              <w:rPr>
                <w:rFonts w:hint="default" w:ascii="Times New Roman" w:hAnsi="Times New Roman" w:cs="Times New Roman"/>
                <w:sz w:val="20"/>
                <w:highlight w:val="none"/>
              </w:rPr>
            </w:pPr>
          </w:p>
        </w:tc>
      </w:tr>
      <w:tr w14:paraId="214D9532">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573B8EAF">
            <w:pPr>
              <w:spacing w:line="0" w:lineRule="atLeast"/>
              <w:ind w:firstLine="400" w:firstLineChars="200"/>
              <w:rPr>
                <w:rFonts w:hint="default" w:ascii="Times New Roman" w:hAnsi="Times New Roman" w:cs="Times New Roman"/>
                <w:sz w:val="20"/>
                <w:highlight w:val="none"/>
              </w:rPr>
            </w:pPr>
          </w:p>
        </w:tc>
        <w:tc>
          <w:tcPr>
            <w:tcW w:w="1284" w:type="dxa"/>
            <w:gridSpan w:val="3"/>
            <w:tcBorders>
              <w:top w:val="nil"/>
              <w:left w:val="nil"/>
              <w:bottom w:val="single" w:color="auto" w:sz="4" w:space="0"/>
              <w:right w:val="single" w:color="auto" w:sz="4" w:space="0"/>
            </w:tcBorders>
            <w:vAlign w:val="center"/>
          </w:tcPr>
          <w:p w14:paraId="56B0A1B8">
            <w:pPr>
              <w:spacing w:line="0" w:lineRule="atLeast"/>
              <w:jc w:val="center"/>
              <w:rPr>
                <w:rFonts w:hint="default" w:ascii="Times New Roman" w:hAnsi="Times New Roman" w:eastAsia="楷体_GB2312" w:cs="Times New Roman"/>
                <w:sz w:val="20"/>
                <w:highlight w:val="none"/>
                <w:lang w:val="en-US" w:eastAsia="zh-CN"/>
              </w:rPr>
            </w:pPr>
          </w:p>
        </w:tc>
        <w:tc>
          <w:tcPr>
            <w:tcW w:w="2976" w:type="dxa"/>
            <w:gridSpan w:val="2"/>
            <w:tcBorders>
              <w:top w:val="nil"/>
              <w:left w:val="nil"/>
              <w:bottom w:val="single" w:color="auto" w:sz="4" w:space="0"/>
              <w:right w:val="single" w:color="auto" w:sz="4" w:space="0"/>
            </w:tcBorders>
            <w:vAlign w:val="center"/>
          </w:tcPr>
          <w:p w14:paraId="7D9AC49E">
            <w:pPr>
              <w:spacing w:line="0" w:lineRule="atLeast"/>
              <w:rPr>
                <w:rFonts w:hint="default" w:ascii="Times New Roman" w:hAnsi="Times New Roman" w:cs="Times New Roman"/>
                <w:b/>
                <w:bCs/>
                <w:sz w:val="20"/>
                <w:highlight w:val="none"/>
              </w:rPr>
            </w:pPr>
            <w:r>
              <w:rPr>
                <w:rFonts w:hint="default" w:ascii="Times New Roman" w:hAnsi="Times New Roman" w:cs="Times New Roman"/>
                <w:b/>
                <w:bCs/>
                <w:sz w:val="20"/>
                <w:highlight w:val="none"/>
              </w:rPr>
              <w:t>　</w:t>
            </w:r>
          </w:p>
        </w:tc>
        <w:tc>
          <w:tcPr>
            <w:tcW w:w="1324" w:type="dxa"/>
            <w:gridSpan w:val="2"/>
            <w:tcBorders>
              <w:top w:val="nil"/>
              <w:left w:val="nil"/>
              <w:bottom w:val="single" w:color="auto" w:sz="4" w:space="0"/>
              <w:right w:val="single" w:color="auto" w:sz="4" w:space="0"/>
            </w:tcBorders>
            <w:vAlign w:val="center"/>
          </w:tcPr>
          <w:p w14:paraId="250DD821">
            <w:pPr>
              <w:spacing w:line="0" w:lineRule="atLeast"/>
              <w:jc w:val="center"/>
              <w:rPr>
                <w:rFonts w:hint="default" w:ascii="Times New Roman" w:hAnsi="Times New Roman" w:cs="Times New Roman"/>
                <w:sz w:val="20"/>
                <w:highlight w:val="none"/>
              </w:rPr>
            </w:pPr>
          </w:p>
        </w:tc>
      </w:tr>
      <w:tr w14:paraId="485487E2">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49FD8DF6">
            <w:pPr>
              <w:spacing w:line="0" w:lineRule="atLeast"/>
              <w:rPr>
                <w:rFonts w:hint="default" w:ascii="Times New Roman" w:hAnsi="Times New Roman" w:cs="Times New Roman"/>
                <w:b/>
                <w:bCs/>
                <w:sz w:val="20"/>
                <w:highlight w:val="none"/>
              </w:rPr>
            </w:pPr>
          </w:p>
        </w:tc>
        <w:tc>
          <w:tcPr>
            <w:tcW w:w="1284" w:type="dxa"/>
            <w:gridSpan w:val="3"/>
            <w:tcBorders>
              <w:top w:val="nil"/>
              <w:left w:val="nil"/>
              <w:bottom w:val="single" w:color="auto" w:sz="4" w:space="0"/>
              <w:right w:val="single" w:color="auto" w:sz="4" w:space="0"/>
            </w:tcBorders>
            <w:vAlign w:val="center"/>
          </w:tcPr>
          <w:p w14:paraId="58301F77">
            <w:pPr>
              <w:spacing w:line="0" w:lineRule="atLeast"/>
              <w:jc w:val="center"/>
              <w:rPr>
                <w:rFonts w:hint="default" w:ascii="Times New Roman" w:hAnsi="Times New Roman" w:cs="Times New Roman"/>
                <w:sz w:val="20"/>
                <w:highlight w:val="none"/>
              </w:rPr>
            </w:pPr>
          </w:p>
        </w:tc>
        <w:tc>
          <w:tcPr>
            <w:tcW w:w="2976" w:type="dxa"/>
            <w:gridSpan w:val="2"/>
            <w:tcBorders>
              <w:top w:val="nil"/>
              <w:left w:val="nil"/>
              <w:bottom w:val="single" w:color="auto" w:sz="4" w:space="0"/>
              <w:right w:val="single" w:color="auto" w:sz="4" w:space="0"/>
            </w:tcBorders>
            <w:vAlign w:val="center"/>
          </w:tcPr>
          <w:p w14:paraId="39F01456">
            <w:pPr>
              <w:spacing w:line="0" w:lineRule="atLeast"/>
              <w:rPr>
                <w:rFonts w:hint="default" w:ascii="Times New Roman" w:hAnsi="Times New Roman" w:cs="Times New Roman"/>
                <w:sz w:val="20"/>
                <w:highlight w:val="none"/>
              </w:rPr>
            </w:pPr>
            <w:r>
              <w:rPr>
                <w:rFonts w:hint="default" w:ascii="Times New Roman" w:hAnsi="Times New Roman" w:cs="Times New Roman"/>
                <w:sz w:val="20"/>
                <w:highlight w:val="none"/>
              </w:rPr>
              <w:t>　</w:t>
            </w:r>
          </w:p>
        </w:tc>
        <w:tc>
          <w:tcPr>
            <w:tcW w:w="1324" w:type="dxa"/>
            <w:gridSpan w:val="2"/>
            <w:tcBorders>
              <w:top w:val="nil"/>
              <w:left w:val="nil"/>
              <w:bottom w:val="single" w:color="auto" w:sz="4" w:space="0"/>
              <w:right w:val="single" w:color="auto" w:sz="4" w:space="0"/>
            </w:tcBorders>
            <w:vAlign w:val="center"/>
          </w:tcPr>
          <w:p w14:paraId="3F8CFCA8">
            <w:pPr>
              <w:spacing w:line="0" w:lineRule="atLeast"/>
              <w:jc w:val="center"/>
              <w:rPr>
                <w:rFonts w:hint="default" w:ascii="Times New Roman" w:hAnsi="Times New Roman" w:cs="Times New Roman"/>
                <w:sz w:val="20"/>
                <w:highlight w:val="none"/>
              </w:rPr>
            </w:pPr>
          </w:p>
        </w:tc>
      </w:tr>
      <w:tr w14:paraId="458A1733">
        <w:tblPrEx>
          <w:tblCellMar>
            <w:top w:w="0" w:type="dxa"/>
            <w:left w:w="108" w:type="dxa"/>
            <w:bottom w:w="0" w:type="dxa"/>
            <w:right w:w="108" w:type="dxa"/>
          </w:tblCellMar>
        </w:tblPrEx>
        <w:trPr>
          <w:gridBefore w:val="1"/>
          <w:gridAfter w:val="1"/>
          <w:wBefore w:w="800" w:type="dxa"/>
          <w:wAfter w:w="470" w:type="dxa"/>
          <w:trHeight w:val="346" w:hRule="atLeast"/>
        </w:trPr>
        <w:tc>
          <w:tcPr>
            <w:tcW w:w="3593" w:type="dxa"/>
            <w:gridSpan w:val="2"/>
            <w:tcBorders>
              <w:top w:val="nil"/>
              <w:left w:val="single" w:color="auto" w:sz="4" w:space="0"/>
              <w:bottom w:val="single" w:color="auto" w:sz="4" w:space="0"/>
              <w:right w:val="single" w:color="auto" w:sz="4" w:space="0"/>
            </w:tcBorders>
            <w:vAlign w:val="center"/>
          </w:tcPr>
          <w:p w14:paraId="37D9E173">
            <w:pPr>
              <w:spacing w:line="0" w:lineRule="atLeast"/>
              <w:jc w:val="center"/>
              <w:rPr>
                <w:rFonts w:hint="default" w:ascii="Times New Roman" w:hAnsi="Times New Roman" w:cs="Times New Roman"/>
                <w:b/>
                <w:sz w:val="20"/>
                <w:highlight w:val="none"/>
              </w:rPr>
            </w:pPr>
            <w:r>
              <w:rPr>
                <w:rFonts w:hint="default" w:ascii="Times New Roman" w:hAnsi="Times New Roman" w:cs="Times New Roman"/>
                <w:b/>
                <w:sz w:val="20"/>
                <w:highlight w:val="none"/>
              </w:rPr>
              <w:t>总计</w:t>
            </w:r>
          </w:p>
        </w:tc>
        <w:tc>
          <w:tcPr>
            <w:tcW w:w="1284" w:type="dxa"/>
            <w:gridSpan w:val="3"/>
            <w:tcBorders>
              <w:top w:val="nil"/>
              <w:left w:val="nil"/>
              <w:bottom w:val="single" w:color="auto" w:sz="4" w:space="0"/>
              <w:right w:val="single" w:color="auto" w:sz="4" w:space="0"/>
            </w:tcBorders>
            <w:vAlign w:val="center"/>
          </w:tcPr>
          <w:p w14:paraId="4125747A">
            <w:pPr>
              <w:spacing w:line="0" w:lineRule="atLeast"/>
              <w:jc w:val="center"/>
              <w:rPr>
                <w:rFonts w:hint="default" w:ascii="Times New Roman" w:hAnsi="Times New Roman" w:cs="Times New Roman"/>
                <w:sz w:val="20"/>
                <w:highlight w:val="none"/>
              </w:rPr>
            </w:pPr>
            <w:r>
              <w:rPr>
                <w:rFonts w:hint="default" w:ascii="Times New Roman" w:hAnsi="Times New Roman" w:cs="Times New Roman"/>
                <w:b/>
                <w:bCs/>
                <w:sz w:val="20"/>
                <w:highlight w:val="none"/>
                <w:lang w:val="en-US" w:eastAsia="zh-CN"/>
              </w:rPr>
              <w:t>64673</w:t>
            </w:r>
            <w:r>
              <w:rPr>
                <w:rFonts w:hint="default" w:ascii="Times New Roman" w:hAnsi="Times New Roman" w:cs="Times New Roman"/>
                <w:b/>
                <w:bCs/>
                <w:sz w:val="20"/>
                <w:highlight w:val="none"/>
              </w:rPr>
              <w:t xml:space="preserve"> </w:t>
            </w:r>
          </w:p>
        </w:tc>
        <w:tc>
          <w:tcPr>
            <w:tcW w:w="2976" w:type="dxa"/>
            <w:gridSpan w:val="2"/>
            <w:tcBorders>
              <w:top w:val="nil"/>
              <w:left w:val="nil"/>
              <w:bottom w:val="single" w:color="auto" w:sz="4" w:space="0"/>
              <w:right w:val="single" w:color="auto" w:sz="4" w:space="0"/>
            </w:tcBorders>
            <w:vAlign w:val="center"/>
          </w:tcPr>
          <w:p w14:paraId="45959DE4">
            <w:pPr>
              <w:spacing w:line="0" w:lineRule="atLeast"/>
              <w:jc w:val="center"/>
              <w:rPr>
                <w:rFonts w:hint="default" w:ascii="Times New Roman" w:hAnsi="Times New Roman" w:cs="Times New Roman"/>
                <w:b/>
                <w:bCs/>
                <w:sz w:val="20"/>
                <w:highlight w:val="none"/>
              </w:rPr>
            </w:pPr>
            <w:r>
              <w:rPr>
                <w:rFonts w:hint="default" w:ascii="Times New Roman" w:hAnsi="Times New Roman" w:cs="Times New Roman"/>
                <w:b/>
                <w:bCs/>
                <w:sz w:val="20"/>
                <w:highlight w:val="none"/>
              </w:rPr>
              <w:t>总计</w:t>
            </w:r>
          </w:p>
        </w:tc>
        <w:tc>
          <w:tcPr>
            <w:tcW w:w="1324" w:type="dxa"/>
            <w:gridSpan w:val="2"/>
            <w:tcBorders>
              <w:top w:val="nil"/>
              <w:left w:val="nil"/>
              <w:bottom w:val="single" w:color="auto" w:sz="4" w:space="0"/>
              <w:right w:val="single" w:color="auto" w:sz="4" w:space="0"/>
            </w:tcBorders>
            <w:vAlign w:val="center"/>
          </w:tcPr>
          <w:p w14:paraId="3256D4F7">
            <w:pPr>
              <w:spacing w:line="0" w:lineRule="atLeast"/>
              <w:jc w:val="center"/>
              <w:rPr>
                <w:rFonts w:hint="default" w:ascii="Times New Roman" w:hAnsi="Times New Roman" w:cs="Times New Roman"/>
                <w:sz w:val="20"/>
                <w:highlight w:val="none"/>
              </w:rPr>
            </w:pPr>
            <w:r>
              <w:rPr>
                <w:rFonts w:hint="default" w:ascii="Times New Roman" w:hAnsi="Times New Roman" w:cs="Times New Roman"/>
                <w:b/>
                <w:bCs/>
                <w:sz w:val="20"/>
                <w:highlight w:val="none"/>
                <w:lang w:val="en-US" w:eastAsia="zh-CN"/>
              </w:rPr>
              <w:t>64673</w:t>
            </w:r>
            <w:r>
              <w:rPr>
                <w:rFonts w:hint="default" w:ascii="Times New Roman" w:hAnsi="Times New Roman" w:cs="Times New Roman"/>
                <w:b/>
                <w:bCs/>
                <w:sz w:val="20"/>
                <w:highlight w:val="none"/>
              </w:rPr>
              <w:t xml:space="preserve"> </w:t>
            </w:r>
          </w:p>
        </w:tc>
      </w:tr>
    </w:tbl>
    <w:p w14:paraId="3B4037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highlight w:val="none"/>
          <w:lang w:val="en-US" w:eastAsia="zh-CN"/>
        </w:rPr>
        <w:sectPr>
          <w:pgSz w:w="11907" w:h="16839"/>
          <w:pgMar w:top="1440" w:right="1440" w:bottom="1440" w:left="1440" w:header="851" w:footer="992" w:gutter="0"/>
          <w:paperSrc/>
          <w:cols w:space="0" w:num="1"/>
          <w:rtlGutter w:val="0"/>
          <w:docGrid w:type="lines" w:linePitch="410" w:charSpace="0"/>
        </w:sectPr>
      </w:pPr>
    </w:p>
    <w:p w14:paraId="2FA98D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highlight w:val="none"/>
          <w:lang w:val="en-US" w:eastAsia="zh-CN"/>
        </w:rPr>
      </w:pPr>
    </w:p>
    <w:p w14:paraId="31F94A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highlight w:val="none"/>
          <w:lang w:val="en-US" w:eastAsia="zh-CN"/>
        </w:rPr>
      </w:pPr>
      <w:r>
        <w:rPr>
          <w:rFonts w:hint="default" w:ascii="Times New Roman" w:hAnsi="Times New Roman" w:eastAsia="方正小标宋简体" w:cs="Times New Roman"/>
          <w:sz w:val="44"/>
          <w:szCs w:val="44"/>
          <w:highlight w:val="none"/>
          <w:lang w:val="en-US" w:eastAsia="zh-CN"/>
        </w:rPr>
        <w:t>名 词 解 释</w:t>
      </w:r>
    </w:p>
    <w:p w14:paraId="05696F7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val="en-US" w:eastAsia="zh-CN"/>
        </w:rPr>
      </w:pPr>
    </w:p>
    <w:p w14:paraId="533D91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lang w:val="en-US" w:eastAsia="zh-CN"/>
        </w:rPr>
        <w:t>1.一般公共预算。</w:t>
      </w:r>
      <w:r>
        <w:rPr>
          <w:rFonts w:hint="default" w:ascii="Times New Roman" w:hAnsi="Times New Roman" w:eastAsia="仿宋_GB2312" w:cs="Times New Roman"/>
          <w:sz w:val="32"/>
          <w:szCs w:val="32"/>
          <w:highlight w:val="none"/>
          <w:lang w:val="en-US" w:eastAsia="zh-CN"/>
        </w:rPr>
        <w:t>对以税收为主体的财政收入，安排用于保障和改善民生、推动经济社会发展、维护国家安全、维持国家机构正常运转等方面的收支预算。</w:t>
      </w:r>
    </w:p>
    <w:p w14:paraId="161467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lang w:val="en-US" w:eastAsia="zh-CN"/>
        </w:rPr>
        <w:t>2.政府性基金预算。</w:t>
      </w:r>
      <w:r>
        <w:rPr>
          <w:rFonts w:hint="default" w:ascii="Times New Roman" w:hAnsi="Times New Roman" w:eastAsia="仿宋_GB2312" w:cs="Times New Roman"/>
          <w:sz w:val="32"/>
          <w:szCs w:val="32"/>
          <w:highlight w:val="none"/>
          <w:lang w:val="en-US" w:eastAsia="zh-CN"/>
        </w:rPr>
        <w:t>对依照法律、行政法规的规定在一定期限内向特定对象征</w:t>
      </w:r>
      <w:bookmarkStart w:id="2" w:name="_GoBack"/>
      <w:bookmarkEnd w:id="2"/>
      <w:r>
        <w:rPr>
          <w:rFonts w:hint="default" w:ascii="Times New Roman" w:hAnsi="Times New Roman" w:eastAsia="仿宋_GB2312" w:cs="Times New Roman"/>
          <w:sz w:val="32"/>
          <w:szCs w:val="32"/>
          <w:highlight w:val="none"/>
          <w:lang w:val="en-US" w:eastAsia="zh-CN"/>
        </w:rPr>
        <w:t>收、收取或者以其他方式筹集的资金，专项用于特定公共事业发展的收支预算。</w:t>
      </w:r>
    </w:p>
    <w:p w14:paraId="1611CD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lang w:val="en-US" w:eastAsia="zh-CN"/>
        </w:rPr>
        <w:t>3.地方一般公共预算收入。</w:t>
      </w:r>
      <w:r>
        <w:rPr>
          <w:rFonts w:hint="default" w:ascii="Times New Roman" w:hAnsi="Times New Roman" w:eastAsia="仿宋_GB2312" w:cs="Times New Roman"/>
          <w:sz w:val="32"/>
          <w:szCs w:val="32"/>
          <w:highlight w:val="none"/>
          <w:lang w:val="en-US" w:eastAsia="zh-CN"/>
        </w:rPr>
        <w:t>即地方收入，是指“分税制”体制下实际留存于地方的财政收入。</w:t>
      </w:r>
    </w:p>
    <w:p w14:paraId="0591FA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lang w:val="en-US" w:eastAsia="zh-CN"/>
        </w:rPr>
        <w:t>4.非税收入。</w:t>
      </w:r>
      <w:r>
        <w:rPr>
          <w:rFonts w:hint="default" w:ascii="Times New Roman" w:hAnsi="Times New Roman" w:eastAsia="仿宋_GB2312" w:cs="Times New Roman"/>
          <w:sz w:val="32"/>
          <w:szCs w:val="32"/>
          <w:highlight w:val="none"/>
          <w:lang w:val="en-US" w:eastAsia="zh-CN"/>
        </w:rPr>
        <w:t>指各级国家机关、事业单位、社会团体以及其他组织，依据有关法律、行政法规，履行管理职能、行使国有资产或者国有资源所有权、提供特定服务或者以政府名义征收、收取、提取、罚没、追缴、募集的税收以外的财政性资金。</w:t>
      </w:r>
    </w:p>
    <w:p w14:paraId="3DDCAF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lang w:val="en-US" w:eastAsia="zh-CN"/>
        </w:rPr>
        <w:t>5.“三公”经费。</w:t>
      </w:r>
      <w:r>
        <w:rPr>
          <w:rFonts w:hint="default" w:ascii="Times New Roman" w:hAnsi="Times New Roman" w:eastAsia="仿宋_GB2312" w:cs="Times New Roman"/>
          <w:sz w:val="32"/>
          <w:szCs w:val="32"/>
          <w:highlight w:val="none"/>
          <w:lang w:val="en-US" w:eastAsia="zh-CN"/>
        </w:rPr>
        <w:t>指财政拨款支出安排的出国（境）费、车辆购置及运行费、公务接待费这三项经费。</w:t>
      </w:r>
    </w:p>
    <w:p w14:paraId="33B308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lang w:val="en-US" w:eastAsia="zh-CN"/>
        </w:rPr>
        <w:t>6.再融资债券。</w:t>
      </w:r>
      <w:r>
        <w:rPr>
          <w:rFonts w:hint="default" w:ascii="Times New Roman" w:hAnsi="Times New Roman" w:eastAsia="仿宋_GB2312" w:cs="Times New Roman"/>
          <w:sz w:val="32"/>
          <w:szCs w:val="32"/>
          <w:highlight w:val="none"/>
          <w:lang w:val="en-US" w:eastAsia="zh-CN"/>
        </w:rPr>
        <w:t>指为偿还部分到期地方政府债券本金而发行的政府债券。日常工作中也叫“借新还旧债券”。</w:t>
      </w:r>
    </w:p>
    <w:p w14:paraId="6DEE40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lang w:val="en-US" w:eastAsia="zh-CN"/>
        </w:rPr>
        <w:t>7.地方政府一般债券。</w:t>
      </w:r>
      <w:r>
        <w:rPr>
          <w:rFonts w:hint="default" w:ascii="Times New Roman" w:hAnsi="Times New Roman" w:eastAsia="仿宋_GB2312" w:cs="Times New Roman"/>
          <w:sz w:val="32"/>
          <w:szCs w:val="32"/>
          <w:highlight w:val="none"/>
          <w:lang w:val="en-US" w:eastAsia="zh-CN"/>
        </w:rPr>
        <w:t>指省、自治区、直辖市政府(含经省级政府批准自办债券发行的计划单列市政府)为没有收益的公益性项目发行的、约定一定期限内主要以一般公共预算收入还本付息的政府债券。按照债券资金核算要求，新增一般债券资金纳入一般公共预算管理。</w:t>
      </w:r>
    </w:p>
    <w:p w14:paraId="7192C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lang w:val="en-US" w:eastAsia="zh-CN"/>
        </w:rPr>
        <w:t>8.地方政府专项债券。</w:t>
      </w:r>
      <w:r>
        <w:rPr>
          <w:rFonts w:hint="default" w:ascii="Times New Roman" w:hAnsi="Times New Roman" w:eastAsia="仿宋_GB2312" w:cs="Times New Roman"/>
          <w:sz w:val="32"/>
          <w:szCs w:val="32"/>
          <w:highlight w:val="none"/>
          <w:lang w:val="en-US" w:eastAsia="zh-CN"/>
        </w:rPr>
        <w:t>指省、自治区、直辖市政府(含经省级政府批准自办债券发行的计划单列市政府)为有一定收益的公益性项目发行的、约定一定期限内以公益性项目对应的政府性基金或专项收入还本付息的政府债券。按照债券资金核算要求，新增专项债券资金纳入政府性基金预算管理。</w:t>
      </w:r>
    </w:p>
    <w:p w14:paraId="3EA1BB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kern w:val="2"/>
          <w:sz w:val="32"/>
          <w:szCs w:val="32"/>
          <w:highlight w:val="none"/>
          <w:lang w:val="en-US" w:eastAsia="zh-CN" w:bidi="ar-SA"/>
        </w:rPr>
      </w:pPr>
      <w:r>
        <w:rPr>
          <w:rFonts w:hint="default" w:ascii="Times New Roman" w:hAnsi="Times New Roman" w:eastAsia="黑体" w:cs="Times New Roman"/>
          <w:b w:val="0"/>
          <w:bCs w:val="0"/>
          <w:sz w:val="32"/>
          <w:szCs w:val="32"/>
          <w:highlight w:val="none"/>
          <w:lang w:val="en-US" w:eastAsia="zh-CN"/>
        </w:rPr>
        <w:t>9.“三保”。</w:t>
      </w:r>
      <w:r>
        <w:rPr>
          <w:rFonts w:hint="default" w:ascii="Times New Roman" w:hAnsi="Times New Roman" w:eastAsia="仿宋_GB2312" w:cs="Times New Roman"/>
          <w:sz w:val="32"/>
          <w:szCs w:val="32"/>
          <w:highlight w:val="none"/>
        </w:rPr>
        <w:t>指保基本民生</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保工资、保运转。</w:t>
      </w:r>
    </w:p>
    <w:p w14:paraId="19E76C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p>
    <w:p w14:paraId="147CD385">
      <w:pPr>
        <w:widowControl/>
        <w:spacing w:line="240" w:lineRule="auto"/>
        <w:rPr>
          <w:rFonts w:hint="default" w:ascii="Times New Roman" w:hAnsi="Times New Roman" w:cs="Times New Roman"/>
          <w:highlight w:val="none"/>
        </w:rPr>
      </w:pPr>
    </w:p>
    <w:sectPr>
      <w:pgSz w:w="11907" w:h="16839"/>
      <w:pgMar w:top="1984" w:right="1417" w:bottom="1644" w:left="1417" w:header="851" w:footer="992" w:gutter="0"/>
      <w:paperSrc/>
      <w:cols w:space="0" w:num="1"/>
      <w:rtlGutter w:val="0"/>
      <w:docGrid w:type="lines" w:linePitch="4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大标宋简体">
    <w:altName w:val="微软雅黑"/>
    <w:panose1 w:val="03000509000000000000"/>
    <w:charset w:val="86"/>
    <w:family w:val="script"/>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C5E69">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14:paraId="3B607774">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6350F">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32E763D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68BFC">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20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959F6"/>
    <w:rsid w:val="05E27A84"/>
    <w:rsid w:val="060E1482"/>
    <w:rsid w:val="073E0582"/>
    <w:rsid w:val="090E0814"/>
    <w:rsid w:val="09D75426"/>
    <w:rsid w:val="09EB23F1"/>
    <w:rsid w:val="11A85DB2"/>
    <w:rsid w:val="12EF1A32"/>
    <w:rsid w:val="137B4EFA"/>
    <w:rsid w:val="179B7A92"/>
    <w:rsid w:val="181B6E25"/>
    <w:rsid w:val="244E083E"/>
    <w:rsid w:val="25986B76"/>
    <w:rsid w:val="26620F89"/>
    <w:rsid w:val="26A312D3"/>
    <w:rsid w:val="29BF5862"/>
    <w:rsid w:val="29DA269C"/>
    <w:rsid w:val="2A1D3974"/>
    <w:rsid w:val="2B0B762E"/>
    <w:rsid w:val="2EE04440"/>
    <w:rsid w:val="2FDB4C6B"/>
    <w:rsid w:val="31B1361B"/>
    <w:rsid w:val="32646BBC"/>
    <w:rsid w:val="34915C5E"/>
    <w:rsid w:val="35E1641A"/>
    <w:rsid w:val="36F5435C"/>
    <w:rsid w:val="392C4597"/>
    <w:rsid w:val="39E0610D"/>
    <w:rsid w:val="39F5707E"/>
    <w:rsid w:val="3B1A01A3"/>
    <w:rsid w:val="44352E99"/>
    <w:rsid w:val="494432EF"/>
    <w:rsid w:val="49D23B62"/>
    <w:rsid w:val="49DD30EB"/>
    <w:rsid w:val="4A6631CA"/>
    <w:rsid w:val="4DFB18C0"/>
    <w:rsid w:val="510C1507"/>
    <w:rsid w:val="519F5FF5"/>
    <w:rsid w:val="533C62DA"/>
    <w:rsid w:val="56D53967"/>
    <w:rsid w:val="573B211D"/>
    <w:rsid w:val="5BEC7E8A"/>
    <w:rsid w:val="5CA96073"/>
    <w:rsid w:val="5E2D24EE"/>
    <w:rsid w:val="60210579"/>
    <w:rsid w:val="638D7DBB"/>
    <w:rsid w:val="655578D8"/>
    <w:rsid w:val="669E52C7"/>
    <w:rsid w:val="67EB5C71"/>
    <w:rsid w:val="6A26591A"/>
    <w:rsid w:val="6C77554D"/>
    <w:rsid w:val="6DE035C6"/>
    <w:rsid w:val="700722B7"/>
    <w:rsid w:val="71D41DFA"/>
    <w:rsid w:val="749047E6"/>
    <w:rsid w:val="7A592736"/>
    <w:rsid w:val="7B56336A"/>
    <w:rsid w:val="7C094BFB"/>
    <w:rsid w:val="AFDF65C9"/>
    <w:rsid w:val="BF5FFCB0"/>
    <w:rsid w:val="CBEDF84E"/>
    <w:rsid w:val="EFFF0007"/>
    <w:rsid w:val="FFDFB6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楷体_GB2312" w:hAnsi="宋体" w:eastAsia="楷体_GB2312" w:cs="Times New Roman"/>
      <w:kern w:val="2"/>
      <w:sz w:val="30"/>
      <w:szCs w:val="30"/>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630"/>
    </w:pPr>
    <w:rPr>
      <w:rFonts w:ascii="Times New Roman" w:hAnsi="Times New Roman" w:eastAsia="仿宋_GB2312"/>
      <w:sz w:val="32"/>
      <w:szCs w:val="20"/>
    </w:rPr>
  </w:style>
  <w:style w:type="paragraph" w:styleId="3">
    <w:name w:val="Body Text"/>
    <w:basedOn w:val="1"/>
    <w:qFormat/>
    <w:uiPriority w:val="99"/>
  </w:style>
  <w:style w:type="paragraph" w:styleId="4">
    <w:name w:val="Body Text Indent 2"/>
    <w:basedOn w:val="1"/>
    <w:next w:val="1"/>
    <w:qFormat/>
    <w:uiPriority w:val="0"/>
    <w:pPr>
      <w:spacing w:after="120" w:line="480" w:lineRule="auto"/>
      <w:ind w:left="420" w:leftChars="20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cs="宋体"/>
      <w:kern w:val="0"/>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8886</Words>
  <Characters>9775</Characters>
  <Lines>52</Lines>
  <Paragraphs>14</Paragraphs>
  <TotalTime>4</TotalTime>
  <ScaleCrop>false</ScaleCrop>
  <LinksUpToDate>false</LinksUpToDate>
  <CharactersWithSpaces>9826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2023-12-06T10:57:00Z</dcterms:created>
  <dc:creator>biu. biu. biu...</dc:creator>
  <cp:lastModifiedBy>大宝SOD蜜</cp:lastModifiedBy>
  <cp:lastPrinted>2024-12-10T04:59:00Z</cp:lastPrinted>
  <dcterms:modified xsi:type="dcterms:W3CDTF">2024-12-20T11:27:56Z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450E112520FE43F18F636EC01B50E1D3_13</vt:lpwstr>
  </property>
</Properties>
</file>