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10BE">
      <w:pPr>
        <w:jc w:val="center"/>
        <w:rPr>
          <w:rFonts w:ascii="宋体" w:hAnsi="宋体"/>
          <w:b/>
          <w:sz w:val="36"/>
          <w:szCs w:val="36"/>
        </w:rPr>
      </w:pPr>
      <w:r>
        <w:rPr>
          <w:rFonts w:hint="eastAsia" w:ascii="宋体" w:hAnsi="宋体"/>
          <w:b/>
          <w:sz w:val="36"/>
          <w:szCs w:val="36"/>
        </w:rPr>
        <w:t>淮南市八公山区文化和旅游局2024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73AADE1E">
      <w:pPr>
        <w:jc w:val="center"/>
        <w:rPr>
          <w:rFonts w:ascii="楷体_GB2312" w:eastAsia="楷体_GB2312"/>
          <w:szCs w:val="32"/>
        </w:rPr>
      </w:pPr>
    </w:p>
    <w:p w14:paraId="05D4E4E7">
      <w:pPr>
        <w:jc w:val="center"/>
        <w:rPr>
          <w:rFonts w:ascii="楷体_GB2312" w:eastAsia="楷体_GB2312"/>
          <w:szCs w:val="32"/>
        </w:rPr>
      </w:pPr>
    </w:p>
    <w:p w14:paraId="3573F098">
      <w:pPr>
        <w:adjustRightInd w:val="0"/>
        <w:snapToGrid w:val="0"/>
        <w:spacing w:line="360" w:lineRule="auto"/>
        <w:jc w:val="center"/>
        <w:rPr>
          <w:rFonts w:ascii="宋体" w:hAnsi="宋体"/>
          <w:sz w:val="6"/>
          <w:szCs w:val="32"/>
        </w:rPr>
      </w:pPr>
    </w:p>
    <w:p w14:paraId="7B8830DC">
      <w:pPr>
        <w:rPr>
          <w:rFonts w:ascii="黑体" w:hAnsi="黑体" w:eastAsia="黑体"/>
          <w:szCs w:val="32"/>
        </w:rPr>
      </w:pPr>
      <w:r>
        <w:rPr>
          <w:rFonts w:hint="eastAsia" w:ascii="黑体" w:hAnsi="黑体" w:eastAsia="黑体"/>
          <w:szCs w:val="32"/>
        </w:rPr>
        <w:t>一、2024年度一般公共预算财政拨款“三公”经费支出决算表</w:t>
      </w:r>
    </w:p>
    <w:tbl>
      <w:tblPr>
        <w:tblStyle w:val="5"/>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51B7DC8B">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C03056E">
            <w:pPr>
              <w:widowControl/>
              <w:jc w:val="left"/>
              <w:textAlignment w:val="center"/>
              <w:rPr>
                <w:rFonts w:ascii="宋体" w:hAnsi="宋体" w:eastAsia="宋体" w:cs="宋体"/>
                <w:color w:val="000000"/>
                <w:sz w:val="20"/>
              </w:rPr>
            </w:pPr>
          </w:p>
        </w:tc>
        <w:tc>
          <w:tcPr>
            <w:tcW w:w="792" w:type="dxa"/>
            <w:tcBorders>
              <w:top w:val="nil"/>
              <w:left w:val="nil"/>
              <w:bottom w:val="nil"/>
              <w:right w:val="nil"/>
            </w:tcBorders>
            <w:shd w:val="clear" w:color="auto" w:fill="FFFFFF"/>
            <w:tcMar>
              <w:top w:w="12" w:type="dxa"/>
              <w:left w:w="12" w:type="dxa"/>
              <w:right w:w="12" w:type="dxa"/>
            </w:tcMar>
            <w:vAlign w:val="center"/>
          </w:tcPr>
          <w:p w14:paraId="2F52FB04">
            <w:pPr>
              <w:rPr>
                <w:rFonts w:ascii="宋体" w:hAnsi="宋体" w:eastAsia="宋体" w:cs="宋体"/>
                <w:color w:val="000000"/>
                <w:sz w:val="20"/>
              </w:rPr>
            </w:pPr>
          </w:p>
        </w:tc>
        <w:tc>
          <w:tcPr>
            <w:tcW w:w="588" w:type="dxa"/>
            <w:tcBorders>
              <w:top w:val="nil"/>
              <w:left w:val="nil"/>
              <w:bottom w:val="nil"/>
              <w:right w:val="nil"/>
            </w:tcBorders>
            <w:shd w:val="clear" w:color="auto" w:fill="FFFFFF"/>
            <w:tcMar>
              <w:top w:w="12" w:type="dxa"/>
              <w:left w:w="12" w:type="dxa"/>
              <w:right w:w="12" w:type="dxa"/>
            </w:tcMar>
            <w:vAlign w:val="center"/>
          </w:tcPr>
          <w:p w14:paraId="54B9EE70">
            <w:pPr>
              <w:rPr>
                <w:rFonts w:ascii="宋体" w:hAnsi="宋体" w:eastAsia="宋体" w:cs="宋体"/>
                <w:color w:val="000000"/>
                <w:sz w:val="20"/>
              </w:rPr>
            </w:pPr>
          </w:p>
        </w:tc>
        <w:tc>
          <w:tcPr>
            <w:tcW w:w="744" w:type="dxa"/>
            <w:tcBorders>
              <w:top w:val="nil"/>
              <w:left w:val="nil"/>
              <w:bottom w:val="nil"/>
              <w:right w:val="nil"/>
            </w:tcBorders>
            <w:shd w:val="clear" w:color="auto" w:fill="FFFFFF"/>
            <w:tcMar>
              <w:top w:w="12" w:type="dxa"/>
              <w:left w:w="12" w:type="dxa"/>
              <w:right w:w="12" w:type="dxa"/>
            </w:tcMar>
            <w:vAlign w:val="center"/>
          </w:tcPr>
          <w:p w14:paraId="70EAC2B8">
            <w:pPr>
              <w:rPr>
                <w:rFonts w:ascii="宋体" w:hAnsi="宋体" w:eastAsia="宋体" w:cs="宋体"/>
                <w:color w:val="000000"/>
                <w:sz w:val="20"/>
              </w:rPr>
            </w:pPr>
          </w:p>
        </w:tc>
        <w:tc>
          <w:tcPr>
            <w:tcW w:w="960" w:type="dxa"/>
            <w:tcBorders>
              <w:top w:val="nil"/>
              <w:left w:val="nil"/>
              <w:bottom w:val="nil"/>
              <w:right w:val="nil"/>
            </w:tcBorders>
            <w:shd w:val="clear" w:color="auto" w:fill="FFFFFF"/>
            <w:tcMar>
              <w:top w:w="12" w:type="dxa"/>
              <w:left w:w="12" w:type="dxa"/>
              <w:right w:w="12" w:type="dxa"/>
            </w:tcMar>
            <w:vAlign w:val="center"/>
          </w:tcPr>
          <w:p w14:paraId="3F950978">
            <w:pPr>
              <w:rPr>
                <w:rFonts w:ascii="宋体" w:hAnsi="宋体" w:eastAsia="宋体" w:cs="宋体"/>
                <w:color w:val="000000"/>
                <w:sz w:val="20"/>
              </w:rPr>
            </w:pPr>
          </w:p>
        </w:tc>
        <w:tc>
          <w:tcPr>
            <w:tcW w:w="636" w:type="dxa"/>
            <w:tcBorders>
              <w:top w:val="nil"/>
              <w:left w:val="nil"/>
              <w:bottom w:val="nil"/>
              <w:right w:val="nil"/>
            </w:tcBorders>
            <w:shd w:val="clear" w:color="auto" w:fill="FFFFFF"/>
            <w:tcMar>
              <w:top w:w="12" w:type="dxa"/>
              <w:left w:w="12" w:type="dxa"/>
              <w:right w:w="12" w:type="dxa"/>
            </w:tcMar>
            <w:vAlign w:val="center"/>
          </w:tcPr>
          <w:p w14:paraId="2BA24BC0">
            <w:pPr>
              <w:rPr>
                <w:rFonts w:ascii="宋体" w:hAnsi="宋体" w:eastAsia="宋体" w:cs="宋体"/>
                <w:color w:val="000000"/>
                <w:sz w:val="20"/>
              </w:rPr>
            </w:pPr>
          </w:p>
        </w:tc>
        <w:tc>
          <w:tcPr>
            <w:tcW w:w="600" w:type="dxa"/>
            <w:tcBorders>
              <w:top w:val="nil"/>
              <w:left w:val="nil"/>
              <w:bottom w:val="nil"/>
              <w:right w:val="nil"/>
            </w:tcBorders>
            <w:shd w:val="clear" w:color="auto" w:fill="FFFFFF"/>
            <w:tcMar>
              <w:top w:w="12" w:type="dxa"/>
              <w:left w:w="12" w:type="dxa"/>
              <w:right w:w="12" w:type="dxa"/>
            </w:tcMar>
            <w:vAlign w:val="center"/>
          </w:tcPr>
          <w:p w14:paraId="7B3E709B">
            <w:pPr>
              <w:rPr>
                <w:rFonts w:ascii="宋体" w:hAnsi="宋体" w:eastAsia="宋体" w:cs="宋体"/>
                <w:color w:val="000000"/>
                <w:sz w:val="20"/>
              </w:rPr>
            </w:pPr>
          </w:p>
        </w:tc>
        <w:tc>
          <w:tcPr>
            <w:tcW w:w="816" w:type="dxa"/>
            <w:tcBorders>
              <w:top w:val="nil"/>
              <w:left w:val="nil"/>
              <w:bottom w:val="nil"/>
              <w:right w:val="nil"/>
            </w:tcBorders>
            <w:shd w:val="clear" w:color="auto" w:fill="FFFFFF"/>
            <w:tcMar>
              <w:top w:w="12" w:type="dxa"/>
              <w:left w:w="12" w:type="dxa"/>
              <w:right w:w="12" w:type="dxa"/>
            </w:tcMar>
            <w:vAlign w:val="center"/>
          </w:tcPr>
          <w:p w14:paraId="640AAF0C">
            <w:pPr>
              <w:rPr>
                <w:rFonts w:ascii="宋体" w:hAnsi="宋体" w:eastAsia="宋体" w:cs="宋体"/>
                <w:color w:val="000000"/>
                <w:sz w:val="20"/>
              </w:rPr>
            </w:pPr>
          </w:p>
        </w:tc>
        <w:tc>
          <w:tcPr>
            <w:tcW w:w="696" w:type="dxa"/>
            <w:tcBorders>
              <w:top w:val="nil"/>
              <w:left w:val="nil"/>
              <w:bottom w:val="nil"/>
              <w:right w:val="nil"/>
            </w:tcBorders>
            <w:shd w:val="clear" w:color="auto" w:fill="FFFFFF"/>
            <w:tcMar>
              <w:top w:w="12" w:type="dxa"/>
              <w:left w:w="12" w:type="dxa"/>
              <w:right w:w="12" w:type="dxa"/>
            </w:tcMar>
            <w:vAlign w:val="center"/>
          </w:tcPr>
          <w:p w14:paraId="58610DE7">
            <w:pPr>
              <w:rPr>
                <w:rFonts w:ascii="宋体" w:hAnsi="宋体" w:eastAsia="宋体" w:cs="宋体"/>
                <w:color w:val="000000"/>
                <w:sz w:val="20"/>
              </w:rPr>
            </w:pPr>
          </w:p>
        </w:tc>
        <w:tc>
          <w:tcPr>
            <w:tcW w:w="840" w:type="dxa"/>
            <w:tcBorders>
              <w:top w:val="nil"/>
              <w:left w:val="nil"/>
              <w:bottom w:val="nil"/>
              <w:right w:val="nil"/>
            </w:tcBorders>
            <w:shd w:val="clear" w:color="auto" w:fill="FFFFFF"/>
            <w:tcMar>
              <w:top w:w="12" w:type="dxa"/>
              <w:left w:w="12" w:type="dxa"/>
              <w:right w:w="12" w:type="dxa"/>
            </w:tcMar>
            <w:vAlign w:val="center"/>
          </w:tcPr>
          <w:p w14:paraId="74F16341">
            <w:pPr>
              <w:rPr>
                <w:rFonts w:ascii="宋体" w:hAnsi="宋体" w:eastAsia="宋体" w:cs="宋体"/>
                <w:color w:val="000000"/>
                <w:sz w:val="20"/>
              </w:rPr>
            </w:pPr>
          </w:p>
        </w:tc>
        <w:tc>
          <w:tcPr>
            <w:tcW w:w="1548" w:type="dxa"/>
            <w:gridSpan w:val="2"/>
            <w:tcBorders>
              <w:top w:val="nil"/>
              <w:left w:val="nil"/>
              <w:bottom w:val="nil"/>
              <w:right w:val="nil"/>
            </w:tcBorders>
            <w:shd w:val="clear" w:color="auto" w:fill="FFFFFF"/>
            <w:tcMar>
              <w:top w:w="12" w:type="dxa"/>
              <w:left w:w="12" w:type="dxa"/>
              <w:right w:w="12" w:type="dxa"/>
            </w:tcMar>
            <w:vAlign w:val="center"/>
          </w:tcPr>
          <w:p w14:paraId="21307B0D">
            <w:pPr>
              <w:widowControl/>
              <w:jc w:val="right"/>
              <w:textAlignment w:val="center"/>
              <w:rPr>
                <w:rFonts w:ascii="宋体" w:hAnsi="宋体" w:eastAsia="宋体" w:cs="宋体"/>
                <w:color w:val="000000"/>
                <w:sz w:val="20"/>
              </w:rPr>
            </w:pPr>
            <w:r>
              <w:rPr>
                <w:rFonts w:hint="eastAsia" w:ascii="宋体" w:hAnsi="宋体" w:eastAsia="宋体" w:cs="Arial"/>
                <w:color w:val="000000"/>
                <w:kern w:val="0"/>
                <w:sz w:val="22"/>
                <w:szCs w:val="22"/>
              </w:rPr>
              <w:t>金额单位</w:t>
            </w:r>
            <w:r>
              <w:rPr>
                <w:rFonts w:hint="eastAsia" w:ascii="宋体" w:hAnsi="宋体" w:eastAsia="宋体" w:cs="宋体"/>
                <w:color w:val="000000"/>
                <w:kern w:val="0"/>
                <w:sz w:val="20"/>
              </w:rPr>
              <w:t>：万元</w:t>
            </w:r>
          </w:p>
        </w:tc>
      </w:tr>
      <w:tr w14:paraId="78E3985E">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A45B9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预算数</w:t>
            </w:r>
          </w:p>
        </w:tc>
        <w:tc>
          <w:tcPr>
            <w:tcW w:w="4500"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CC5FA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决算数</w:t>
            </w:r>
          </w:p>
        </w:tc>
      </w:tr>
      <w:tr w14:paraId="4F5DA379">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5B1B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7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D410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0670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EBD7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E33A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8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8A4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4412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61F5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r>
      <w:tr w14:paraId="56005DD5">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EA5DDA">
            <w:pPr>
              <w:jc w:val="center"/>
              <w:rPr>
                <w:rFonts w:ascii="宋体" w:hAnsi="宋体" w:eastAsia="宋体" w:cs="宋体"/>
                <w:color w:val="000000"/>
                <w:sz w:val="18"/>
                <w:szCs w:val="18"/>
              </w:rPr>
            </w:pPr>
          </w:p>
        </w:tc>
        <w:tc>
          <w:tcPr>
            <w:tcW w:w="7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90F9CE">
            <w:pPr>
              <w:jc w:val="center"/>
              <w:rPr>
                <w:rFonts w:ascii="宋体" w:hAnsi="宋体" w:eastAsia="宋体" w:cs="宋体"/>
                <w:color w:val="000000"/>
                <w:sz w:val="18"/>
                <w:szCs w:val="18"/>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FCB9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DCEB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63F2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A1D622">
            <w:pPr>
              <w:jc w:val="center"/>
              <w:rPr>
                <w:rFonts w:ascii="宋体" w:hAnsi="宋体" w:eastAsia="宋体" w:cs="宋体"/>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6E2391">
            <w:pPr>
              <w:jc w:val="center"/>
              <w:rPr>
                <w:rFonts w:ascii="宋体" w:hAnsi="宋体" w:eastAsia="宋体" w:cs="宋体"/>
                <w:color w:val="000000"/>
                <w:sz w:val="18"/>
                <w:szCs w:val="18"/>
              </w:rPr>
            </w:pPr>
          </w:p>
        </w:tc>
        <w:tc>
          <w:tcPr>
            <w:tcW w:w="8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0A638E">
            <w:pPr>
              <w:jc w:val="center"/>
              <w:rPr>
                <w:rFonts w:ascii="宋体" w:hAnsi="宋体" w:eastAsia="宋体"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1307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6B7D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598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EA8DC6">
            <w:pPr>
              <w:jc w:val="center"/>
              <w:rPr>
                <w:rFonts w:ascii="宋体" w:hAnsi="宋体" w:eastAsia="宋体" w:cs="宋体"/>
                <w:color w:val="000000"/>
                <w:sz w:val="18"/>
                <w:szCs w:val="18"/>
              </w:rPr>
            </w:pPr>
          </w:p>
        </w:tc>
      </w:tr>
      <w:tr w14:paraId="608E9471">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C20EFA">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8687D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816D7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E0203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67EA4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14FB9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6</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1FF7A">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7</w:t>
            </w: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54113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8</w:t>
            </w: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72EFE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9</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AF93CA">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35A7B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11</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23A24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w:t>
            </w:r>
          </w:p>
        </w:tc>
      </w:tr>
      <w:tr w14:paraId="19E06E79">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A72DD">
            <w:pPr>
              <w:rPr>
                <w:rFonts w:ascii="宋体" w:hAnsi="宋体" w:eastAsia="宋体" w:cs="宋体"/>
                <w:color w:val="000000"/>
                <w:sz w:val="20"/>
              </w:rPr>
            </w:pPr>
            <w:r>
              <w:rPr>
                <w:rFonts w:hint="eastAsia" w:ascii="宋体" w:hAnsi="宋体" w:eastAsia="宋体" w:cs="宋体"/>
                <w:color w:val="000000"/>
                <w:sz w:val="20"/>
              </w:rPr>
              <w:t>0.18</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6CC9E6">
            <w:pPr>
              <w:rPr>
                <w:rFonts w:ascii="宋体" w:hAnsi="宋体" w:eastAsia="宋体" w:cs="宋体"/>
                <w:color w:val="000000"/>
                <w:sz w:val="20"/>
              </w:rPr>
            </w:pPr>
          </w:p>
        </w:tc>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D24CD6">
            <w:pPr>
              <w:rPr>
                <w:rFonts w:ascii="宋体" w:hAnsi="宋体" w:eastAsia="宋体" w:cs="宋体"/>
                <w:color w:val="000000"/>
                <w:sz w:val="20"/>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F06E37">
            <w:pPr>
              <w:rPr>
                <w:rFonts w:ascii="宋体" w:hAnsi="宋体" w:eastAsia="宋体" w:cs="宋体"/>
                <w:color w:val="000000"/>
                <w:sz w:val="20"/>
              </w:rPr>
            </w:pP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52B02B">
            <w:pPr>
              <w:rPr>
                <w:rFonts w:ascii="宋体" w:hAnsi="宋体" w:eastAsia="宋体" w:cs="宋体"/>
                <w:color w:val="000000"/>
                <w:sz w:val="20"/>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9630AD">
            <w:pPr>
              <w:rPr>
                <w:rFonts w:ascii="宋体" w:hAnsi="宋体" w:eastAsia="宋体" w:cs="宋体"/>
                <w:color w:val="000000"/>
                <w:sz w:val="20"/>
              </w:rPr>
            </w:pPr>
            <w:r>
              <w:rPr>
                <w:rFonts w:hint="eastAsia" w:ascii="宋体" w:hAnsi="宋体" w:eastAsia="宋体" w:cs="宋体"/>
                <w:color w:val="000000"/>
                <w:sz w:val="20"/>
              </w:rPr>
              <w:t>0.18</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FF28EE">
            <w:pPr>
              <w:rPr>
                <w:rFonts w:ascii="宋体" w:hAnsi="宋体" w:eastAsia="宋体" w:cs="宋体"/>
                <w:color w:val="000000"/>
                <w:sz w:val="20"/>
              </w:rPr>
            </w:pPr>
          </w:p>
        </w:tc>
        <w:tc>
          <w:tcPr>
            <w:tcW w:w="8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550C2B">
            <w:pPr>
              <w:rPr>
                <w:rFonts w:ascii="宋体" w:hAnsi="宋体" w:eastAsia="宋体" w:cs="宋体"/>
                <w:color w:val="000000"/>
                <w:sz w:val="20"/>
              </w:rPr>
            </w:pPr>
          </w:p>
        </w:tc>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0C4758">
            <w:pPr>
              <w:rPr>
                <w:rFonts w:ascii="宋体" w:hAnsi="宋体" w:eastAsia="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2E88A5">
            <w:pPr>
              <w:rPr>
                <w:rFonts w:ascii="宋体" w:hAnsi="宋体" w:eastAsia="宋体" w:cs="宋体"/>
                <w:color w:val="000000"/>
                <w:sz w:val="20"/>
              </w:rPr>
            </w:pPr>
          </w:p>
        </w:tc>
        <w:tc>
          <w:tcPr>
            <w:tcW w:w="9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848AA0">
            <w:pPr>
              <w:rPr>
                <w:rFonts w:ascii="宋体" w:hAnsi="宋体" w:eastAsia="宋体" w:cs="宋体"/>
                <w:color w:val="000000"/>
                <w:sz w:val="20"/>
              </w:rPr>
            </w:pP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B55ED7">
            <w:pPr>
              <w:rPr>
                <w:rFonts w:ascii="宋体" w:hAnsi="宋体" w:eastAsia="宋体" w:cs="宋体"/>
                <w:color w:val="000000"/>
                <w:sz w:val="20"/>
              </w:rPr>
            </w:pPr>
          </w:p>
        </w:tc>
      </w:tr>
    </w:tbl>
    <w:p w14:paraId="608A6665">
      <w:pPr>
        <w:spacing w:line="300" w:lineRule="exact"/>
        <w:rPr>
          <w:rFonts w:ascii="仿宋_GB2312" w:hAnsi="仿宋"/>
          <w:sz w:val="21"/>
          <w:szCs w:val="21"/>
        </w:rPr>
      </w:pPr>
    </w:p>
    <w:p w14:paraId="560594BD">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p>
    <w:p w14:paraId="347E370E">
      <w:pPr>
        <w:rPr>
          <w:rFonts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59ED93C">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7599382C">
      <w:pPr>
        <w:ind w:firstLine="628" w:firstLineChars="200"/>
        <w:rPr>
          <w:rFonts w:ascii="仿宋_GB2312" w:hAnsi="仿宋"/>
          <w:szCs w:val="32"/>
        </w:rPr>
      </w:pPr>
      <w:r>
        <w:rPr>
          <w:rFonts w:hint="eastAsia" w:ascii="仿宋_GB2312" w:hAnsi="仿宋"/>
          <w:szCs w:val="32"/>
        </w:rPr>
        <w:t>淮南市八公山区文化和旅游局2024年度一般公共预算财政拨款“三公”经费支出预算为0.18万元，支出决算为0万元，完成预算的0%；较上年减少0.18万元，下降100%。决算数小于预算数的主要原因是缩减开支，厉行节约。决算数较上年减少的主要原因是</w:t>
      </w:r>
      <w:r>
        <w:rPr>
          <w:rFonts w:hint="eastAsia" w:ascii="仿宋_GB2312" w:hAnsi="仿宋_GB2312" w:cs="仿宋_GB2312"/>
          <w:szCs w:val="32"/>
        </w:rPr>
        <w:t>我局厉行节约，压缩一般性支出</w:t>
      </w:r>
      <w:r>
        <w:rPr>
          <w:rFonts w:hint="eastAsia" w:ascii="仿宋_GB2312" w:hAnsi="仿宋_GB2312" w:cs="仿宋_GB2312"/>
          <w:color w:val="000000"/>
          <w:szCs w:val="32"/>
        </w:rPr>
        <w:t>。</w:t>
      </w:r>
      <w:r>
        <w:rPr>
          <w:rFonts w:hint="eastAsia" w:ascii="仿宋_GB2312" w:hAnsi="仿宋"/>
          <w:szCs w:val="32"/>
        </w:rPr>
        <w:t>为全面反映“三公”经费支出，本次公布的“三公”经费决算为部门汇总数，包含单位本级和所属单位。</w:t>
      </w:r>
    </w:p>
    <w:p w14:paraId="36EC9E64">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DEA337F">
      <w:pPr>
        <w:ind w:firstLine="628" w:firstLineChars="200"/>
        <w:rPr>
          <w:rFonts w:ascii="仿宋_GB2312" w:hAnsi="仿宋"/>
          <w:szCs w:val="32"/>
        </w:rPr>
      </w:pPr>
      <w:r>
        <w:rPr>
          <w:rFonts w:hint="eastAsia" w:ascii="仿宋_GB2312" w:hAnsi="仿宋"/>
          <w:szCs w:val="32"/>
        </w:rPr>
        <w:t>淮南市八公山区文化和旅游局2024年度一般公共预算财政拨款“三公”经费支出决算中，因公出国（境）费支出决算0万元，占0%;公务接待费支出决算0万元，占0%；公务用车购置及运行维护费支出决算0万元，占0%。具体情况如下：</w:t>
      </w:r>
    </w:p>
    <w:p w14:paraId="4100D484">
      <w:pPr>
        <w:ind w:firstLine="628" w:firstLineChars="200"/>
        <w:rPr>
          <w:rFonts w:ascii="仿宋_GB2312" w:cs="宋体"/>
          <w:szCs w:val="32"/>
        </w:rPr>
      </w:pPr>
      <w:r>
        <w:rPr>
          <w:rFonts w:hint="eastAsia" w:ascii="仿宋_GB2312" w:hAnsi="仿宋"/>
          <w:b/>
          <w:bCs/>
          <w:szCs w:val="32"/>
        </w:rPr>
        <w:t>1.因公出国（境）费因公出国（境）费支出</w:t>
      </w:r>
      <w:r>
        <w:rPr>
          <w:rFonts w:hint="eastAsia" w:ascii="仿宋_GB2312" w:hAnsi="仿宋"/>
          <w:szCs w:val="32"/>
        </w:rPr>
        <w:t>预算为0万元，支出决算为0万元，完成预算的100%；决算数与预算数相同；较上年减少0万元，下降0%。原因是2023年度、2024年度均未安排因公出国（境）计划。故2024年淮南市八公山区文化和旅游局因公出国（境）团组0次，累计出国（境）0人次。</w:t>
      </w:r>
    </w:p>
    <w:p w14:paraId="70D768A9">
      <w:pPr>
        <w:ind w:firstLine="628" w:firstLineChars="200"/>
        <w:rPr>
          <w:rFonts w:ascii="仿宋_GB2312" w:cs="宋体"/>
          <w:szCs w:val="32"/>
        </w:rPr>
      </w:pPr>
      <w:r>
        <w:rPr>
          <w:rFonts w:hint="eastAsia" w:ascii="仿宋_GB2312" w:hAnsi="仿宋"/>
          <w:b/>
          <w:bCs/>
          <w:szCs w:val="32"/>
        </w:rPr>
        <w:t>2.公务接待费支出</w:t>
      </w:r>
      <w:r>
        <w:rPr>
          <w:rFonts w:hint="eastAsia" w:ascii="仿宋_GB2312" w:hAnsi="仿宋"/>
          <w:szCs w:val="32"/>
        </w:rPr>
        <w:t>预算为0.18万元，支出决算为0万元，完成预算的0%；较上年减少0.18万元，下降100%。决算数小于预算数的主要原因是缩减开支，厉行节约。决算数较上年减少的主要原因是</w:t>
      </w:r>
      <w:bookmarkStart w:id="0" w:name="_GoBack"/>
      <w:bookmarkEnd w:id="0"/>
      <w:r>
        <w:rPr>
          <w:rFonts w:hint="eastAsia" w:ascii="仿宋_GB2312" w:hAnsi="仿宋"/>
          <w:szCs w:val="32"/>
        </w:rPr>
        <w:t>我局厉行节约，压缩一般性支出。</w:t>
      </w:r>
      <w:r>
        <w:rPr>
          <w:rFonts w:hint="eastAsia" w:ascii="仿宋_GB2312" w:cs="宋体"/>
          <w:szCs w:val="32"/>
        </w:rPr>
        <w:t>2024年淮南市八公山区文化和旅游局国内公务接待共0批次（其中外事接待0批次），0人次（其中外事接待0人次）。经费使用贯彻《党政机关厉行节约反对浪费条例》、区委区政府有关具体要求，严格执行《淮南市市直机关公务接待费管理暂行办法》（淮财行政〔2014〕581号）相关规定。</w:t>
      </w:r>
    </w:p>
    <w:p w14:paraId="62D3DB82">
      <w:pPr>
        <w:ind w:firstLine="628" w:firstLineChars="200"/>
        <w:rPr>
          <w:rFonts w:ascii="仿宋_GB2312" w:cs="宋体"/>
          <w:szCs w:val="32"/>
        </w:rPr>
      </w:pPr>
      <w:r>
        <w:rPr>
          <w:rFonts w:hint="eastAsia" w:ascii="仿宋_GB2312" w:hAnsi="仿宋"/>
          <w:b/>
          <w:bCs/>
          <w:szCs w:val="32"/>
        </w:rPr>
        <w:t>3.公务用车购置及运行维护费</w:t>
      </w:r>
      <w:r>
        <w:rPr>
          <w:rFonts w:hint="eastAsia" w:ascii="仿宋_GB2312" w:hAnsi="仿宋"/>
          <w:szCs w:val="32"/>
        </w:rPr>
        <w:t>预算为0万元，支出决算为0万元，完成预算的100%；较上年减少0万元，下降0%。决算数与预算数相同；较上年减少0万元，下降0%。原因是2023年度、2024年度均未安排公务用车购置及运行维护费计划。其中，公务用车购置费预算为0万元，支出决算为0万元，完成预算的100%；决算数与预算数相同；较上年减少0万元，下降0%。原因是2023年度、2024年度均未安排公务用车购置费计划。2024年购置公务用车0辆。公务用车运行维护费预算为0万元，支出决算为0万元，完成预算的100%；决算数与预算数相同；较上年减少0万元，下降0%。原因是2023年度、2024年度均未安排公务用车运行维护费计划。公务用车运行维护费，包括车辆燃料费、维修费、过路过桥费、保险费等支出。截至2024年12月31日，淮南市八公山区文化和旅游局机关及所属单位开支财政拨款的公务用车保有量为0辆。</w:t>
      </w:r>
    </w:p>
    <w:p w14:paraId="2B485B9A">
      <w:pPr>
        <w:pStyle w:val="2"/>
        <w:ind w:left="1258" w:hanging="1258"/>
        <w:rPr>
          <w:rFonts w:ascii="仿宋_GB2312"/>
        </w:rPr>
      </w:pPr>
    </w:p>
    <w:p w14:paraId="104A5B7B">
      <w:pPr>
        <w:pStyle w:val="2"/>
        <w:ind w:left="1258" w:hanging="1258"/>
        <w:rPr>
          <w:rFonts w:ascii="仿宋_GB2312"/>
        </w:rPr>
      </w:pPr>
    </w:p>
    <w:p w14:paraId="73564FCB">
      <w:pPr>
        <w:pStyle w:val="2"/>
      </w:pPr>
    </w:p>
    <w:p w14:paraId="0946B645"/>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6342">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Style w:val="7"/>
        <w:rFonts w:hint="eastAsia" w:ascii="仿宋_GB2312"/>
        <w:sz w:val="28"/>
        <w:szCs w:val="28"/>
      </w:rPr>
      <w:t>-</w:t>
    </w:r>
  </w:p>
  <w:p w14:paraId="2CA2D3AD">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FED8">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14:paraId="0FCF6DDE">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2OTcwZmU4ZTI2N2ExNTNmZTYyZTYzNTQ2MzQwODkifQ=="/>
  </w:docVars>
  <w:rsids>
    <w:rsidRoot w:val="00C940DE"/>
    <w:rsid w:val="00292198"/>
    <w:rsid w:val="002A7D21"/>
    <w:rsid w:val="004F7FF6"/>
    <w:rsid w:val="00652CEA"/>
    <w:rsid w:val="006661E3"/>
    <w:rsid w:val="007258EF"/>
    <w:rsid w:val="00917E74"/>
    <w:rsid w:val="009C0698"/>
    <w:rsid w:val="00AA6A76"/>
    <w:rsid w:val="00C940DE"/>
    <w:rsid w:val="00FB14ED"/>
    <w:rsid w:val="04E62E18"/>
    <w:rsid w:val="079D4180"/>
    <w:rsid w:val="085650BD"/>
    <w:rsid w:val="096C2CFD"/>
    <w:rsid w:val="0DBE1C14"/>
    <w:rsid w:val="0F1669F0"/>
    <w:rsid w:val="0F877AEA"/>
    <w:rsid w:val="170D2C32"/>
    <w:rsid w:val="184C3483"/>
    <w:rsid w:val="19C461CC"/>
    <w:rsid w:val="1BAF532C"/>
    <w:rsid w:val="1C6D3ED8"/>
    <w:rsid w:val="1D9A259A"/>
    <w:rsid w:val="1F520CB4"/>
    <w:rsid w:val="20DA7D13"/>
    <w:rsid w:val="22116B9E"/>
    <w:rsid w:val="25344AAA"/>
    <w:rsid w:val="2BBC10E9"/>
    <w:rsid w:val="2C134185"/>
    <w:rsid w:val="300D5786"/>
    <w:rsid w:val="31D72CE6"/>
    <w:rsid w:val="394A2C6F"/>
    <w:rsid w:val="3FA576F7"/>
    <w:rsid w:val="478224E8"/>
    <w:rsid w:val="4B887D52"/>
    <w:rsid w:val="4C177328"/>
    <w:rsid w:val="4C7C5FF1"/>
    <w:rsid w:val="4D2342B0"/>
    <w:rsid w:val="4E4F3617"/>
    <w:rsid w:val="50A308FF"/>
    <w:rsid w:val="52224331"/>
    <w:rsid w:val="549E2395"/>
    <w:rsid w:val="55654C60"/>
    <w:rsid w:val="58AC0AB3"/>
    <w:rsid w:val="5AA13B49"/>
    <w:rsid w:val="5EA54A92"/>
    <w:rsid w:val="5ED15115"/>
    <w:rsid w:val="64AF2172"/>
    <w:rsid w:val="65B01829"/>
    <w:rsid w:val="65BD2897"/>
    <w:rsid w:val="6EA26BB3"/>
    <w:rsid w:val="71EF4822"/>
    <w:rsid w:val="72F1592E"/>
    <w:rsid w:val="74884070"/>
    <w:rsid w:val="766B7D0D"/>
    <w:rsid w:val="7A775D38"/>
    <w:rsid w:val="7CAA7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1349</Words>
  <Characters>1460</Characters>
  <Lines>10</Lines>
  <Paragraphs>3</Paragraphs>
  <TotalTime>4</TotalTime>
  <ScaleCrop>false</ScaleCrop>
  <LinksUpToDate>false</LinksUpToDate>
  <CharactersWithSpaces>1461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道颜i</cp:lastModifiedBy>
  <dcterms:modified xsi:type="dcterms:W3CDTF">2026-02-12T02:29:22Z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BB0908F142644DFA8A0836D33EC8D53B_13</vt:lpwstr>
  </property>
  <property fmtid="{D5CDD505-2E9C-101B-9397-08002B2CF9AE}" pid="4" name="KSOTemplateDocerSaveRecord">
    <vt:lpwstr>eyJoZGlkIjoiZmNmNjU5MmNlNjQxMjU5YWRlOTgxODBmMjAyZmRhNzUiLCJ1c2VySWQiOiIzMTk5OTgwNTcifQ==</vt:lpwstr>
  </property>
</Properties>
</file>