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CB8A6">
      <w:pPr>
        <w:spacing w:beforeLines="50" w:afterLines="50" w:line="600" w:lineRule="exact"/>
        <w:jc w:val="center"/>
        <w:rPr>
          <w:rFonts w:ascii="黑体" w:hAnsi="Times New Roman" w:eastAsia="黑体" w:cs="Times New Roman"/>
          <w:bCs/>
          <w:sz w:val="44"/>
          <w:szCs w:val="44"/>
        </w:rPr>
      </w:pPr>
      <w:r>
        <w:rPr>
          <w:rFonts w:hint="eastAsia" w:ascii="黑体" w:hAnsi="Times New Roman" w:eastAsia="黑体" w:cs="Times New Roman"/>
          <w:bCs/>
          <w:sz w:val="44"/>
          <w:szCs w:val="44"/>
        </w:rPr>
        <w:t>八公山区2023年农村公益事业财政奖补</w:t>
      </w:r>
    </w:p>
    <w:p w14:paraId="515E6A40">
      <w:pPr>
        <w:spacing w:beforeLines="50" w:afterLines="50" w:line="600" w:lineRule="exact"/>
        <w:jc w:val="center"/>
        <w:rPr>
          <w:rFonts w:ascii="黑体" w:hAnsi="Times New Roman" w:eastAsia="黑体" w:cs="Times New Roman"/>
          <w:bCs/>
          <w:sz w:val="44"/>
          <w:szCs w:val="44"/>
        </w:rPr>
      </w:pPr>
      <w:r>
        <w:rPr>
          <w:rFonts w:hint="eastAsia" w:ascii="黑体" w:hAnsi="Times New Roman" w:eastAsia="黑体" w:cs="Times New Roman"/>
          <w:bCs/>
          <w:sz w:val="44"/>
          <w:szCs w:val="44"/>
        </w:rPr>
        <w:t>项目绩效自评报告</w:t>
      </w:r>
    </w:p>
    <w:p w14:paraId="32349A8B">
      <w:pPr>
        <w:widowControl/>
        <w:spacing w:line="600" w:lineRule="exact"/>
        <w:ind w:firstLine="640" w:firstLineChars="200"/>
        <w:rPr>
          <w:rFonts w:ascii="黑体" w:hAnsi="Times New Roman" w:eastAsia="黑体" w:cs="Times New Roman"/>
          <w:sz w:val="32"/>
          <w:szCs w:val="32"/>
        </w:rPr>
      </w:pPr>
      <w:r>
        <w:rPr>
          <w:rFonts w:hint="eastAsia" w:ascii="黑体" w:hAnsi="Times New Roman" w:eastAsia="黑体" w:cs="Times New Roman"/>
          <w:sz w:val="32"/>
          <w:szCs w:val="32"/>
        </w:rPr>
        <w:t>一、项目基本情况</w:t>
      </w:r>
    </w:p>
    <w:p w14:paraId="40EBF163">
      <w:pPr>
        <w:widowControl/>
        <w:spacing w:line="600" w:lineRule="exact"/>
        <w:ind w:firstLine="643" w:firstLineChars="200"/>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（一）项目概况</w:t>
      </w:r>
    </w:p>
    <w:p w14:paraId="58E4A3AE">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1.项目立项情况：我区农村公益事业财政奖补项目在实行中通过召开村民代表大会，充分尊重群众意愿，由农民自主决策，尊重农民自主权，项目审批严格按照村级申报、乡镇审核、县级审批的工作流程，审批文件齐全。</w:t>
      </w:r>
    </w:p>
    <w:p w14:paraId="55373D13">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2.项目资金情况：2023年农村公益事业财政奖补项目，财政奖补资金共投入281万元，其中，中央资金138万元，省级资金41万元，市级资金80万元，区财政配套21.76万元，超过按照乡村人口10元标准安排奖补资金。</w:t>
      </w:r>
    </w:p>
    <w:p w14:paraId="73D8C8F5">
      <w:pPr>
        <w:widowControl/>
        <w:spacing w:line="600" w:lineRule="exact"/>
        <w:ind w:firstLine="643" w:firstLineChars="200"/>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（二）项目绩效目标</w:t>
      </w:r>
    </w:p>
    <w:p w14:paraId="67540708">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1.项目年度绩效目标。申请财政资金281万元，推进农村公益事业项目建设，深化农村综合改革，积极探索支持试试乡村振兴新路径。对村内道路硬化、绿化、文化墙建设等村容村貌改造，村内监控安全基础设施建设，与村民生活密切相关的村内道路、公厕、太阳能路灯安装等农村公益事业财政奖补项目进行奖补。</w:t>
      </w:r>
    </w:p>
    <w:p w14:paraId="720316A3">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2.项目目标完成情况。使用财政资金281万元，完成了小型水利设施项目、村内道路建设、村内环卫设施建设、村容美化亮化、公共文化设施项目建设等23个财政奖补项目。</w:t>
      </w:r>
    </w:p>
    <w:p w14:paraId="3F2BDF83">
      <w:pPr>
        <w:widowControl/>
        <w:spacing w:line="600" w:lineRule="exact"/>
        <w:ind w:firstLine="640" w:firstLineChars="200"/>
        <w:rPr>
          <w:rFonts w:ascii="黑体" w:eastAsia="黑体"/>
          <w:sz w:val="32"/>
          <w:szCs w:val="32"/>
        </w:rPr>
      </w:pPr>
      <w:r>
        <w:rPr>
          <w:rFonts w:hint="eastAsia" w:ascii="黑体" w:eastAsia="黑体"/>
          <w:sz w:val="32"/>
          <w:szCs w:val="32"/>
        </w:rPr>
        <w:t>二、绩效评价结论</w:t>
      </w:r>
    </w:p>
    <w:p w14:paraId="78D79C38">
      <w:pPr>
        <w:widowControl/>
        <w:numPr>
          <w:ilvl w:val="0"/>
          <w:numId w:val="1"/>
        </w:numPr>
        <w:spacing w:line="600" w:lineRule="exact"/>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总体结论</w:t>
      </w:r>
    </w:p>
    <w:p w14:paraId="71430F14">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2023年度，农村公益事业财政奖补项目通过申请财政资金年初预算284万元，全年执行数281万元，圆满完成了农村公益事业财政奖补项目建设，改善了农村基础设施建设及农村生态环境建设，取得了良好社会效益，注重成本效益和时效性，坚持厉行节约，严格按照财政制度的规定保障经费支出。农村公益事业财政奖补项目工作纳入我区重点工作部署，区财政和乡镇财政部门均有专人负责，制定了《淮南市八公山区财政局关于2023年农村公益事业财政奖补工作的实施方案》、《八公山区村级公益事业建设一事一议财政奖补项目管理实施办法》和《八公山区村级公益事业建设一事一议财政奖补项目管护制度》。申报的项目原则上从各乡镇2020-2023年村级公益事业财政奖补项目库中选取。区级财</w:t>
      </w:r>
      <w:r>
        <w:rPr>
          <w:rFonts w:hint="eastAsia" w:ascii="仿宋_GB2312" w:hAnsi="仿宋" w:eastAsia="仿宋_GB2312" w:cs="仿宋"/>
          <w:snapToGrid w:val="0"/>
          <w:color w:val="000000"/>
          <w:sz w:val="32"/>
          <w:szCs w:val="32"/>
          <w:lang w:val="en-US" w:eastAsia="zh-CN"/>
        </w:rPr>
        <w:t>政</w:t>
      </w:r>
      <w:bookmarkStart w:id="0" w:name="_GoBack"/>
      <w:bookmarkEnd w:id="0"/>
      <w:r>
        <w:rPr>
          <w:rFonts w:hint="eastAsia" w:ascii="仿宋_GB2312" w:hAnsi="仿宋" w:eastAsia="仿宋_GB2312" w:cs="仿宋"/>
          <w:snapToGrid w:val="0"/>
          <w:color w:val="000000"/>
          <w:sz w:val="32"/>
          <w:szCs w:val="32"/>
        </w:rPr>
        <w:t>部门将审核好的项目上报区政府，经主要领导批准同意后实施，各村严格程序、规范操作，要通过招投标的方式选择施工方，并与之签订施工合同，明确工程进度、标准质量和违约责任，按照方案要求，及时公开项目建设信息。在项目工验收前，由村委会将项目建设及资金使用情况向全体村民进行公示；在项目竣工验收后，设立农村公益事业财政奖补项目公示牌。信息系统正常运行，档案管理规范。2023年全区完成23个农村公益事业财政奖补项目建设。</w:t>
      </w:r>
    </w:p>
    <w:p w14:paraId="120339E9">
      <w:pPr>
        <w:widowControl/>
        <w:spacing w:line="600" w:lineRule="exact"/>
        <w:ind w:left="567"/>
        <w:rPr>
          <w:rFonts w:ascii="仿宋_GB2312" w:hAnsi="仿宋" w:eastAsia="仿宋_GB2312" w:cs="仿宋"/>
          <w:b/>
          <w:snapToGrid w:val="0"/>
          <w:color w:val="000000"/>
          <w:sz w:val="32"/>
          <w:szCs w:val="32"/>
        </w:rPr>
      </w:pPr>
      <w:r>
        <w:rPr>
          <w:rFonts w:hint="eastAsia" w:ascii="仿宋_GB2312" w:hAnsi="仿宋" w:eastAsia="仿宋_GB2312" w:cs="仿宋"/>
          <w:b/>
          <w:snapToGrid w:val="0"/>
          <w:color w:val="000000"/>
          <w:sz w:val="32"/>
          <w:szCs w:val="32"/>
        </w:rPr>
        <w:t>（二）评价结果</w:t>
      </w:r>
    </w:p>
    <w:p w14:paraId="23FBF02D">
      <w:pPr>
        <w:widowControl/>
        <w:spacing w:line="600" w:lineRule="exact"/>
        <w:ind w:firstLine="640" w:firstLineChars="200"/>
        <w:rPr>
          <w:rFonts w:ascii="仿宋_GB2312" w:hAnsi="仿宋" w:eastAsia="仿宋_GB2312" w:cs="仿宋"/>
          <w:snapToGrid w:val="0"/>
          <w:color w:val="000000"/>
          <w:sz w:val="32"/>
          <w:szCs w:val="32"/>
        </w:rPr>
      </w:pPr>
      <w:r>
        <w:rPr>
          <w:rFonts w:hint="eastAsia" w:ascii="仿宋_GB2312" w:hAnsi="仿宋" w:eastAsia="仿宋_GB2312" w:cs="仿宋"/>
          <w:snapToGrid w:val="0"/>
          <w:color w:val="000000"/>
          <w:sz w:val="32"/>
          <w:szCs w:val="32"/>
        </w:rPr>
        <w:t>经自评，2023年度农村公益事业财政奖补项目自评综合得分为99.9分，自评结果为“优”。</w:t>
      </w:r>
    </w:p>
    <w:p w14:paraId="4697A948">
      <w:pPr>
        <w:ind w:firstLine="640" w:firstLineChars="200"/>
        <w:rPr>
          <w:rFonts w:ascii="仿宋_GB2312" w:hAnsi="仿宋_GB2312" w:eastAsia="仿宋_GB2312" w:cs="仿宋_GB2312"/>
          <w:sz w:val="32"/>
          <w:szCs w:val="32"/>
        </w:rPr>
      </w:pPr>
      <w:r>
        <w:rPr>
          <w:rFonts w:hint="eastAsia" w:ascii="黑体" w:eastAsia="黑体"/>
          <w:color w:val="000000"/>
          <w:sz w:val="32"/>
          <w:szCs w:val="32"/>
        </w:rPr>
        <w:t>三、指标分析</w:t>
      </w:r>
    </w:p>
    <w:p w14:paraId="6C8DB19A">
      <w:pPr>
        <w:ind w:firstLine="643" w:firstLineChars="200"/>
        <w:rPr>
          <w:rFonts w:ascii="仿宋_GB2312" w:eastAsia="仿宋_GB2312"/>
          <w:b/>
          <w:color w:val="000000"/>
          <w:sz w:val="32"/>
          <w:szCs w:val="32"/>
        </w:rPr>
      </w:pPr>
      <w:r>
        <w:rPr>
          <w:rFonts w:hint="eastAsia" w:ascii="仿宋_GB2312" w:eastAsia="仿宋_GB2312"/>
          <w:b/>
          <w:color w:val="000000"/>
          <w:sz w:val="32"/>
          <w:szCs w:val="32"/>
        </w:rPr>
        <w:t>（一）产出指标（满分50分，自评得分50分）</w:t>
      </w:r>
    </w:p>
    <w:p w14:paraId="1394BDCD">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2023年全区建设23个财政奖补项目均已完工，区财政局按照工作进度已全部拨付财政奖补资金，完工项目验收程序合规，资料齐全。镇财政所对报账资料进行审核后对符合农村公益事业财政奖补项目管理规范的，予以入账拨付。</w:t>
      </w:r>
    </w:p>
    <w:p w14:paraId="406E493B">
      <w:pPr>
        <w:ind w:firstLine="643" w:firstLineChars="200"/>
        <w:rPr>
          <w:rFonts w:ascii="仿宋_GB2312" w:eastAsia="仿宋_GB2312"/>
          <w:b/>
          <w:color w:val="000000"/>
          <w:sz w:val="32"/>
          <w:szCs w:val="32"/>
        </w:rPr>
      </w:pPr>
      <w:r>
        <w:rPr>
          <w:rFonts w:hint="eastAsia" w:ascii="仿宋_GB2312" w:eastAsia="仿宋_GB2312"/>
          <w:b/>
          <w:color w:val="000000"/>
          <w:sz w:val="32"/>
          <w:szCs w:val="32"/>
        </w:rPr>
        <w:t>（二）效益指标（满分30分，自评得分30分）</w:t>
      </w:r>
    </w:p>
    <w:p w14:paraId="59F5D910">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2023年我区根据上级安排和农村公益事业财政奖补项目实施方案要求，完成了23个财政奖补项项目，内容包括：小型水利收施项目1个、村内道路建设12个、村内环卫设施2个、村容美化亮化2个、公共文化设施项目3个、其他项目3个，改善了农村基础设施及生态环境。</w:t>
      </w:r>
    </w:p>
    <w:p w14:paraId="1343C208">
      <w:pPr>
        <w:ind w:firstLine="643" w:firstLineChars="200"/>
        <w:rPr>
          <w:rFonts w:ascii="仿宋_GB2312" w:eastAsia="仿宋_GB2312"/>
          <w:b/>
          <w:color w:val="000000"/>
          <w:sz w:val="32"/>
          <w:szCs w:val="32"/>
        </w:rPr>
      </w:pPr>
      <w:r>
        <w:rPr>
          <w:rFonts w:hint="eastAsia" w:ascii="仿宋_GB2312" w:eastAsia="仿宋_GB2312"/>
          <w:b/>
          <w:color w:val="000000"/>
          <w:sz w:val="32"/>
          <w:szCs w:val="32"/>
        </w:rPr>
        <w:t>（三）满意度指标（满分10分，实得10分）</w:t>
      </w:r>
    </w:p>
    <w:p w14:paraId="3BDB1950">
      <w:pPr>
        <w:spacing w:line="600" w:lineRule="exact"/>
        <w:ind w:firstLine="640" w:firstLineChars="200"/>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加强宣传，充分利用宣传标语、村务公开栏等宣传媒介，采取了发放宣传材料，张贴标语、公告等形式对群众进行宣传，使广大农户农村公益事业财政奖补项目做到家喻户晓，政策深入人心，不断提高群众参与建设的积极性，群众满意度超过90%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755F8"/>
    <w:multiLevelType w:val="multilevel"/>
    <w:tmpl w:val="03F755F8"/>
    <w:lvl w:ilvl="0" w:tentative="0">
      <w:start w:val="1"/>
      <w:numFmt w:val="japaneseCounting"/>
      <w:lvlText w:val="（%1）"/>
      <w:lvlJc w:val="left"/>
      <w:pPr>
        <w:ind w:left="1647" w:hanging="108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ExMzdjNjM4OTMwMzhkZDIwODkyM2ZjOWUwMjFmNWYifQ=="/>
  </w:docVars>
  <w:rsids>
    <w:rsidRoot w:val="001477FD"/>
    <w:rsid w:val="001477FD"/>
    <w:rsid w:val="003F06E0"/>
    <w:rsid w:val="00C157E4"/>
    <w:rsid w:val="0E942DBC"/>
    <w:rsid w:val="632561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1399</Words>
  <Characters>1470</Characters>
  <Lines>10</Lines>
  <Paragraphs>2</Paragraphs>
  <TotalTime>8</TotalTime>
  <ScaleCrop>false</ScaleCrop>
  <LinksUpToDate>false</LinksUpToDate>
  <CharactersWithSpaces>1470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2024-10-09T02:39:00Z</dcterms:created>
  <dc:creator>24816</dc:creator>
  <cp:lastModifiedBy>WPS_1556201488</cp:lastModifiedBy>
  <dcterms:modified xsi:type="dcterms:W3CDTF">2025-12-10T07:30:33Z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58171BCB7470437B96728CE36E74412C_12</vt:lpwstr>
  </property>
  <property fmtid="{D5CDD505-2E9C-101B-9397-08002B2CF9AE}" pid="4" name="KSOTemplateDocerSaveRecord">
    <vt:lpwstr>eyJoZGlkIjoiNmU4ZTQ0ZTBkYWY3YzAzODkwN2E2MGNlNzE4OGE1ZjUiLCJ1c2VySWQiOiI1MzY4NTYwMzkifQ==</vt:lpwstr>
  </property>
</Properties>
</file>