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C1A8">
      <w:pPr>
        <w:spacing w:line="590" w:lineRule="exact"/>
      </w:pPr>
    </w:p>
    <w:p w14:paraId="1E2111AA">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八公山区审计局202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w:t>
      </w:r>
    </w:p>
    <w:p w14:paraId="75AF731B">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公开工作年度报告</w:t>
      </w:r>
    </w:p>
    <w:p w14:paraId="66DFD688">
      <w:pPr>
        <w:spacing w:line="590" w:lineRule="exact"/>
      </w:pPr>
    </w:p>
    <w:p w14:paraId="343605D6">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要求，结合我单位政府信息公开工作有关统计数据撰写。报告主要包括：总体情况、主动公开政府信息情况、收到和处理政府信息公开申请情况、</w:t>
      </w:r>
      <w:r>
        <w:rPr>
          <w:rFonts w:hint="eastAsia" w:ascii="Times New Roman" w:hAnsi="Times New Roman" w:eastAsia="方正仿宋_GBK" w:cs="Times New Roman"/>
          <w:sz w:val="32"/>
          <w:szCs w:val="32"/>
          <w:lang w:val="en-US" w:eastAsia="zh-CN"/>
        </w:rPr>
        <w:t>因</w:t>
      </w:r>
      <w:r>
        <w:rPr>
          <w:rFonts w:ascii="Times New Roman" w:hAnsi="Times New Roman" w:eastAsia="方正仿宋_GBK" w:cs="Times New Roman"/>
          <w:sz w:val="32"/>
          <w:szCs w:val="32"/>
        </w:rPr>
        <w:t>政府信息公开</w:t>
      </w:r>
      <w:r>
        <w:rPr>
          <w:rFonts w:hint="eastAsia" w:ascii="Times New Roman" w:hAnsi="Times New Roman" w:eastAsia="方正仿宋_GBK" w:cs="Times New Roman"/>
          <w:sz w:val="32"/>
          <w:szCs w:val="32"/>
          <w:lang w:val="en-US" w:eastAsia="zh-CN"/>
        </w:rPr>
        <w:t>被申请</w:t>
      </w:r>
      <w:r>
        <w:rPr>
          <w:rFonts w:ascii="Times New Roman" w:hAnsi="Times New Roman" w:eastAsia="方正仿宋_GBK" w:cs="Times New Roman"/>
          <w:sz w:val="32"/>
          <w:szCs w:val="32"/>
        </w:rPr>
        <w:t>行政复议</w:t>
      </w:r>
      <w:r>
        <w:rPr>
          <w:rFonts w:hint="eastAsia" w:ascii="Times New Roman" w:hAnsi="Times New Roman" w:eastAsia="方正仿宋_GBK" w:cs="Times New Roman"/>
          <w:sz w:val="32"/>
          <w:szCs w:val="32"/>
          <w:lang w:val="en-US" w:eastAsia="zh-CN"/>
        </w:rPr>
        <w:t>和提起</w:t>
      </w:r>
      <w:r>
        <w:rPr>
          <w:rFonts w:ascii="Times New Roman" w:hAnsi="Times New Roman" w:eastAsia="方正仿宋_GBK" w:cs="Times New Roman"/>
          <w:sz w:val="32"/>
          <w:szCs w:val="32"/>
        </w:rPr>
        <w:t>行政诉讼情况、</w:t>
      </w:r>
      <w:r>
        <w:rPr>
          <w:rFonts w:hint="eastAsia" w:ascii="Times New Roman" w:hAnsi="Times New Roman" w:eastAsia="方正仿宋_GBK" w:cs="Times New Roman"/>
          <w:sz w:val="32"/>
          <w:szCs w:val="32"/>
          <w:lang w:val="en-US" w:eastAsia="zh-CN"/>
        </w:rPr>
        <w:t>政府信息公开工作</w:t>
      </w:r>
      <w:r>
        <w:rPr>
          <w:rFonts w:ascii="Times New Roman" w:hAnsi="Times New Roman" w:eastAsia="方正仿宋_GBK" w:cs="Times New Roman"/>
          <w:sz w:val="32"/>
          <w:szCs w:val="32"/>
        </w:rPr>
        <w:t>存在主要问题及改进情况和其他需要报告事项。本报告中使用数据统计期限为202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年1月1日至12月31日。报告的电子版可在淮南市八公山区政府信息公开网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政府信息公开年报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栏目中下载（http://www.bagongshan.gov.cn）。如对本报告有任何疑问，请与淮南市八公山区审计局办公室联系（地址：淮南市八公山区政府4号楼（原公安大楼）314房间，电话：0554-5619623，邮编：232072）。</w:t>
      </w:r>
    </w:p>
    <w:p w14:paraId="178AA1D6">
      <w:pPr>
        <w:spacing w:line="590" w:lineRule="exact"/>
        <w:ind w:firstLine="640" w:firstLineChars="200"/>
        <w:rPr>
          <w:rFonts w:ascii="Times New Roman" w:hAnsi="Times New Roman" w:eastAsia="方正黑体_GBK" w:cs="Times New Roman"/>
          <w:kern w:val="0"/>
          <w:sz w:val="32"/>
          <w:szCs w:val="32"/>
          <w:shd w:val="clear" w:color="auto" w:fill="FFFFFF"/>
        </w:rPr>
      </w:pPr>
      <w:r>
        <w:rPr>
          <w:rFonts w:ascii="Times New Roman" w:hAnsi="Times New Roman" w:eastAsia="方正黑体_GBK" w:cs="Times New Roman"/>
          <w:kern w:val="0"/>
          <w:sz w:val="32"/>
          <w:szCs w:val="32"/>
          <w:shd w:val="clear" w:color="auto" w:fill="FFFFFF"/>
        </w:rPr>
        <w:t>一、总体情况</w:t>
      </w:r>
    </w:p>
    <w:p w14:paraId="12F5F3E6">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（一）主动公开情况</w:t>
      </w:r>
      <w:r>
        <w:rPr>
          <w:rFonts w:hint="eastAsia" w:ascii="方正楷体_GBK" w:hAnsi="楷体_GB2312" w:eastAsia="方正楷体_GBK" w:cs="楷体_GB2312"/>
          <w:sz w:val="32"/>
          <w:szCs w:val="32"/>
        </w:rPr>
        <w:t>。</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年，八公山区审计局坚持以习近平新时代中国特色社会主义思想为指导，紧紧围绕区委、区政府</w:t>
      </w:r>
      <w:r>
        <w:rPr>
          <w:rFonts w:hint="eastAsia" w:ascii="Times New Roman" w:hAnsi="Times New Roman" w:eastAsia="方正仿宋_GBK" w:cs="Times New Roman"/>
          <w:sz w:val="32"/>
          <w:szCs w:val="32"/>
          <w:lang w:val="en-US" w:eastAsia="zh-CN"/>
        </w:rPr>
        <w:t>工作中心</w:t>
      </w:r>
      <w:r>
        <w:rPr>
          <w:rFonts w:hint="eastAsia" w:ascii="Times New Roman" w:hAnsi="Times New Roman" w:eastAsia="方正仿宋_GBK" w:cs="Times New Roman"/>
          <w:sz w:val="32"/>
          <w:szCs w:val="32"/>
        </w:rPr>
        <w:t>和本部门年度重点任务，</w:t>
      </w:r>
      <w:r>
        <w:rPr>
          <w:rFonts w:hint="eastAsia" w:ascii="Times New Roman" w:hAnsi="Times New Roman" w:eastAsia="方正仿宋_GBK" w:cs="Times New Roman"/>
          <w:sz w:val="32"/>
          <w:szCs w:val="32"/>
          <w:lang w:val="en-US" w:eastAsia="zh-CN"/>
        </w:rPr>
        <w:t>积极</w:t>
      </w:r>
      <w:r>
        <w:rPr>
          <w:rFonts w:hint="eastAsia" w:ascii="Times New Roman" w:hAnsi="Times New Roman" w:eastAsia="方正仿宋_GBK" w:cs="Times New Roman"/>
          <w:sz w:val="32"/>
          <w:szCs w:val="32"/>
        </w:rPr>
        <w:t>贯彻执行《八公山区2025年政务公开重点工作任务分工》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扎实推进主动公开工作。</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年，八公山区审计局主动公开信息共计1</w:t>
      </w:r>
      <w:r>
        <w:rPr>
          <w:rFonts w:hint="eastAsia" w:ascii="Times New Roman" w:hAnsi="Times New Roman" w:eastAsia="方正仿宋_GBK" w:cs="Times New Roman"/>
          <w:sz w:val="32"/>
          <w:szCs w:val="32"/>
          <w:lang w:val="en-US" w:eastAsia="zh-CN"/>
        </w:rPr>
        <w:t>03</w:t>
      </w:r>
      <w:r>
        <w:rPr>
          <w:rFonts w:hint="eastAsia" w:ascii="Times New Roman" w:hAnsi="Times New Roman" w:eastAsia="方正仿宋_GBK" w:cs="Times New Roman"/>
          <w:sz w:val="32"/>
          <w:szCs w:val="32"/>
        </w:rPr>
        <w:t>条，其中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主动公开</w:t>
      </w:r>
      <w:r>
        <w:rPr>
          <w:rFonts w:hint="eastAsia" w:ascii="Times New Roman" w:hAnsi="Times New Roman" w:eastAsia="方正仿宋_GBK" w:cs="Times New Roman"/>
          <w:sz w:val="32"/>
          <w:szCs w:val="32"/>
          <w:lang w:val="en-US" w:eastAsia="zh-CN"/>
        </w:rPr>
        <w:t>本级政策文件2份，工作规划、年度计划2条，</w:t>
      </w:r>
      <w:r>
        <w:rPr>
          <w:rFonts w:hint="eastAsia" w:ascii="Times New Roman" w:hAnsi="Times New Roman" w:eastAsia="方正仿宋_GBK" w:cs="Times New Roman"/>
          <w:sz w:val="32"/>
          <w:szCs w:val="32"/>
        </w:rPr>
        <w:t>领导活动信息</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及时公布财政预决算及“三公”经费使用情况信息4条；围绕审计计划、审计结果、审计整改等政务公开工作要点，公开审计</w:t>
      </w:r>
      <w:r>
        <w:rPr>
          <w:rFonts w:hint="eastAsia" w:ascii="Times New Roman" w:hAnsi="Times New Roman" w:eastAsia="方正仿宋_GBK" w:cs="Times New Roman"/>
          <w:sz w:val="32"/>
          <w:szCs w:val="32"/>
        </w:rPr>
        <w:t>工作</w:t>
      </w:r>
      <w:r>
        <w:rPr>
          <w:rFonts w:hint="eastAsia" w:ascii="Times New Roman" w:hAnsi="Times New Roman" w:eastAsia="方正仿宋_GBK" w:cs="Times New Roman"/>
          <w:sz w:val="32"/>
          <w:szCs w:val="32"/>
          <w:lang w:val="en-US" w:eastAsia="zh-CN"/>
        </w:rPr>
        <w:t>情况</w:t>
      </w:r>
      <w:r>
        <w:rPr>
          <w:rFonts w:hint="eastAsia" w:ascii="Times New Roman" w:hAnsi="Times New Roman" w:eastAsia="方正仿宋_GBK" w:cs="Times New Roman"/>
          <w:sz w:val="32"/>
          <w:szCs w:val="32"/>
        </w:rPr>
        <w:t>信息1</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监督保障信息</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发布</w:t>
      </w:r>
      <w:r>
        <w:rPr>
          <w:rFonts w:hint="eastAsia" w:ascii="Times New Roman" w:hAnsi="Times New Roman" w:eastAsia="方正仿宋_GBK" w:cs="Times New Roman"/>
          <w:sz w:val="32"/>
          <w:szCs w:val="32"/>
        </w:rPr>
        <w:t>政策解读</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篇</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其中主要负责人解读1篇、媒体解读1篇、文字解读1篇</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全面完成了2025年度政务公开重点工作任务中由我局牵头负责的审计领域信息公开各项工作。</w:t>
      </w:r>
    </w:p>
    <w:p w14:paraId="009A7A20">
      <w:pPr>
        <w:spacing w:line="590" w:lineRule="exact"/>
        <w:ind w:firstLine="640" w:firstLineChars="200"/>
        <w:rPr>
          <w:rFonts w:hint="eastAsia" w:ascii="方正仿宋_GBK" w:hAnsi="楷体" w:eastAsia="方正仿宋_GBK" w:cs="楷体"/>
          <w:sz w:val="32"/>
          <w:szCs w:val="32"/>
        </w:rPr>
      </w:pPr>
      <w:r>
        <w:rPr>
          <w:rFonts w:hint="eastAsia" w:ascii="Times New Roman" w:hAnsi="Times New Roman" w:eastAsia="方正楷体_GBK" w:cs="Times New Roman"/>
          <w:sz w:val="32"/>
          <w:szCs w:val="32"/>
        </w:rPr>
        <w:t>（二）依申请公开情况。</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年，八公山区审计局收到政府信息依申请公开0件，上年度结转0件。无行政复议、行政诉讼案件。</w:t>
      </w:r>
    </w:p>
    <w:p w14:paraId="414BE09C">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楷体_GBK" w:cs="Times New Roman"/>
          <w:sz w:val="32"/>
          <w:szCs w:val="32"/>
        </w:rPr>
        <w:t>（三）政府信息管理情况</w:t>
      </w:r>
      <w:r>
        <w:rPr>
          <w:rFonts w:hint="eastAsia" w:ascii="方正楷体_GBK" w:hAnsi="楷体_GB2312" w:eastAsia="方正楷体_GBK" w:cs="楷体_GB2312"/>
          <w:sz w:val="32"/>
          <w:szCs w:val="32"/>
        </w:rPr>
        <w:t>。</w:t>
      </w:r>
      <w:r>
        <w:rPr>
          <w:rFonts w:hint="eastAsia" w:ascii="Times New Roman" w:hAnsi="Times New Roman" w:eastAsia="方正仿宋_GBK" w:cs="Times New Roman"/>
          <w:sz w:val="32"/>
          <w:szCs w:val="32"/>
        </w:rPr>
        <w:t>严格执行信息发布“三审”制度，</w:t>
      </w:r>
      <w:r>
        <w:rPr>
          <w:rFonts w:hint="eastAsia" w:ascii="Times New Roman" w:hAnsi="Times New Roman" w:eastAsia="方正仿宋_GBK" w:cs="Times New Roman"/>
          <w:sz w:val="32"/>
          <w:szCs w:val="32"/>
          <w:lang w:val="en-US" w:eastAsia="zh-CN"/>
        </w:rPr>
        <w:t>在</w:t>
      </w:r>
      <w:r>
        <w:rPr>
          <w:rFonts w:hint="eastAsia" w:ascii="Times New Roman" w:hAnsi="Times New Roman" w:eastAsia="方正仿宋_GBK" w:cs="Times New Roman"/>
          <w:sz w:val="32"/>
          <w:szCs w:val="32"/>
        </w:rPr>
        <w:t>持续强化信息保密审查</w:t>
      </w:r>
      <w:r>
        <w:rPr>
          <w:rFonts w:hint="eastAsia" w:ascii="Times New Roman" w:hAnsi="Times New Roman" w:eastAsia="方正仿宋_GBK" w:cs="Times New Roman"/>
          <w:sz w:val="32"/>
          <w:szCs w:val="32"/>
          <w:lang w:val="en-US" w:eastAsia="zh-CN"/>
        </w:rPr>
        <w:t>的基础上</w:t>
      </w:r>
      <w:r>
        <w:rPr>
          <w:rFonts w:hint="eastAsia" w:ascii="Times New Roman" w:hAnsi="Times New Roman" w:eastAsia="方正仿宋_GBK" w:cs="Times New Roman"/>
          <w:sz w:val="32"/>
          <w:szCs w:val="32"/>
        </w:rPr>
        <w:t>，加强</w:t>
      </w:r>
      <w:r>
        <w:rPr>
          <w:rFonts w:hint="eastAsia" w:ascii="Times New Roman" w:hAnsi="Times New Roman" w:eastAsia="方正仿宋_GBK" w:cs="Times New Roman"/>
          <w:sz w:val="32"/>
          <w:szCs w:val="32"/>
          <w:lang w:val="en-US" w:eastAsia="zh-CN"/>
        </w:rPr>
        <w:t>对</w:t>
      </w:r>
      <w:r>
        <w:rPr>
          <w:rFonts w:hint="eastAsia" w:ascii="Times New Roman" w:hAnsi="Times New Roman" w:eastAsia="方正仿宋_GBK" w:cs="Times New Roman"/>
          <w:sz w:val="32"/>
          <w:szCs w:val="32"/>
        </w:rPr>
        <w:t>内容安全</w:t>
      </w:r>
      <w:r>
        <w:rPr>
          <w:rFonts w:hint="eastAsia"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rPr>
        <w:t>排查，确保信息格式规范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内容合法准确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避免产生不当影响。认真开展部门规范性文件清理工作，八公山区审计局现行有效规范性文件0件，202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年废止失效文件0件。</w:t>
      </w:r>
    </w:p>
    <w:p w14:paraId="16F4A95A">
      <w:pPr>
        <w:spacing w:line="590" w:lineRule="exact"/>
        <w:ind w:firstLine="640" w:firstLineChars="200"/>
        <w:rPr>
          <w:rFonts w:hint="eastAsia" w:ascii="方正仿宋_GBK" w:hAnsi="仿宋_GB2312" w:eastAsia="方正仿宋_GBK" w:cs="仿宋_GB2312"/>
          <w:sz w:val="32"/>
          <w:szCs w:val="32"/>
        </w:rPr>
      </w:pPr>
      <w:r>
        <w:rPr>
          <w:rFonts w:hint="eastAsia" w:ascii="Times New Roman" w:hAnsi="Times New Roman" w:eastAsia="方正楷体_GBK" w:cs="Times New Roman"/>
          <w:sz w:val="32"/>
          <w:szCs w:val="32"/>
        </w:rPr>
        <w:t>（四）政府信息公开平台建设</w:t>
      </w:r>
      <w:r>
        <w:rPr>
          <w:rFonts w:hint="eastAsia" w:ascii="方正楷体_GBK" w:hAnsi="楷体_GB2312" w:eastAsia="方正楷体_GBK" w:cs="楷体_GB2312"/>
          <w:sz w:val="32"/>
          <w:szCs w:val="32"/>
        </w:rPr>
        <w:t>。</w:t>
      </w:r>
      <w:r>
        <w:rPr>
          <w:rFonts w:hint="eastAsia" w:ascii="Times New Roman" w:hAnsi="Times New Roman" w:eastAsia="方正仿宋_GBK" w:cs="Times New Roman"/>
          <w:sz w:val="32"/>
          <w:szCs w:val="32"/>
          <w:lang w:val="en-US" w:eastAsia="zh-CN"/>
        </w:rPr>
        <w:t>积极</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做好</w:t>
      </w:r>
      <w:r>
        <w:rPr>
          <w:rFonts w:ascii="方正仿宋_GBK" w:hAnsi="方正仿宋_GBK" w:eastAsia="方正仿宋_GBK" w:cs="方正仿宋_GBK"/>
          <w:i w:val="0"/>
          <w:iCs w:val="0"/>
          <w:caps w:val="0"/>
          <w:color w:val="000000"/>
          <w:spacing w:val="0"/>
          <w:sz w:val="32"/>
          <w:szCs w:val="32"/>
          <w:shd w:val="clear" w:fill="FFFFFF"/>
        </w:rPr>
        <w:t>局门户网站和政务公开平台日常维护，</w:t>
      </w:r>
      <w:r>
        <w:rPr>
          <w:rFonts w:hint="eastAsia" w:ascii="Times New Roman" w:hAnsi="Times New Roman" w:eastAsia="方正仿宋_GBK" w:cs="Times New Roman"/>
          <w:sz w:val="32"/>
          <w:szCs w:val="32"/>
        </w:rPr>
        <w:t>加强本单位网站政府信息公开、工作情况、审计信息等栏目的信息审核</w:t>
      </w:r>
      <w:r>
        <w:rPr>
          <w:rFonts w:hint="eastAsia" w:ascii="Times New Roman" w:hAnsi="Times New Roman" w:eastAsia="方正仿宋_GBK" w:cs="Times New Roman"/>
          <w:sz w:val="32"/>
          <w:szCs w:val="32"/>
          <w:lang w:eastAsia="zh-CN"/>
        </w:rPr>
        <w:t>，</w:t>
      </w:r>
      <w:r>
        <w:rPr>
          <w:rFonts w:ascii="方正仿宋_GBK" w:hAnsi="方正仿宋_GBK" w:eastAsia="方正仿宋_GBK" w:cs="方正仿宋_GBK"/>
          <w:i w:val="0"/>
          <w:iCs w:val="0"/>
          <w:caps w:val="0"/>
          <w:color w:val="000000"/>
          <w:spacing w:val="0"/>
          <w:sz w:val="32"/>
          <w:szCs w:val="32"/>
          <w:shd w:val="clear" w:fill="FFFFFF"/>
        </w:rPr>
        <w:t>及时</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清理过时信息</w:t>
      </w:r>
      <w:r>
        <w:rPr>
          <w:rFonts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Times New Roman"/>
          <w:sz w:val="32"/>
          <w:szCs w:val="32"/>
        </w:rPr>
        <w:t>规范情况说明的信息发布，确保每个栏目仅保留一条情况说明。</w:t>
      </w:r>
      <w:bookmarkStart w:id="0" w:name="_GoBack"/>
      <w:bookmarkEnd w:id="0"/>
    </w:p>
    <w:p w14:paraId="4311971F">
      <w:pPr>
        <w:pStyle w:val="2"/>
        <w:ind w:left="0" w:leftChars="0" w:firstLine="640" w:firstLineChars="200"/>
      </w:pPr>
      <w:r>
        <w:rPr>
          <w:rFonts w:hint="eastAsia" w:ascii="Times New Roman" w:hAnsi="Times New Roman" w:eastAsia="方正楷体_GBK" w:cs="Times New Roman"/>
          <w:sz w:val="32"/>
          <w:szCs w:val="32"/>
        </w:rPr>
        <w:t>（五）监督保障</w:t>
      </w:r>
      <w:r>
        <w:rPr>
          <w:rFonts w:hint="eastAsia" w:ascii="方正楷体_GBK" w:hAnsi="楷体_GB2312" w:eastAsia="方正楷体_GBK" w:cs="楷体_GB2312"/>
          <w:sz w:val="32"/>
          <w:szCs w:val="32"/>
        </w:rPr>
        <w:t>。</w:t>
      </w:r>
      <w:r>
        <w:rPr>
          <w:rFonts w:ascii="方正仿宋_GBK" w:hAnsi="方正仿宋_GBK" w:eastAsia="方正仿宋_GBK" w:cs="方正仿宋_GBK"/>
          <w:i w:val="0"/>
          <w:iCs w:val="0"/>
          <w:caps w:val="0"/>
          <w:color w:val="000000"/>
          <w:spacing w:val="0"/>
          <w:sz w:val="32"/>
          <w:szCs w:val="32"/>
          <w:shd w:val="clear" w:fill="FFFFFF"/>
        </w:rPr>
        <w:t>局领导高度重视政务公开工作，将其纳入年度重点工作统筹推进。</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一是</w:t>
      </w:r>
      <w:r>
        <w:rPr>
          <w:rFonts w:ascii="方正仿宋_GBK" w:hAnsi="方正仿宋_GBK" w:eastAsia="方正仿宋_GBK" w:cs="方正仿宋_GBK"/>
          <w:i w:val="0"/>
          <w:iCs w:val="0"/>
          <w:caps w:val="0"/>
          <w:color w:val="000000"/>
          <w:spacing w:val="0"/>
          <w:sz w:val="32"/>
          <w:szCs w:val="32"/>
          <w:shd w:val="clear" w:fill="FFFFFF"/>
        </w:rPr>
        <w:t>建立健全信息公开工作领导机制，</w:t>
      </w:r>
      <w:r>
        <w:rPr>
          <w:rFonts w:hint="eastAsia" w:ascii="Times New Roman" w:hAnsi="Times New Roman" w:eastAsia="方正仿宋_GBK" w:cs="Times New Roman"/>
          <w:sz w:val="32"/>
          <w:szCs w:val="32"/>
        </w:rPr>
        <w:t>严格按照“主要领导亲自抓，分管领导具体抓，负责科室抓落实”的工作要求，</w:t>
      </w:r>
      <w:r>
        <w:rPr>
          <w:rFonts w:ascii="方正仿宋_GBK" w:hAnsi="方正仿宋_GBK" w:eastAsia="方正仿宋_GBK" w:cs="方正仿宋_GBK"/>
          <w:i w:val="0"/>
          <w:iCs w:val="0"/>
          <w:caps w:val="0"/>
          <w:color w:val="000000"/>
          <w:spacing w:val="0"/>
          <w:sz w:val="32"/>
          <w:szCs w:val="32"/>
          <w:shd w:val="clear" w:fill="FFFFFF"/>
        </w:rPr>
        <w:t>明确职责分工，</w:t>
      </w:r>
      <w:r>
        <w:rPr>
          <w:rFonts w:hint="eastAsia" w:ascii="Times New Roman" w:hAnsi="Times New Roman" w:eastAsia="方正仿宋_GBK" w:cs="Times New Roman"/>
          <w:sz w:val="32"/>
          <w:szCs w:val="32"/>
        </w:rPr>
        <w:t>对政务公开工作中存在的问题</w:t>
      </w:r>
      <w:r>
        <w:rPr>
          <w:rFonts w:ascii="方正仿宋_GBK" w:hAnsi="方正仿宋_GBK" w:eastAsia="方正仿宋_GBK" w:cs="方正仿宋_GBK"/>
          <w:i w:val="0"/>
          <w:iCs w:val="0"/>
          <w:caps w:val="0"/>
          <w:color w:val="000000"/>
          <w:spacing w:val="0"/>
          <w:sz w:val="32"/>
          <w:szCs w:val="32"/>
          <w:shd w:val="clear" w:fill="FFFFFF"/>
        </w:rPr>
        <w:t>加强督导检查</w:t>
      </w:r>
      <w:r>
        <w:rPr>
          <w:rFonts w:hint="eastAsia" w:ascii="Times New Roman" w:hAnsi="Times New Roman" w:eastAsia="方正仿宋_GBK" w:cs="Times New Roman"/>
          <w:sz w:val="32"/>
          <w:szCs w:val="32"/>
        </w:rPr>
        <w:t>。二是积极组织单位政务公开业务具体负责人参加区政府组织的政务公开相关业务培训，夯实单位政务公开基础。三是</w:t>
      </w:r>
      <w:r>
        <w:rPr>
          <w:rFonts w:ascii="方正仿宋_GBK" w:hAnsi="方正仿宋_GBK" w:eastAsia="方正仿宋_GBK" w:cs="方正仿宋_GBK"/>
          <w:i w:val="0"/>
          <w:iCs w:val="0"/>
          <w:caps w:val="0"/>
          <w:color w:val="000000"/>
          <w:spacing w:val="0"/>
          <w:sz w:val="32"/>
          <w:szCs w:val="32"/>
        </w:rPr>
        <w:t>严格执行</w:t>
      </w:r>
      <w:r>
        <w:rPr>
          <w:rFonts w:hint="default" w:ascii="Times New Roman" w:hAnsi="Times New Roman" w:eastAsia="宋体" w:cs="Times New Roman"/>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rPr>
        <w:t>三审</w:t>
      </w:r>
      <w:r>
        <w:rPr>
          <w:rFonts w:hint="default" w:ascii="Times New Roman" w:hAnsi="Times New Roman" w:eastAsia="宋体" w:cs="Times New Roman"/>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rPr>
        <w:t>制度，开展日常自查与整改，对上级反馈问题及时</w:t>
      </w:r>
      <w:r>
        <w:rPr>
          <w:rFonts w:hint="eastAsia" w:ascii="方正仿宋_GBK" w:hAnsi="方正仿宋_GBK" w:eastAsia="方正仿宋_GBK" w:cs="方正仿宋_GBK"/>
          <w:i w:val="0"/>
          <w:iCs w:val="0"/>
          <w:caps w:val="0"/>
          <w:color w:val="000000"/>
          <w:spacing w:val="0"/>
          <w:sz w:val="32"/>
          <w:szCs w:val="32"/>
          <w:lang w:val="en-US" w:eastAsia="zh-CN"/>
        </w:rPr>
        <w:t>整改</w:t>
      </w:r>
      <w:r>
        <w:rPr>
          <w:rFonts w:hint="eastAsia" w:ascii="方正仿宋_GBK" w:hAnsi="方正仿宋_GBK" w:eastAsia="方正仿宋_GBK" w:cs="方正仿宋_GBK"/>
          <w:i w:val="0"/>
          <w:iCs w:val="0"/>
          <w:caps w:val="0"/>
          <w:color w:val="000000"/>
          <w:spacing w:val="0"/>
          <w:sz w:val="32"/>
          <w:szCs w:val="32"/>
        </w:rPr>
        <w:t>落实。</w:t>
      </w:r>
      <w:r>
        <w:rPr>
          <w:rFonts w:hint="default" w:ascii="Times New Roman" w:hAnsi="Times New Roman" w:eastAsia="宋体" w:cs="Times New Roman"/>
          <w:i w:val="0"/>
          <w:iCs w:val="0"/>
          <w:caps w:val="0"/>
          <w:color w:val="000000"/>
          <w:spacing w:val="0"/>
          <w:sz w:val="32"/>
          <w:szCs w:val="32"/>
        </w:rPr>
        <w:t>2025</w:t>
      </w:r>
      <w:r>
        <w:rPr>
          <w:rFonts w:hint="eastAsia" w:ascii="方正仿宋_GBK" w:hAnsi="方正仿宋_GBK" w:eastAsia="方正仿宋_GBK" w:cs="方正仿宋_GBK"/>
          <w:i w:val="0"/>
          <w:iCs w:val="0"/>
          <w:caps w:val="0"/>
          <w:color w:val="000000"/>
          <w:spacing w:val="0"/>
          <w:sz w:val="32"/>
          <w:szCs w:val="32"/>
        </w:rPr>
        <w:t>年度，未开展社会评议，无政府信息公开责任追究情况</w:t>
      </w:r>
      <w:r>
        <w:rPr>
          <w:rFonts w:hint="eastAsia" w:ascii="Times New Roman" w:hAnsi="Times New Roman" w:eastAsia="方正仿宋_GBK" w:cs="Times New Roman"/>
          <w:sz w:val="32"/>
          <w:szCs w:val="32"/>
        </w:rPr>
        <w:t>。</w:t>
      </w:r>
    </w:p>
    <w:p w14:paraId="14DF474C">
      <w:pPr>
        <w:pStyle w:val="7"/>
        <w:widowControl/>
        <w:shd w:val="clear" w:color="auto" w:fill="FFFFFF"/>
        <w:spacing w:before="0" w:beforeAutospacing="0" w:after="0" w:afterAutospacing="0" w:line="590" w:lineRule="exact"/>
        <w:ind w:firstLine="640" w:firstLineChars="200"/>
        <w:jc w:val="both"/>
        <w:rPr>
          <w:rFonts w:hint="eastAsia" w:ascii="方正黑体_GBK" w:hAnsi="黑体" w:eastAsia="方正黑体_GBK" w:cs="黑体"/>
          <w:color w:val="333333"/>
          <w:sz w:val="32"/>
          <w:szCs w:val="32"/>
        </w:rPr>
      </w:pPr>
      <w:r>
        <w:rPr>
          <w:rFonts w:hint="eastAsia" w:ascii="方正黑体_GBK" w:hAnsi="黑体" w:eastAsia="方正黑体_GBK" w:cs="黑体"/>
          <w:color w:val="333333"/>
          <w:sz w:val="32"/>
          <w:szCs w:val="32"/>
          <w:shd w:val="clear" w:color="auto" w:fill="FFFFFF"/>
        </w:rPr>
        <w:t>二、主动公开政府信息情况</w:t>
      </w:r>
    </w:p>
    <w:tbl>
      <w:tblPr>
        <w:tblStyle w:val="8"/>
        <w:tblpPr w:leftFromText="180" w:rightFromText="180" w:vertAnchor="text" w:horzAnchor="page" w:tblpX="2100" w:tblpY="256"/>
        <w:tblOverlap w:val="never"/>
        <w:tblW w:w="8100" w:type="dxa"/>
        <w:tblInd w:w="0" w:type="dxa"/>
        <w:tblLayout w:type="autofit"/>
        <w:tblCellMar>
          <w:top w:w="0" w:type="dxa"/>
          <w:left w:w="0" w:type="dxa"/>
          <w:bottom w:w="0" w:type="dxa"/>
          <w:right w:w="0" w:type="dxa"/>
        </w:tblCellMar>
      </w:tblPr>
      <w:tblGrid>
        <w:gridCol w:w="2025"/>
        <w:gridCol w:w="2025"/>
        <w:gridCol w:w="2025"/>
        <w:gridCol w:w="2025"/>
      </w:tblGrid>
      <w:tr w14:paraId="3B13AABB">
        <w:tblPrEx>
          <w:tblCellMar>
            <w:top w:w="0" w:type="dxa"/>
            <w:left w:w="0" w:type="dxa"/>
            <w:bottom w:w="0" w:type="dxa"/>
            <w:right w:w="0" w:type="dxa"/>
          </w:tblCellMar>
        </w:tblPrEx>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54BEE994">
            <w:pPr>
              <w:widowControl/>
              <w:jc w:val="center"/>
            </w:pPr>
            <w:r>
              <w:rPr>
                <w:rFonts w:hint="eastAsia" w:ascii="宋体" w:hAnsi="宋体" w:eastAsia="宋体" w:cs="宋体"/>
                <w:color w:val="000000"/>
                <w:kern w:val="0"/>
                <w:sz w:val="20"/>
                <w:szCs w:val="20"/>
                <w:lang w:bidi="ar"/>
              </w:rPr>
              <w:t>第二十条第（一）项</w:t>
            </w:r>
          </w:p>
        </w:tc>
      </w:tr>
      <w:tr w14:paraId="1BB20BD8">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7C89AB36">
            <w:pPr>
              <w:widowControl/>
              <w:jc w:val="center"/>
            </w:pPr>
            <w:r>
              <w:rPr>
                <w:rFonts w:hint="eastAsia" w:ascii="宋体" w:hAnsi="宋体" w:eastAsia="宋体" w:cs="宋体"/>
                <w:color w:val="000000"/>
                <w:kern w:val="0"/>
                <w:sz w:val="20"/>
                <w:szCs w:val="20"/>
                <w:lang w:bidi="ar"/>
              </w:rPr>
              <w:t>信息内容</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14:paraId="487A2A4E">
            <w:pPr>
              <w:widowControl/>
              <w:jc w:val="center"/>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14:paraId="11B5DD90">
            <w:pPr>
              <w:widowControl/>
              <w:jc w:val="center"/>
            </w:pPr>
            <w:r>
              <w:rPr>
                <w:rFonts w:hint="eastAsia" w:ascii="宋体" w:hAnsi="宋体" w:eastAsia="宋体" w:cs="宋体"/>
                <w:color w:val="000000"/>
                <w:kern w:val="0"/>
                <w:sz w:val="20"/>
                <w:szCs w:val="20"/>
                <w:lang w:bidi="ar"/>
              </w:rPr>
              <w:t>本年废止件数</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14:paraId="09018E05">
            <w:pPr>
              <w:widowControl/>
              <w:jc w:val="center"/>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14:paraId="39908642">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187D0F86">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规章</w:t>
            </w:r>
          </w:p>
        </w:tc>
        <w:tc>
          <w:tcPr>
            <w:tcW w:w="2025" w:type="dxa"/>
            <w:tcBorders>
              <w:top w:val="nil"/>
              <w:left w:val="nil"/>
              <w:bottom w:val="single" w:color="auto" w:sz="8" w:space="0"/>
              <w:right w:val="single" w:color="auto" w:sz="8" w:space="0"/>
            </w:tcBorders>
            <w:tcMar>
              <w:left w:w="57" w:type="dxa"/>
              <w:right w:w="57" w:type="dxa"/>
            </w:tcMar>
            <w:vAlign w:val="center"/>
          </w:tcPr>
          <w:p w14:paraId="10C9480C">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14:paraId="14DDA8F6">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14:paraId="16A7AC7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6A61F196">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787B65D1">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行政规范性文件</w:t>
            </w:r>
          </w:p>
        </w:tc>
        <w:tc>
          <w:tcPr>
            <w:tcW w:w="2025" w:type="dxa"/>
            <w:tcBorders>
              <w:top w:val="nil"/>
              <w:left w:val="nil"/>
              <w:bottom w:val="single" w:color="auto" w:sz="8" w:space="0"/>
              <w:right w:val="single" w:color="auto" w:sz="8" w:space="0"/>
            </w:tcBorders>
            <w:tcMar>
              <w:left w:w="57" w:type="dxa"/>
              <w:right w:w="57" w:type="dxa"/>
            </w:tcMar>
            <w:vAlign w:val="center"/>
          </w:tcPr>
          <w:p w14:paraId="30FE0CF2">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14:paraId="1D4369DF">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14:paraId="3E414E3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DD50209">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A7DF962">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第二十条第（五）项</w:t>
            </w:r>
          </w:p>
        </w:tc>
      </w:tr>
      <w:tr w14:paraId="3390858B">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4FBC0084">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6075" w:type="dxa"/>
            <w:gridSpan w:val="3"/>
            <w:tcBorders>
              <w:top w:val="nil"/>
              <w:left w:val="nil"/>
              <w:bottom w:val="single" w:color="auto" w:sz="8" w:space="0"/>
              <w:right w:val="single" w:color="auto" w:sz="8" w:space="0"/>
            </w:tcBorders>
            <w:tcMar>
              <w:left w:w="57" w:type="dxa"/>
              <w:right w:w="57" w:type="dxa"/>
            </w:tcMar>
            <w:vAlign w:val="center"/>
          </w:tcPr>
          <w:p w14:paraId="7A6C9B58">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本年处理决定数量</w:t>
            </w:r>
          </w:p>
        </w:tc>
      </w:tr>
      <w:tr w14:paraId="34F4B8B2">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4A5FE1AA">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行政许可</w:t>
            </w:r>
          </w:p>
        </w:tc>
        <w:tc>
          <w:tcPr>
            <w:tcW w:w="6075" w:type="dxa"/>
            <w:gridSpan w:val="3"/>
            <w:tcBorders>
              <w:top w:val="nil"/>
              <w:left w:val="nil"/>
              <w:bottom w:val="single" w:color="auto" w:sz="8" w:space="0"/>
              <w:right w:val="single" w:color="auto" w:sz="8" w:space="0"/>
            </w:tcBorders>
            <w:tcMar>
              <w:left w:w="57" w:type="dxa"/>
              <w:right w:w="57" w:type="dxa"/>
            </w:tcMar>
            <w:vAlign w:val="center"/>
          </w:tcPr>
          <w:p w14:paraId="5B610B20">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r>
      <w:tr w14:paraId="5D6237C9">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B5E57FC">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第二十条第（六）项</w:t>
            </w:r>
          </w:p>
        </w:tc>
      </w:tr>
      <w:tr w14:paraId="685C2BE9">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1C0300AC">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3A3D9A7B">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本年处理决定数量</w:t>
            </w:r>
          </w:p>
        </w:tc>
      </w:tr>
      <w:tr w14:paraId="6F03F8AD">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330D7192">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行政处罚</w:t>
            </w:r>
          </w:p>
        </w:tc>
        <w:tc>
          <w:tcPr>
            <w:tcW w:w="6075" w:type="dxa"/>
            <w:gridSpan w:val="3"/>
            <w:tcBorders>
              <w:top w:val="nil"/>
              <w:left w:val="nil"/>
              <w:bottom w:val="single" w:color="auto" w:sz="8" w:space="0"/>
              <w:right w:val="single" w:color="auto" w:sz="8" w:space="0"/>
            </w:tcBorders>
            <w:tcMar>
              <w:left w:w="57" w:type="dxa"/>
              <w:right w:w="57" w:type="dxa"/>
            </w:tcMar>
            <w:vAlign w:val="center"/>
          </w:tcPr>
          <w:p w14:paraId="25CAC568">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r>
      <w:tr w14:paraId="3B314137">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0667F325">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行政强制</w:t>
            </w:r>
          </w:p>
        </w:tc>
        <w:tc>
          <w:tcPr>
            <w:tcW w:w="6075" w:type="dxa"/>
            <w:gridSpan w:val="3"/>
            <w:tcBorders>
              <w:top w:val="nil"/>
              <w:left w:val="nil"/>
              <w:bottom w:val="single" w:color="auto" w:sz="8" w:space="0"/>
              <w:right w:val="single" w:color="auto" w:sz="8" w:space="0"/>
            </w:tcBorders>
            <w:tcMar>
              <w:left w:w="57" w:type="dxa"/>
              <w:right w:w="57" w:type="dxa"/>
            </w:tcMar>
            <w:vAlign w:val="center"/>
          </w:tcPr>
          <w:p w14:paraId="5CE7944D">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r>
      <w:tr w14:paraId="653F981F">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B9F9C64">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第二十条第（八）项</w:t>
            </w:r>
          </w:p>
        </w:tc>
      </w:tr>
      <w:tr w14:paraId="01E529DB">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53BBB766">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信息内容</w:t>
            </w:r>
          </w:p>
        </w:tc>
        <w:tc>
          <w:tcPr>
            <w:tcW w:w="6075" w:type="dxa"/>
            <w:gridSpan w:val="3"/>
            <w:tcBorders>
              <w:top w:val="nil"/>
              <w:left w:val="nil"/>
              <w:bottom w:val="single" w:color="auto" w:sz="8" w:space="0"/>
              <w:right w:val="single" w:color="000000" w:sz="8" w:space="0"/>
            </w:tcBorders>
            <w:tcMar>
              <w:left w:w="57" w:type="dxa"/>
              <w:right w:w="57" w:type="dxa"/>
            </w:tcMar>
            <w:vAlign w:val="center"/>
          </w:tcPr>
          <w:p w14:paraId="6377B199">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本年收费金额（单位：万元）</w:t>
            </w:r>
          </w:p>
        </w:tc>
      </w:tr>
      <w:tr w14:paraId="6BE0B2B4">
        <w:tblPrEx>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14:paraId="4F835FEB">
            <w:pPr>
              <w:widowControl/>
              <w:jc w:val="left"/>
              <w:rPr>
                <w:rFonts w:ascii="Times New Roman" w:hAnsi="Times New Roman" w:cs="Times New Roman"/>
              </w:rPr>
            </w:pPr>
            <w:r>
              <w:rPr>
                <w:rFonts w:ascii="Times New Roman" w:hAnsi="Times New Roman" w:eastAsia="宋体" w:cs="Times New Roman"/>
                <w:color w:val="000000"/>
                <w:kern w:val="0"/>
                <w:sz w:val="20"/>
                <w:szCs w:val="20"/>
                <w:lang w:bidi="ar"/>
              </w:rPr>
              <w:t>行政事业性收费</w:t>
            </w:r>
          </w:p>
        </w:tc>
        <w:tc>
          <w:tcPr>
            <w:tcW w:w="6075" w:type="dxa"/>
            <w:gridSpan w:val="3"/>
            <w:tcBorders>
              <w:top w:val="nil"/>
              <w:left w:val="nil"/>
              <w:bottom w:val="single" w:color="auto" w:sz="8" w:space="0"/>
              <w:right w:val="single" w:color="000000" w:sz="8" w:space="0"/>
            </w:tcBorders>
            <w:tcMar>
              <w:left w:w="57" w:type="dxa"/>
              <w:right w:w="57" w:type="dxa"/>
            </w:tcMar>
            <w:vAlign w:val="center"/>
          </w:tcPr>
          <w:p w14:paraId="7E039E66">
            <w:pPr>
              <w:jc w:val="center"/>
              <w:rPr>
                <w:rFonts w:ascii="Times New Roman" w:hAnsi="Times New Roman" w:cs="Times New Roman"/>
                <w:sz w:val="24"/>
              </w:rPr>
            </w:pPr>
            <w:r>
              <w:rPr>
                <w:rFonts w:ascii="Times New Roman" w:hAnsi="Times New Roman" w:eastAsia="宋体" w:cs="Times New Roman"/>
                <w:color w:val="000000"/>
                <w:kern w:val="0"/>
                <w:sz w:val="20"/>
                <w:szCs w:val="20"/>
                <w:lang w:bidi="ar"/>
              </w:rPr>
              <w:t>0</w:t>
            </w:r>
          </w:p>
        </w:tc>
      </w:tr>
    </w:tbl>
    <w:p w14:paraId="263482C7">
      <w:pPr>
        <w:pStyle w:val="7"/>
        <w:widowControl/>
        <w:shd w:val="clear" w:color="auto" w:fill="FFFFFF"/>
        <w:spacing w:before="0" w:beforeAutospacing="0" w:after="0" w:afterAutospacing="0" w:line="590" w:lineRule="exact"/>
        <w:ind w:firstLine="640" w:firstLineChars="200"/>
        <w:jc w:val="both"/>
        <w:rPr>
          <w:rFonts w:ascii="Times New Roman" w:hAnsi="Times New Roman" w:eastAsia="黑体"/>
          <w:color w:val="333333"/>
          <w:sz w:val="32"/>
          <w:szCs w:val="32"/>
          <w:shd w:val="clear" w:color="auto" w:fill="FFFFFF"/>
        </w:rPr>
      </w:pPr>
      <w:r>
        <w:rPr>
          <w:rFonts w:ascii="Times New Roman" w:hAnsi="Times New Roman" w:eastAsia="黑体"/>
          <w:color w:val="333333"/>
          <w:sz w:val="32"/>
          <w:szCs w:val="32"/>
          <w:shd w:val="clear" w:color="auto" w:fill="FFFFFF"/>
        </w:rPr>
        <w:t>三、收到和处理政府信息公开申请情况</w:t>
      </w:r>
    </w:p>
    <w:tbl>
      <w:tblPr>
        <w:tblStyle w:val="8"/>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75005E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4789C89C">
            <w:pPr>
              <w:widowControl/>
              <w:jc w:val="left"/>
              <w:rPr>
                <w:rFonts w:ascii="Times New Roman" w:hAnsi="Times New Roman" w:cs="Times New Roman"/>
              </w:rPr>
            </w:pPr>
            <w:r>
              <w:rPr>
                <w:rFonts w:ascii="Times New Roman" w:hAnsi="Times New Roman" w:eastAsia="楷体" w:cs="Times New Roman"/>
                <w:kern w:val="0"/>
                <w:sz w:val="20"/>
                <w:szCs w:val="20"/>
                <w:lang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tcMar>
              <w:left w:w="57" w:type="dxa"/>
              <w:right w:w="57" w:type="dxa"/>
            </w:tcMar>
            <w:vAlign w:val="center"/>
          </w:tcPr>
          <w:p w14:paraId="0BE1EAFB">
            <w:pPr>
              <w:widowControl/>
              <w:jc w:val="center"/>
              <w:rPr>
                <w:rFonts w:ascii="Times New Roman" w:hAnsi="Times New Roman" w:cs="Times New Roman"/>
              </w:rPr>
            </w:pPr>
            <w:r>
              <w:rPr>
                <w:rFonts w:ascii="Times New Roman" w:hAnsi="Times New Roman" w:eastAsia="宋体" w:cs="Times New Roman"/>
                <w:kern w:val="0"/>
                <w:sz w:val="20"/>
                <w:szCs w:val="20"/>
                <w:lang w:bidi="ar"/>
              </w:rPr>
              <w:t>申请人情况</w:t>
            </w:r>
          </w:p>
        </w:tc>
      </w:tr>
      <w:tr w14:paraId="49BD08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A3BDA60">
            <w:pPr>
              <w:rPr>
                <w:rFonts w:ascii="Times New Roman" w:hAnsi="Times New Roman" w:cs="Times New Roman"/>
                <w:sz w:val="24"/>
              </w:rPr>
            </w:pPr>
          </w:p>
        </w:tc>
        <w:tc>
          <w:tcPr>
            <w:tcW w:w="591" w:type="dxa"/>
            <w:vMerge w:val="restart"/>
            <w:tcBorders>
              <w:top w:val="nil"/>
              <w:left w:val="nil"/>
              <w:bottom w:val="single" w:color="auto" w:sz="8" w:space="0"/>
              <w:right w:val="single" w:color="auto" w:sz="8" w:space="0"/>
            </w:tcBorders>
            <w:tcMar>
              <w:left w:w="57" w:type="dxa"/>
              <w:right w:w="57" w:type="dxa"/>
            </w:tcMar>
            <w:vAlign w:val="center"/>
          </w:tcPr>
          <w:p w14:paraId="55356738">
            <w:pPr>
              <w:widowControl/>
              <w:jc w:val="center"/>
              <w:rPr>
                <w:rFonts w:ascii="Times New Roman" w:hAnsi="Times New Roman" w:cs="Times New Roman"/>
              </w:rPr>
            </w:pPr>
            <w:r>
              <w:rPr>
                <w:rFonts w:ascii="Times New Roman" w:hAnsi="Times New Roman" w:eastAsia="宋体" w:cs="Times New Roman"/>
                <w:kern w:val="0"/>
                <w:sz w:val="20"/>
                <w:szCs w:val="20"/>
                <w:lang w:bidi="ar"/>
              </w:rPr>
              <w:t>自然人</w:t>
            </w:r>
          </w:p>
        </w:tc>
        <w:tc>
          <w:tcPr>
            <w:tcW w:w="2957" w:type="dxa"/>
            <w:gridSpan w:val="5"/>
            <w:tcBorders>
              <w:top w:val="single" w:color="auto" w:sz="8" w:space="0"/>
              <w:left w:val="nil"/>
              <w:bottom w:val="single" w:color="auto" w:sz="8" w:space="0"/>
              <w:right w:val="single" w:color="auto" w:sz="8" w:space="0"/>
            </w:tcBorders>
            <w:tcMar>
              <w:left w:w="57" w:type="dxa"/>
              <w:right w:w="57" w:type="dxa"/>
            </w:tcMar>
            <w:vAlign w:val="center"/>
          </w:tcPr>
          <w:p w14:paraId="7CC5C115">
            <w:pPr>
              <w:widowControl/>
              <w:jc w:val="center"/>
              <w:rPr>
                <w:rFonts w:ascii="Times New Roman" w:hAnsi="Times New Roman" w:cs="Times New Roman"/>
              </w:rPr>
            </w:pPr>
            <w:r>
              <w:rPr>
                <w:rFonts w:ascii="Times New Roman" w:hAnsi="Times New Roman" w:eastAsia="宋体" w:cs="Times New Roman"/>
                <w:kern w:val="0"/>
                <w:sz w:val="20"/>
                <w:szCs w:val="20"/>
                <w:lang w:bidi="ar"/>
              </w:rPr>
              <w:t>法人或其他组织</w:t>
            </w:r>
          </w:p>
        </w:tc>
        <w:tc>
          <w:tcPr>
            <w:tcW w:w="592" w:type="dxa"/>
            <w:vMerge w:val="restart"/>
            <w:tcBorders>
              <w:top w:val="single" w:color="auto" w:sz="8" w:space="0"/>
              <w:left w:val="nil"/>
              <w:bottom w:val="outset" w:color="auto" w:sz="8" w:space="0"/>
              <w:right w:val="single" w:color="auto" w:sz="8" w:space="0"/>
            </w:tcBorders>
            <w:tcMar>
              <w:left w:w="57" w:type="dxa"/>
              <w:right w:w="57" w:type="dxa"/>
            </w:tcMar>
            <w:vAlign w:val="center"/>
          </w:tcPr>
          <w:p w14:paraId="498D387E">
            <w:pPr>
              <w:widowControl/>
              <w:jc w:val="center"/>
              <w:rPr>
                <w:rFonts w:ascii="Times New Roman" w:hAnsi="Times New Roman" w:cs="Times New Roman"/>
              </w:rPr>
            </w:pPr>
            <w:r>
              <w:rPr>
                <w:rFonts w:ascii="Times New Roman" w:hAnsi="Times New Roman" w:eastAsia="宋体" w:cs="Times New Roman"/>
                <w:kern w:val="0"/>
                <w:sz w:val="20"/>
                <w:szCs w:val="20"/>
                <w:lang w:bidi="ar"/>
              </w:rPr>
              <w:t>总计</w:t>
            </w:r>
          </w:p>
        </w:tc>
      </w:tr>
      <w:tr w14:paraId="25ACAA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740E1212">
            <w:pPr>
              <w:rPr>
                <w:rFonts w:ascii="Times New Roman" w:hAnsi="Times New Roman" w:cs="Times New Roman"/>
                <w:sz w:val="24"/>
              </w:rPr>
            </w:pPr>
          </w:p>
        </w:tc>
        <w:tc>
          <w:tcPr>
            <w:tcW w:w="591" w:type="dxa"/>
            <w:vMerge w:val="continue"/>
            <w:tcBorders>
              <w:top w:val="nil"/>
              <w:left w:val="nil"/>
              <w:bottom w:val="single" w:color="auto" w:sz="8" w:space="0"/>
              <w:right w:val="single" w:color="auto" w:sz="8" w:space="0"/>
            </w:tcBorders>
            <w:tcMar>
              <w:left w:w="57" w:type="dxa"/>
              <w:right w:w="57" w:type="dxa"/>
            </w:tcMar>
            <w:vAlign w:val="center"/>
          </w:tcPr>
          <w:p w14:paraId="5AD81FAB">
            <w:pPr>
              <w:rPr>
                <w:rFonts w:ascii="Times New Roman" w:hAnsi="Times New Roman" w:cs="Times New Roman"/>
                <w:sz w:val="24"/>
              </w:rPr>
            </w:pPr>
          </w:p>
        </w:tc>
        <w:tc>
          <w:tcPr>
            <w:tcW w:w="591" w:type="dxa"/>
            <w:tcBorders>
              <w:top w:val="nil"/>
              <w:left w:val="nil"/>
              <w:bottom w:val="single" w:color="auto" w:sz="8" w:space="0"/>
              <w:right w:val="single" w:color="auto" w:sz="8" w:space="0"/>
            </w:tcBorders>
            <w:tcMar>
              <w:left w:w="57" w:type="dxa"/>
              <w:right w:w="57" w:type="dxa"/>
            </w:tcMar>
            <w:vAlign w:val="center"/>
          </w:tcPr>
          <w:p w14:paraId="3043C8F3">
            <w:pPr>
              <w:widowControl/>
              <w:jc w:val="center"/>
              <w:rPr>
                <w:rFonts w:ascii="Times New Roman" w:hAnsi="Times New Roman" w:cs="Times New Roman"/>
              </w:rPr>
            </w:pPr>
            <w:r>
              <w:rPr>
                <w:rFonts w:ascii="Times New Roman" w:hAnsi="Times New Roman" w:eastAsia="宋体" w:cs="Times New Roman"/>
                <w:kern w:val="0"/>
                <w:sz w:val="20"/>
                <w:szCs w:val="20"/>
                <w:lang w:bidi="ar"/>
              </w:rPr>
              <w:t>商业</w:t>
            </w:r>
          </w:p>
          <w:p w14:paraId="3380E659">
            <w:pPr>
              <w:widowControl/>
              <w:jc w:val="center"/>
              <w:rPr>
                <w:rFonts w:ascii="Times New Roman" w:hAnsi="Times New Roman" w:cs="Times New Roman"/>
              </w:rPr>
            </w:pPr>
            <w:r>
              <w:rPr>
                <w:rFonts w:ascii="Times New Roman" w:hAnsi="Times New Roman" w:eastAsia="宋体" w:cs="Times New Roman"/>
                <w:kern w:val="0"/>
                <w:sz w:val="20"/>
                <w:szCs w:val="20"/>
                <w:lang w:bidi="ar"/>
              </w:rPr>
              <w:t>企业</w:t>
            </w:r>
          </w:p>
        </w:tc>
        <w:tc>
          <w:tcPr>
            <w:tcW w:w="591" w:type="dxa"/>
            <w:tcBorders>
              <w:top w:val="nil"/>
              <w:left w:val="nil"/>
              <w:bottom w:val="single" w:color="auto" w:sz="8" w:space="0"/>
              <w:right w:val="single" w:color="auto" w:sz="8" w:space="0"/>
            </w:tcBorders>
            <w:tcMar>
              <w:left w:w="57" w:type="dxa"/>
              <w:right w:w="57" w:type="dxa"/>
            </w:tcMar>
            <w:vAlign w:val="center"/>
          </w:tcPr>
          <w:p w14:paraId="7311B687">
            <w:pPr>
              <w:widowControl/>
              <w:jc w:val="center"/>
              <w:rPr>
                <w:rFonts w:ascii="Times New Roman" w:hAnsi="Times New Roman" w:cs="Times New Roman"/>
              </w:rPr>
            </w:pPr>
            <w:r>
              <w:rPr>
                <w:rFonts w:ascii="Times New Roman" w:hAnsi="Times New Roman" w:eastAsia="宋体" w:cs="Times New Roman"/>
                <w:kern w:val="0"/>
                <w:sz w:val="20"/>
                <w:szCs w:val="20"/>
                <w:lang w:bidi="ar"/>
              </w:rPr>
              <w:t>科研</w:t>
            </w:r>
          </w:p>
          <w:p w14:paraId="09943CDA">
            <w:pPr>
              <w:widowControl/>
              <w:jc w:val="center"/>
              <w:rPr>
                <w:rFonts w:ascii="Times New Roman" w:hAnsi="Times New Roman" w:cs="Times New Roman"/>
              </w:rPr>
            </w:pPr>
            <w:r>
              <w:rPr>
                <w:rFonts w:ascii="Times New Roman" w:hAnsi="Times New Roman" w:eastAsia="宋体" w:cs="Times New Roman"/>
                <w:kern w:val="0"/>
                <w:sz w:val="20"/>
                <w:szCs w:val="20"/>
                <w:lang w:bidi="ar"/>
              </w:rPr>
              <w:t>机构</w:t>
            </w:r>
          </w:p>
        </w:tc>
        <w:tc>
          <w:tcPr>
            <w:tcW w:w="591" w:type="dxa"/>
            <w:tcBorders>
              <w:top w:val="single" w:color="auto" w:sz="8" w:space="0"/>
              <w:left w:val="nil"/>
              <w:bottom w:val="single" w:color="auto" w:sz="8" w:space="0"/>
              <w:right w:val="single" w:color="auto" w:sz="8" w:space="0"/>
            </w:tcBorders>
            <w:tcMar>
              <w:left w:w="57" w:type="dxa"/>
              <w:right w:w="57" w:type="dxa"/>
            </w:tcMar>
            <w:vAlign w:val="center"/>
          </w:tcPr>
          <w:p w14:paraId="16EF2893">
            <w:pPr>
              <w:widowControl/>
              <w:jc w:val="center"/>
              <w:rPr>
                <w:rFonts w:ascii="Times New Roman" w:hAnsi="Times New Roman" w:cs="Times New Roman"/>
              </w:rPr>
            </w:pPr>
            <w:r>
              <w:rPr>
                <w:rFonts w:ascii="Times New Roman" w:hAnsi="Times New Roman" w:eastAsia="宋体" w:cs="Times New Roman"/>
                <w:kern w:val="0"/>
                <w:sz w:val="20"/>
                <w:szCs w:val="20"/>
                <w:lang w:bidi="ar"/>
              </w:rPr>
              <w:t>社会公益组织</w:t>
            </w:r>
          </w:p>
        </w:tc>
        <w:tc>
          <w:tcPr>
            <w:tcW w:w="591" w:type="dxa"/>
            <w:tcBorders>
              <w:top w:val="single" w:color="auto" w:sz="8" w:space="0"/>
              <w:left w:val="nil"/>
              <w:bottom w:val="single" w:color="auto" w:sz="8" w:space="0"/>
              <w:right w:val="single" w:color="auto" w:sz="8" w:space="0"/>
            </w:tcBorders>
            <w:tcMar>
              <w:left w:w="57" w:type="dxa"/>
              <w:right w:w="57" w:type="dxa"/>
            </w:tcMar>
            <w:vAlign w:val="center"/>
          </w:tcPr>
          <w:p w14:paraId="6FF45DC6">
            <w:pPr>
              <w:widowControl/>
              <w:jc w:val="center"/>
              <w:rPr>
                <w:rFonts w:ascii="Times New Roman" w:hAnsi="Times New Roman" w:cs="Times New Roman"/>
              </w:rPr>
            </w:pPr>
            <w:r>
              <w:rPr>
                <w:rFonts w:ascii="Times New Roman" w:hAnsi="Times New Roman" w:eastAsia="宋体" w:cs="Times New Roman"/>
                <w:kern w:val="0"/>
                <w:sz w:val="20"/>
                <w:szCs w:val="20"/>
                <w:lang w:bidi="ar"/>
              </w:rPr>
              <w:t>法律服务机构</w:t>
            </w:r>
          </w:p>
        </w:tc>
        <w:tc>
          <w:tcPr>
            <w:tcW w:w="593" w:type="dxa"/>
            <w:tcBorders>
              <w:top w:val="single" w:color="auto" w:sz="8" w:space="0"/>
              <w:left w:val="nil"/>
              <w:bottom w:val="single" w:color="auto" w:sz="8" w:space="0"/>
              <w:right w:val="single" w:color="auto" w:sz="8" w:space="0"/>
            </w:tcBorders>
            <w:tcMar>
              <w:left w:w="57" w:type="dxa"/>
              <w:right w:w="57" w:type="dxa"/>
            </w:tcMar>
            <w:vAlign w:val="center"/>
          </w:tcPr>
          <w:p w14:paraId="0CBE74FC">
            <w:pPr>
              <w:widowControl/>
              <w:jc w:val="center"/>
              <w:rPr>
                <w:rFonts w:ascii="Times New Roman" w:hAnsi="Times New Roman" w:cs="Times New Roman"/>
              </w:rPr>
            </w:pPr>
            <w:r>
              <w:rPr>
                <w:rFonts w:ascii="Times New Roman" w:hAnsi="Times New Roman" w:eastAsia="宋体" w:cs="Times New Roman"/>
                <w:kern w:val="0"/>
                <w:sz w:val="20"/>
                <w:szCs w:val="20"/>
                <w:lang w:bidi="ar"/>
              </w:rPr>
              <w:t>其他</w:t>
            </w:r>
          </w:p>
        </w:tc>
        <w:tc>
          <w:tcPr>
            <w:tcW w:w="592" w:type="dxa"/>
            <w:vMerge w:val="continue"/>
            <w:tcBorders>
              <w:top w:val="single" w:color="auto" w:sz="8" w:space="0"/>
              <w:left w:val="nil"/>
              <w:bottom w:val="outset" w:color="auto" w:sz="8" w:space="0"/>
              <w:right w:val="single" w:color="auto" w:sz="8" w:space="0"/>
            </w:tcBorders>
            <w:tcMar>
              <w:left w:w="57" w:type="dxa"/>
              <w:right w:w="57" w:type="dxa"/>
            </w:tcMar>
            <w:vAlign w:val="center"/>
          </w:tcPr>
          <w:p w14:paraId="019AAB5C">
            <w:pPr>
              <w:rPr>
                <w:rFonts w:ascii="Times New Roman" w:hAnsi="Times New Roman" w:cs="Times New Roman"/>
                <w:sz w:val="24"/>
              </w:rPr>
            </w:pPr>
          </w:p>
        </w:tc>
      </w:tr>
      <w:tr w14:paraId="7CEDED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6C1BDEC0">
            <w:pPr>
              <w:widowControl/>
              <w:jc w:val="left"/>
              <w:rPr>
                <w:rFonts w:ascii="Times New Roman" w:hAnsi="Times New Roman" w:cs="Times New Roman"/>
              </w:rPr>
            </w:pPr>
            <w:r>
              <w:rPr>
                <w:rFonts w:ascii="Times New Roman" w:hAnsi="Times New Roman" w:eastAsia="宋体" w:cs="Times New Roman"/>
                <w:kern w:val="0"/>
                <w:sz w:val="20"/>
                <w:szCs w:val="20"/>
                <w:lang w:bidi="ar"/>
              </w:rPr>
              <w:t>一、本年新收政府信息公开申请数量</w:t>
            </w:r>
          </w:p>
        </w:tc>
        <w:tc>
          <w:tcPr>
            <w:tcW w:w="591" w:type="dxa"/>
            <w:tcBorders>
              <w:top w:val="nil"/>
              <w:left w:val="nil"/>
              <w:bottom w:val="single" w:color="auto" w:sz="8" w:space="0"/>
              <w:right w:val="single" w:color="auto" w:sz="8" w:space="0"/>
            </w:tcBorders>
            <w:tcMar>
              <w:left w:w="57" w:type="dxa"/>
              <w:right w:w="57" w:type="dxa"/>
            </w:tcMar>
            <w:vAlign w:val="center"/>
          </w:tcPr>
          <w:p w14:paraId="043D4A6D">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E5CEB3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DB8C95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50FF99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0E64B6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2DE68CF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00BA0F6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AFA6E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EB9ACD0">
            <w:pPr>
              <w:widowControl/>
              <w:jc w:val="left"/>
              <w:rPr>
                <w:rFonts w:ascii="Times New Roman" w:hAnsi="Times New Roman" w:cs="Times New Roman"/>
              </w:rPr>
            </w:pPr>
            <w:r>
              <w:rPr>
                <w:rFonts w:ascii="Times New Roman" w:hAnsi="Times New Roman" w:eastAsia="宋体" w:cs="Times New Roman"/>
                <w:kern w:val="0"/>
                <w:sz w:val="20"/>
                <w:szCs w:val="20"/>
                <w:lang w:bidi="ar"/>
              </w:rPr>
              <w:t>二、上年结转政府信息公开申请数量</w:t>
            </w:r>
          </w:p>
        </w:tc>
        <w:tc>
          <w:tcPr>
            <w:tcW w:w="591" w:type="dxa"/>
            <w:tcBorders>
              <w:top w:val="nil"/>
              <w:left w:val="nil"/>
              <w:bottom w:val="single" w:color="auto" w:sz="8" w:space="0"/>
              <w:right w:val="single" w:color="auto" w:sz="8" w:space="0"/>
            </w:tcBorders>
            <w:tcMar>
              <w:left w:w="57" w:type="dxa"/>
              <w:right w:w="57" w:type="dxa"/>
            </w:tcMar>
            <w:vAlign w:val="center"/>
          </w:tcPr>
          <w:p w14:paraId="44277A8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993A9F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0ED23C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48367F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037FED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0F3859F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7FE04D1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3E9155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547E78CD">
            <w:pPr>
              <w:widowControl/>
              <w:jc w:val="left"/>
              <w:rPr>
                <w:rFonts w:ascii="Times New Roman" w:hAnsi="Times New Roman" w:cs="Times New Roman"/>
              </w:rPr>
            </w:pPr>
            <w:r>
              <w:rPr>
                <w:rFonts w:ascii="Times New Roman" w:hAnsi="Times New Roman" w:eastAsia="宋体" w:cs="Times New Roman"/>
                <w:kern w:val="0"/>
                <w:sz w:val="20"/>
                <w:szCs w:val="20"/>
                <w:lang w:bidi="ar"/>
              </w:rPr>
              <w:t>三、本年度办理结果</w:t>
            </w:r>
          </w:p>
        </w:tc>
        <w:tc>
          <w:tcPr>
            <w:tcW w:w="3579" w:type="dxa"/>
            <w:gridSpan w:val="2"/>
            <w:tcBorders>
              <w:top w:val="nil"/>
              <w:left w:val="nil"/>
              <w:bottom w:val="single" w:color="auto" w:sz="8" w:space="0"/>
              <w:right w:val="single" w:color="auto" w:sz="8" w:space="0"/>
            </w:tcBorders>
            <w:tcMar>
              <w:left w:w="57" w:type="dxa"/>
              <w:right w:w="57" w:type="dxa"/>
            </w:tcMar>
            <w:vAlign w:val="center"/>
          </w:tcPr>
          <w:p w14:paraId="12ED303C">
            <w:pPr>
              <w:widowControl/>
              <w:jc w:val="left"/>
              <w:rPr>
                <w:rFonts w:ascii="Times New Roman" w:hAnsi="Times New Roman" w:cs="Times New Roman"/>
              </w:rPr>
            </w:pPr>
            <w:r>
              <w:rPr>
                <w:rFonts w:ascii="Times New Roman" w:hAnsi="Times New Roman" w:eastAsia="宋体" w:cs="Times New Roman"/>
                <w:kern w:val="0"/>
                <w:sz w:val="20"/>
                <w:szCs w:val="20"/>
                <w:lang w:bidi="ar"/>
              </w:rPr>
              <w:t>（一）予以公开</w:t>
            </w:r>
          </w:p>
        </w:tc>
        <w:tc>
          <w:tcPr>
            <w:tcW w:w="591" w:type="dxa"/>
            <w:tcBorders>
              <w:top w:val="nil"/>
              <w:left w:val="nil"/>
              <w:bottom w:val="single" w:color="auto" w:sz="8" w:space="0"/>
              <w:right w:val="single" w:color="auto" w:sz="8" w:space="0"/>
            </w:tcBorders>
            <w:tcMar>
              <w:left w:w="57" w:type="dxa"/>
              <w:right w:w="57" w:type="dxa"/>
            </w:tcMar>
            <w:vAlign w:val="center"/>
          </w:tcPr>
          <w:p w14:paraId="3060268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3B2830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25A4F2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D9C803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7F0668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5C9AE04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8" w:space="0"/>
              <w:left w:val="nil"/>
              <w:bottom w:val="single" w:color="auto" w:sz="8" w:space="0"/>
              <w:right w:val="single" w:color="auto" w:sz="8" w:space="0"/>
            </w:tcBorders>
            <w:tcMar>
              <w:left w:w="57" w:type="dxa"/>
              <w:right w:w="57" w:type="dxa"/>
            </w:tcMar>
            <w:vAlign w:val="center"/>
          </w:tcPr>
          <w:p w14:paraId="3C9BC2E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186C0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894E47F">
            <w:pPr>
              <w:rPr>
                <w:rFonts w:ascii="Times New Roman" w:hAnsi="Times New Roman" w:cs="Times New Roman"/>
                <w:sz w:val="24"/>
              </w:rPr>
            </w:pPr>
          </w:p>
        </w:tc>
        <w:tc>
          <w:tcPr>
            <w:tcW w:w="3579" w:type="dxa"/>
            <w:gridSpan w:val="2"/>
            <w:tcBorders>
              <w:top w:val="nil"/>
              <w:left w:val="nil"/>
              <w:bottom w:val="single" w:color="auto" w:sz="8" w:space="0"/>
              <w:right w:val="single" w:color="auto" w:sz="8" w:space="0"/>
            </w:tcBorders>
            <w:tcMar>
              <w:left w:w="57" w:type="dxa"/>
              <w:right w:w="57" w:type="dxa"/>
            </w:tcMar>
            <w:vAlign w:val="center"/>
          </w:tcPr>
          <w:p w14:paraId="330ECC3B">
            <w:pPr>
              <w:widowControl/>
              <w:jc w:val="left"/>
              <w:rPr>
                <w:rFonts w:ascii="Times New Roman" w:hAnsi="Times New Roman" w:cs="Times New Roman"/>
              </w:rPr>
            </w:pPr>
            <w:r>
              <w:rPr>
                <w:rFonts w:ascii="Times New Roman" w:hAnsi="Times New Roman" w:eastAsia="宋体" w:cs="Times New Roman"/>
                <w:kern w:val="0"/>
                <w:sz w:val="20"/>
                <w:szCs w:val="20"/>
                <w:lang w:bidi="ar"/>
              </w:rPr>
              <w:t>（二）部分公开</w:t>
            </w:r>
            <w:r>
              <w:rPr>
                <w:rFonts w:ascii="Times New Roman" w:hAnsi="Times New Roman" w:eastAsia="楷体" w:cs="Times New Roman"/>
                <w:kern w:val="0"/>
                <w:sz w:val="20"/>
                <w:szCs w:val="20"/>
                <w:lang w:bidi="ar"/>
              </w:rPr>
              <w:t>（区分处理的，只计这一情形，不计其他情形）</w:t>
            </w:r>
          </w:p>
        </w:tc>
        <w:tc>
          <w:tcPr>
            <w:tcW w:w="591" w:type="dxa"/>
            <w:tcBorders>
              <w:top w:val="nil"/>
              <w:left w:val="nil"/>
              <w:bottom w:val="single" w:color="auto" w:sz="8" w:space="0"/>
              <w:right w:val="single" w:color="auto" w:sz="8" w:space="0"/>
            </w:tcBorders>
            <w:tcMar>
              <w:left w:w="57" w:type="dxa"/>
              <w:right w:w="57" w:type="dxa"/>
            </w:tcMar>
            <w:vAlign w:val="center"/>
          </w:tcPr>
          <w:p w14:paraId="59BDC31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F1D9B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C3925B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768526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82DA4A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2A12DB8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307CDF1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78D7E5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997D8F1">
            <w:pPr>
              <w:rPr>
                <w:rFonts w:ascii="Times New Roman" w:hAnsi="Times New Roman" w:cs="Times New Roman"/>
                <w:sz w:val="24"/>
              </w:rPr>
            </w:pPr>
          </w:p>
        </w:tc>
        <w:tc>
          <w:tcPr>
            <w:tcW w:w="810" w:type="dxa"/>
            <w:vMerge w:val="restart"/>
            <w:tcBorders>
              <w:top w:val="nil"/>
              <w:left w:val="nil"/>
              <w:bottom w:val="outset" w:color="auto" w:sz="8" w:space="0"/>
              <w:right w:val="single" w:color="auto" w:sz="8" w:space="0"/>
            </w:tcBorders>
            <w:tcMar>
              <w:left w:w="57" w:type="dxa"/>
              <w:right w:w="57" w:type="dxa"/>
            </w:tcMar>
            <w:vAlign w:val="center"/>
          </w:tcPr>
          <w:p w14:paraId="016A7F34">
            <w:pPr>
              <w:widowControl/>
              <w:jc w:val="left"/>
              <w:rPr>
                <w:rFonts w:ascii="Times New Roman" w:hAnsi="Times New Roman" w:cs="Times New Roman"/>
              </w:rPr>
            </w:pPr>
            <w:r>
              <w:rPr>
                <w:rFonts w:ascii="Times New Roman" w:hAnsi="Times New Roman" w:eastAsia="宋体" w:cs="Times New Roman"/>
                <w:kern w:val="0"/>
                <w:sz w:val="20"/>
                <w:szCs w:val="20"/>
                <w:lang w:bidi="ar"/>
              </w:rPr>
              <w:t>（三）不予公开</w:t>
            </w:r>
          </w:p>
        </w:tc>
        <w:tc>
          <w:tcPr>
            <w:tcW w:w="2769" w:type="dxa"/>
            <w:tcBorders>
              <w:top w:val="nil"/>
              <w:left w:val="nil"/>
              <w:bottom w:val="single" w:color="auto" w:sz="8" w:space="0"/>
              <w:right w:val="single" w:color="auto" w:sz="8" w:space="0"/>
            </w:tcBorders>
            <w:tcMar>
              <w:left w:w="57" w:type="dxa"/>
              <w:right w:w="57" w:type="dxa"/>
            </w:tcMar>
          </w:tcPr>
          <w:p w14:paraId="6D9EA5B6">
            <w:pPr>
              <w:widowControl/>
              <w:jc w:val="left"/>
              <w:rPr>
                <w:rFonts w:ascii="Times New Roman" w:hAnsi="Times New Roman" w:cs="Times New Roman"/>
              </w:rPr>
            </w:pPr>
            <w:r>
              <w:rPr>
                <w:rFonts w:ascii="Times New Roman" w:hAnsi="Times New Roman" w:eastAsia="宋体" w:cs="Times New Roman"/>
                <w:kern w:val="0"/>
                <w:sz w:val="20"/>
                <w:szCs w:val="20"/>
                <w:lang w:bidi="ar"/>
              </w:rPr>
              <w:t>1.属于国家秘密</w:t>
            </w:r>
          </w:p>
        </w:tc>
        <w:tc>
          <w:tcPr>
            <w:tcW w:w="591" w:type="dxa"/>
            <w:tcBorders>
              <w:top w:val="nil"/>
              <w:left w:val="nil"/>
              <w:bottom w:val="single" w:color="auto" w:sz="8" w:space="0"/>
              <w:right w:val="single" w:color="auto" w:sz="8" w:space="0"/>
            </w:tcBorders>
            <w:tcMar>
              <w:left w:w="57" w:type="dxa"/>
              <w:right w:w="57" w:type="dxa"/>
            </w:tcMar>
            <w:vAlign w:val="center"/>
          </w:tcPr>
          <w:p w14:paraId="7A481D5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B99AEE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1D6AA5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3523CD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4F632B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6404927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8" w:space="0"/>
              <w:left w:val="nil"/>
              <w:bottom w:val="single" w:color="auto" w:sz="8" w:space="0"/>
              <w:right w:val="single" w:color="auto" w:sz="8" w:space="0"/>
            </w:tcBorders>
            <w:tcMar>
              <w:left w:w="57" w:type="dxa"/>
              <w:right w:w="57" w:type="dxa"/>
            </w:tcMar>
            <w:vAlign w:val="center"/>
          </w:tcPr>
          <w:p w14:paraId="1E74907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2886FF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D8859AB">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42E49FE8">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57D75641">
            <w:pPr>
              <w:widowControl/>
              <w:jc w:val="left"/>
              <w:rPr>
                <w:rFonts w:ascii="Times New Roman" w:hAnsi="Times New Roman" w:cs="Times New Roman"/>
              </w:rPr>
            </w:pPr>
            <w:r>
              <w:rPr>
                <w:rFonts w:ascii="Times New Roman" w:hAnsi="Times New Roman" w:eastAsia="宋体" w:cs="Times New Roman"/>
                <w:kern w:val="0"/>
                <w:sz w:val="20"/>
                <w:szCs w:val="20"/>
                <w:lang w:bidi="ar"/>
              </w:rPr>
              <w:t>2.其他法律行政法规禁止公开</w:t>
            </w:r>
          </w:p>
        </w:tc>
        <w:tc>
          <w:tcPr>
            <w:tcW w:w="591" w:type="dxa"/>
            <w:tcBorders>
              <w:top w:val="nil"/>
              <w:left w:val="nil"/>
              <w:bottom w:val="single" w:color="auto" w:sz="8" w:space="0"/>
              <w:right w:val="single" w:color="auto" w:sz="8" w:space="0"/>
            </w:tcBorders>
            <w:tcMar>
              <w:left w:w="57" w:type="dxa"/>
              <w:right w:w="57" w:type="dxa"/>
            </w:tcMar>
            <w:vAlign w:val="center"/>
          </w:tcPr>
          <w:p w14:paraId="7B14E6A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BE2B71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395EBC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984159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B3C9D3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1F6827A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79C57E3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AA8AC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E107227">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37F826B9">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45F257E8">
            <w:pPr>
              <w:widowControl/>
              <w:jc w:val="left"/>
              <w:rPr>
                <w:rFonts w:ascii="Times New Roman" w:hAnsi="Times New Roman" w:cs="Times New Roman"/>
              </w:rPr>
            </w:pPr>
            <w:r>
              <w:rPr>
                <w:rFonts w:ascii="Times New Roman" w:hAnsi="Times New Roman" w:eastAsia="宋体" w:cs="Times New Roman"/>
                <w:kern w:val="0"/>
                <w:sz w:val="20"/>
                <w:szCs w:val="20"/>
                <w:lang w:bidi="ar"/>
              </w:rPr>
              <w:t>3.危及“三安全一稳定”</w:t>
            </w:r>
          </w:p>
        </w:tc>
        <w:tc>
          <w:tcPr>
            <w:tcW w:w="591" w:type="dxa"/>
            <w:tcBorders>
              <w:top w:val="nil"/>
              <w:left w:val="nil"/>
              <w:bottom w:val="single" w:color="auto" w:sz="8" w:space="0"/>
              <w:right w:val="single" w:color="auto" w:sz="8" w:space="0"/>
            </w:tcBorders>
            <w:tcMar>
              <w:left w:w="57" w:type="dxa"/>
              <w:right w:w="57" w:type="dxa"/>
            </w:tcMar>
            <w:vAlign w:val="center"/>
          </w:tcPr>
          <w:p w14:paraId="7D232AC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92E24A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A40482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1D9A5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DB7246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45FCFFC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15ED462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2CD0EE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3F025B1">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6EE2BEEE">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0BC3A32E">
            <w:pPr>
              <w:widowControl/>
              <w:jc w:val="left"/>
              <w:rPr>
                <w:rFonts w:ascii="Times New Roman" w:hAnsi="Times New Roman" w:cs="Times New Roman"/>
              </w:rPr>
            </w:pPr>
            <w:r>
              <w:rPr>
                <w:rFonts w:ascii="Times New Roman" w:hAnsi="Times New Roman" w:eastAsia="宋体" w:cs="Times New Roman"/>
                <w:kern w:val="0"/>
                <w:sz w:val="20"/>
                <w:szCs w:val="20"/>
                <w:lang w:bidi="ar"/>
              </w:rPr>
              <w:t>4.保护第三方合法权益</w:t>
            </w:r>
          </w:p>
        </w:tc>
        <w:tc>
          <w:tcPr>
            <w:tcW w:w="591" w:type="dxa"/>
            <w:tcBorders>
              <w:top w:val="nil"/>
              <w:left w:val="nil"/>
              <w:bottom w:val="single" w:color="auto" w:sz="8" w:space="0"/>
              <w:right w:val="single" w:color="auto" w:sz="8" w:space="0"/>
            </w:tcBorders>
            <w:tcMar>
              <w:left w:w="57" w:type="dxa"/>
              <w:right w:w="57" w:type="dxa"/>
            </w:tcMar>
            <w:vAlign w:val="center"/>
          </w:tcPr>
          <w:p w14:paraId="6B57D2C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33E2FE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3C0847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BA6910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015FA6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5633305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04D2FA1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138A29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6592837">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0568AFC8">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1C2C516B">
            <w:pPr>
              <w:widowControl/>
              <w:jc w:val="left"/>
              <w:rPr>
                <w:rFonts w:ascii="Times New Roman" w:hAnsi="Times New Roman" w:cs="Times New Roman"/>
              </w:rPr>
            </w:pPr>
            <w:r>
              <w:rPr>
                <w:rFonts w:ascii="Times New Roman" w:hAnsi="Times New Roman" w:eastAsia="宋体" w:cs="Times New Roman"/>
                <w:kern w:val="0"/>
                <w:sz w:val="20"/>
                <w:szCs w:val="20"/>
                <w:lang w:bidi="ar"/>
              </w:rPr>
              <w:t>5.属于三类内部事务信息</w:t>
            </w:r>
          </w:p>
        </w:tc>
        <w:tc>
          <w:tcPr>
            <w:tcW w:w="591" w:type="dxa"/>
            <w:tcBorders>
              <w:top w:val="nil"/>
              <w:left w:val="nil"/>
              <w:bottom w:val="single" w:color="auto" w:sz="8" w:space="0"/>
              <w:right w:val="single" w:color="auto" w:sz="8" w:space="0"/>
            </w:tcBorders>
            <w:tcMar>
              <w:left w:w="57" w:type="dxa"/>
              <w:right w:w="57" w:type="dxa"/>
            </w:tcMar>
            <w:vAlign w:val="center"/>
          </w:tcPr>
          <w:p w14:paraId="6B3C2D7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EA925E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A1F78D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46AAD6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B8C6E6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0574B25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68EAD21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21171A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6BA93B">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5B48088F">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757D44C4">
            <w:pPr>
              <w:widowControl/>
              <w:jc w:val="left"/>
              <w:rPr>
                <w:rFonts w:ascii="Times New Roman" w:hAnsi="Times New Roman" w:cs="Times New Roman"/>
              </w:rPr>
            </w:pPr>
            <w:r>
              <w:rPr>
                <w:rFonts w:ascii="Times New Roman" w:hAnsi="Times New Roman" w:eastAsia="宋体" w:cs="Times New Roman"/>
                <w:kern w:val="0"/>
                <w:sz w:val="20"/>
                <w:szCs w:val="20"/>
                <w:lang w:bidi="ar"/>
              </w:rPr>
              <w:t>6.属于四类过程性信息</w:t>
            </w:r>
          </w:p>
        </w:tc>
        <w:tc>
          <w:tcPr>
            <w:tcW w:w="591" w:type="dxa"/>
            <w:tcBorders>
              <w:top w:val="nil"/>
              <w:left w:val="nil"/>
              <w:bottom w:val="single" w:color="auto" w:sz="8" w:space="0"/>
              <w:right w:val="single" w:color="auto" w:sz="8" w:space="0"/>
            </w:tcBorders>
            <w:tcMar>
              <w:left w:w="57" w:type="dxa"/>
              <w:right w:w="57" w:type="dxa"/>
            </w:tcMar>
            <w:vAlign w:val="center"/>
          </w:tcPr>
          <w:p w14:paraId="61C405D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821060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5F0730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47AFBB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D17593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53C6ACF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07E6174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195FE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E539946">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382BC801">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02A4A356">
            <w:pPr>
              <w:widowControl/>
              <w:jc w:val="left"/>
              <w:rPr>
                <w:rFonts w:ascii="Times New Roman" w:hAnsi="Times New Roman" w:cs="Times New Roman"/>
              </w:rPr>
            </w:pPr>
            <w:r>
              <w:rPr>
                <w:rFonts w:ascii="Times New Roman" w:hAnsi="Times New Roman" w:eastAsia="宋体" w:cs="Times New Roman"/>
                <w:kern w:val="0"/>
                <w:sz w:val="20"/>
                <w:szCs w:val="20"/>
                <w:lang w:bidi="ar"/>
              </w:rPr>
              <w:t>7.属于行政执法案卷</w:t>
            </w:r>
          </w:p>
        </w:tc>
        <w:tc>
          <w:tcPr>
            <w:tcW w:w="591" w:type="dxa"/>
            <w:tcBorders>
              <w:top w:val="nil"/>
              <w:left w:val="nil"/>
              <w:bottom w:val="single" w:color="auto" w:sz="8" w:space="0"/>
              <w:right w:val="single" w:color="auto" w:sz="8" w:space="0"/>
            </w:tcBorders>
            <w:tcMar>
              <w:left w:w="57" w:type="dxa"/>
              <w:right w:w="57" w:type="dxa"/>
            </w:tcMar>
            <w:vAlign w:val="center"/>
          </w:tcPr>
          <w:p w14:paraId="011ACCF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C361EC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348DE6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D8A1D1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689FFB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4724414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54E968A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2059D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EB6A841">
            <w:pPr>
              <w:rPr>
                <w:rFonts w:ascii="Times New Roman" w:hAnsi="Times New Roman" w:cs="Times New Roman"/>
                <w:sz w:val="24"/>
              </w:rPr>
            </w:pPr>
          </w:p>
        </w:tc>
        <w:tc>
          <w:tcPr>
            <w:tcW w:w="810" w:type="dxa"/>
            <w:vMerge w:val="continue"/>
            <w:tcBorders>
              <w:top w:val="nil"/>
              <w:left w:val="nil"/>
              <w:bottom w:val="single" w:color="auto" w:sz="4" w:space="0"/>
              <w:right w:val="single" w:color="auto" w:sz="8" w:space="0"/>
            </w:tcBorders>
            <w:tcMar>
              <w:left w:w="57" w:type="dxa"/>
              <w:right w:w="57" w:type="dxa"/>
            </w:tcMar>
            <w:vAlign w:val="center"/>
          </w:tcPr>
          <w:p w14:paraId="106173D9">
            <w:pPr>
              <w:rPr>
                <w:rFonts w:ascii="Times New Roman" w:hAnsi="Times New Roman" w:cs="Times New Roman"/>
                <w:sz w:val="24"/>
              </w:rPr>
            </w:pPr>
          </w:p>
        </w:tc>
        <w:tc>
          <w:tcPr>
            <w:tcW w:w="2769" w:type="dxa"/>
            <w:tcBorders>
              <w:top w:val="nil"/>
              <w:left w:val="nil"/>
              <w:bottom w:val="single" w:color="auto" w:sz="4" w:space="0"/>
              <w:right w:val="single" w:color="auto" w:sz="8" w:space="0"/>
            </w:tcBorders>
            <w:tcMar>
              <w:left w:w="57" w:type="dxa"/>
              <w:right w:w="57" w:type="dxa"/>
            </w:tcMar>
          </w:tcPr>
          <w:p w14:paraId="05A60216">
            <w:pPr>
              <w:widowControl/>
              <w:jc w:val="left"/>
              <w:rPr>
                <w:rFonts w:ascii="Times New Roman" w:hAnsi="Times New Roman" w:cs="Times New Roman"/>
              </w:rPr>
            </w:pPr>
            <w:r>
              <w:rPr>
                <w:rFonts w:ascii="Times New Roman" w:hAnsi="Times New Roman" w:eastAsia="宋体" w:cs="Times New Roman"/>
                <w:kern w:val="0"/>
                <w:sz w:val="20"/>
                <w:szCs w:val="20"/>
                <w:lang w:bidi="ar"/>
              </w:rPr>
              <w:t>8.属于行政查询事项</w:t>
            </w:r>
          </w:p>
        </w:tc>
        <w:tc>
          <w:tcPr>
            <w:tcW w:w="591" w:type="dxa"/>
            <w:tcBorders>
              <w:top w:val="nil"/>
              <w:left w:val="nil"/>
              <w:bottom w:val="single" w:color="auto" w:sz="4" w:space="0"/>
              <w:right w:val="single" w:color="auto" w:sz="8" w:space="0"/>
            </w:tcBorders>
            <w:tcMar>
              <w:left w:w="57" w:type="dxa"/>
              <w:right w:w="57" w:type="dxa"/>
            </w:tcMar>
            <w:vAlign w:val="center"/>
          </w:tcPr>
          <w:p w14:paraId="4CAAA69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14:paraId="49C5A2D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14:paraId="3E0587A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14:paraId="7531A7D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14:paraId="0D0100A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4" w:space="0"/>
              <w:right w:val="single" w:color="auto" w:sz="8" w:space="0"/>
            </w:tcBorders>
            <w:tcMar>
              <w:left w:w="57" w:type="dxa"/>
              <w:right w:w="57" w:type="dxa"/>
            </w:tcMar>
            <w:vAlign w:val="center"/>
          </w:tcPr>
          <w:p w14:paraId="7A83ECB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4" w:space="0"/>
              <w:right w:val="single" w:color="auto" w:sz="8" w:space="0"/>
            </w:tcBorders>
            <w:tcMar>
              <w:left w:w="57" w:type="dxa"/>
              <w:right w:w="57" w:type="dxa"/>
            </w:tcMar>
            <w:vAlign w:val="center"/>
          </w:tcPr>
          <w:p w14:paraId="321E5DE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19659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4" w:space="0"/>
            </w:tcBorders>
            <w:tcMar>
              <w:left w:w="57" w:type="dxa"/>
              <w:right w:w="57" w:type="dxa"/>
            </w:tcMar>
            <w:vAlign w:val="center"/>
          </w:tcPr>
          <w:p w14:paraId="3C7E83C9">
            <w:pPr>
              <w:rPr>
                <w:rFonts w:ascii="Times New Roman" w:hAnsi="Times New Roman" w:cs="Times New Roman"/>
                <w:sz w:val="24"/>
              </w:rPr>
            </w:pPr>
          </w:p>
        </w:tc>
        <w:tc>
          <w:tcPr>
            <w:tcW w:w="810"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C92879D">
            <w:pPr>
              <w:widowControl/>
              <w:jc w:val="left"/>
              <w:rPr>
                <w:rFonts w:ascii="Times New Roman" w:hAnsi="Times New Roman" w:cs="Times New Roman"/>
              </w:rPr>
            </w:pPr>
            <w:r>
              <w:rPr>
                <w:rFonts w:ascii="Times New Roman" w:hAnsi="Times New Roman" w:eastAsia="宋体" w:cs="Times New Roman"/>
                <w:kern w:val="0"/>
                <w:sz w:val="20"/>
                <w:szCs w:val="20"/>
                <w:lang w:bidi="ar"/>
              </w:rPr>
              <w:t>（四）无法提供</w:t>
            </w: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tcPr>
          <w:p w14:paraId="7C698AD1">
            <w:pPr>
              <w:widowControl/>
              <w:jc w:val="left"/>
              <w:rPr>
                <w:rFonts w:ascii="Times New Roman" w:hAnsi="Times New Roman" w:cs="Times New Roman"/>
              </w:rPr>
            </w:pPr>
            <w:r>
              <w:rPr>
                <w:rFonts w:ascii="Times New Roman" w:hAnsi="Times New Roman" w:eastAsia="宋体" w:cs="Times New Roman"/>
                <w:kern w:val="0"/>
                <w:sz w:val="20"/>
                <w:szCs w:val="20"/>
                <w:lang w:bidi="ar"/>
              </w:rPr>
              <w:t>1.本机关不掌握相关政府信息</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7FF6CA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F774A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C439AA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8913DB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F9FDD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8BB87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313A4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7D78B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4" w:space="0"/>
            </w:tcBorders>
            <w:tcMar>
              <w:left w:w="57" w:type="dxa"/>
              <w:right w:w="57" w:type="dxa"/>
            </w:tcMar>
            <w:vAlign w:val="center"/>
          </w:tcPr>
          <w:p w14:paraId="10024E7A">
            <w:pPr>
              <w:rPr>
                <w:rFonts w:ascii="Times New Roman" w:hAnsi="Times New Roman" w:cs="Times New Roman"/>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8953F8">
            <w:pPr>
              <w:rPr>
                <w:rFonts w:ascii="Times New Roman" w:hAnsi="Times New Roman" w:cs="Times New Roman"/>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tcPr>
          <w:p w14:paraId="06672D09">
            <w:pPr>
              <w:widowControl/>
              <w:jc w:val="left"/>
              <w:rPr>
                <w:rFonts w:ascii="Times New Roman" w:hAnsi="Times New Roman" w:cs="Times New Roman"/>
              </w:rPr>
            </w:pPr>
            <w:r>
              <w:rPr>
                <w:rFonts w:ascii="Times New Roman" w:hAnsi="Times New Roman" w:eastAsia="宋体" w:cs="Times New Roman"/>
                <w:kern w:val="0"/>
                <w:sz w:val="20"/>
                <w:szCs w:val="20"/>
                <w:lang w:bidi="ar"/>
              </w:rPr>
              <w:t>2.没有现成信息需要另行制作</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3760E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A8C4A7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118FF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CC132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0789A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3884E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E4FD62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02050A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4" w:space="0"/>
            </w:tcBorders>
            <w:tcMar>
              <w:left w:w="57" w:type="dxa"/>
              <w:right w:w="57" w:type="dxa"/>
            </w:tcMar>
            <w:vAlign w:val="center"/>
          </w:tcPr>
          <w:p w14:paraId="330FBEF0">
            <w:pPr>
              <w:rPr>
                <w:rFonts w:ascii="Times New Roman" w:hAnsi="Times New Roman" w:cs="Times New Roman"/>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E1CC650">
            <w:pPr>
              <w:rPr>
                <w:rFonts w:ascii="Times New Roman" w:hAnsi="Times New Roman" w:cs="Times New Roman"/>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tcPr>
          <w:p w14:paraId="30F0F60E">
            <w:pPr>
              <w:widowControl/>
              <w:jc w:val="left"/>
              <w:rPr>
                <w:rFonts w:ascii="Times New Roman" w:hAnsi="Times New Roman" w:cs="Times New Roman"/>
              </w:rPr>
            </w:pPr>
            <w:r>
              <w:rPr>
                <w:rFonts w:ascii="Times New Roman" w:hAnsi="Times New Roman" w:eastAsia="宋体" w:cs="Times New Roman"/>
                <w:kern w:val="0"/>
                <w:sz w:val="20"/>
                <w:szCs w:val="20"/>
                <w:lang w:bidi="ar"/>
              </w:rPr>
              <w:t>3.补正后申请内容仍不明确</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71C4ED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408E96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EE7B0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BF2328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58A2CD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E79B0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0337B1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7E33F2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65D7F24">
            <w:pPr>
              <w:rPr>
                <w:rFonts w:ascii="Times New Roman" w:hAnsi="Times New Roman" w:cs="Times New Roman"/>
                <w:sz w:val="24"/>
              </w:rPr>
            </w:pPr>
          </w:p>
        </w:tc>
        <w:tc>
          <w:tcPr>
            <w:tcW w:w="810" w:type="dxa"/>
            <w:vMerge w:val="restart"/>
            <w:tcBorders>
              <w:top w:val="single" w:color="auto" w:sz="4" w:space="0"/>
              <w:left w:val="nil"/>
              <w:bottom w:val="outset" w:color="auto" w:sz="8" w:space="0"/>
              <w:right w:val="single" w:color="auto" w:sz="8" w:space="0"/>
            </w:tcBorders>
            <w:tcMar>
              <w:left w:w="57" w:type="dxa"/>
              <w:right w:w="57" w:type="dxa"/>
            </w:tcMar>
            <w:vAlign w:val="center"/>
          </w:tcPr>
          <w:p w14:paraId="1BE33318">
            <w:pPr>
              <w:widowControl/>
              <w:jc w:val="left"/>
              <w:rPr>
                <w:rFonts w:ascii="Times New Roman" w:hAnsi="Times New Roman" w:cs="Times New Roman"/>
              </w:rPr>
            </w:pPr>
            <w:r>
              <w:rPr>
                <w:rFonts w:ascii="Times New Roman" w:hAnsi="Times New Roman" w:eastAsia="宋体" w:cs="Times New Roman"/>
                <w:kern w:val="0"/>
                <w:sz w:val="20"/>
                <w:szCs w:val="20"/>
                <w:lang w:bidi="ar"/>
              </w:rPr>
              <w:t>（五）不予处理</w:t>
            </w:r>
          </w:p>
        </w:tc>
        <w:tc>
          <w:tcPr>
            <w:tcW w:w="2769" w:type="dxa"/>
            <w:tcBorders>
              <w:top w:val="single" w:color="auto" w:sz="4" w:space="0"/>
              <w:left w:val="nil"/>
              <w:bottom w:val="single" w:color="auto" w:sz="8" w:space="0"/>
              <w:right w:val="single" w:color="auto" w:sz="8" w:space="0"/>
            </w:tcBorders>
            <w:tcMar>
              <w:left w:w="57" w:type="dxa"/>
              <w:right w:w="57" w:type="dxa"/>
            </w:tcMar>
          </w:tcPr>
          <w:p w14:paraId="762BCDDF">
            <w:pPr>
              <w:widowControl/>
              <w:jc w:val="left"/>
              <w:rPr>
                <w:rFonts w:ascii="Times New Roman" w:hAnsi="Times New Roman" w:cs="Times New Roman"/>
              </w:rPr>
            </w:pPr>
            <w:r>
              <w:rPr>
                <w:rFonts w:ascii="Times New Roman" w:hAnsi="Times New Roman" w:eastAsia="宋体" w:cs="Times New Roman"/>
                <w:kern w:val="0"/>
                <w:sz w:val="20"/>
                <w:szCs w:val="20"/>
                <w:lang w:bidi="ar"/>
              </w:rPr>
              <w:t>1.信访举报投诉类申请</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0985E00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6FEFEAF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62160D0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02FF875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14:paraId="1FF8B3E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single" w:color="auto" w:sz="4" w:space="0"/>
              <w:left w:val="nil"/>
              <w:bottom w:val="single" w:color="auto" w:sz="8" w:space="0"/>
              <w:right w:val="single" w:color="auto" w:sz="8" w:space="0"/>
            </w:tcBorders>
            <w:tcMar>
              <w:left w:w="57" w:type="dxa"/>
              <w:right w:w="57" w:type="dxa"/>
            </w:tcMar>
            <w:vAlign w:val="center"/>
          </w:tcPr>
          <w:p w14:paraId="2319A85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single" w:color="auto" w:sz="4" w:space="0"/>
              <w:left w:val="nil"/>
              <w:bottom w:val="single" w:color="auto" w:sz="8" w:space="0"/>
              <w:right w:val="single" w:color="auto" w:sz="8" w:space="0"/>
            </w:tcBorders>
            <w:tcMar>
              <w:left w:w="57" w:type="dxa"/>
              <w:right w:w="57" w:type="dxa"/>
            </w:tcMar>
            <w:vAlign w:val="center"/>
          </w:tcPr>
          <w:p w14:paraId="2A5AF34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6595C6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9E79D82">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35924557">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477AEE86">
            <w:pPr>
              <w:widowControl/>
              <w:jc w:val="left"/>
              <w:rPr>
                <w:rFonts w:ascii="Times New Roman" w:hAnsi="Times New Roman" w:cs="Times New Roman"/>
              </w:rPr>
            </w:pPr>
            <w:r>
              <w:rPr>
                <w:rFonts w:ascii="Times New Roman" w:hAnsi="Times New Roman" w:eastAsia="宋体" w:cs="Times New Roman"/>
                <w:kern w:val="0"/>
                <w:sz w:val="20"/>
                <w:szCs w:val="20"/>
                <w:lang w:bidi="ar"/>
              </w:rPr>
              <w:t>2.重复申请</w:t>
            </w:r>
          </w:p>
        </w:tc>
        <w:tc>
          <w:tcPr>
            <w:tcW w:w="591" w:type="dxa"/>
            <w:tcBorders>
              <w:top w:val="nil"/>
              <w:left w:val="nil"/>
              <w:bottom w:val="single" w:color="auto" w:sz="8" w:space="0"/>
              <w:right w:val="single" w:color="auto" w:sz="8" w:space="0"/>
            </w:tcBorders>
            <w:tcMar>
              <w:left w:w="57" w:type="dxa"/>
              <w:right w:w="57" w:type="dxa"/>
            </w:tcMar>
            <w:vAlign w:val="center"/>
          </w:tcPr>
          <w:p w14:paraId="521D754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F29F70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7F651D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AD479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5A154F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69443B2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799F0BD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CF60E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DDD46C8">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6CF14C1B">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0001A5C4">
            <w:pPr>
              <w:widowControl/>
              <w:jc w:val="left"/>
              <w:rPr>
                <w:rFonts w:ascii="Times New Roman" w:hAnsi="Times New Roman" w:cs="Times New Roman"/>
              </w:rPr>
            </w:pPr>
            <w:r>
              <w:rPr>
                <w:rFonts w:ascii="Times New Roman" w:hAnsi="Times New Roman" w:eastAsia="宋体" w:cs="Times New Roman"/>
                <w:kern w:val="0"/>
                <w:sz w:val="20"/>
                <w:szCs w:val="20"/>
                <w:lang w:bidi="ar"/>
              </w:rPr>
              <w:t>3.要求提供公开出版物</w:t>
            </w:r>
          </w:p>
        </w:tc>
        <w:tc>
          <w:tcPr>
            <w:tcW w:w="591" w:type="dxa"/>
            <w:tcBorders>
              <w:top w:val="nil"/>
              <w:left w:val="nil"/>
              <w:bottom w:val="single" w:color="auto" w:sz="8" w:space="0"/>
              <w:right w:val="single" w:color="auto" w:sz="8" w:space="0"/>
            </w:tcBorders>
            <w:tcMar>
              <w:left w:w="57" w:type="dxa"/>
              <w:right w:w="57" w:type="dxa"/>
            </w:tcMar>
            <w:vAlign w:val="center"/>
          </w:tcPr>
          <w:p w14:paraId="5A4110B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D2B256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B45ED5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4AE895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6D839B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702B945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52E6026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E958B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6A9F240">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20BF6222">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tcPr>
          <w:p w14:paraId="692486DE">
            <w:pPr>
              <w:widowControl/>
              <w:jc w:val="left"/>
              <w:rPr>
                <w:rFonts w:ascii="Times New Roman" w:hAnsi="Times New Roman" w:cs="Times New Roman"/>
              </w:rPr>
            </w:pPr>
            <w:r>
              <w:rPr>
                <w:rFonts w:ascii="Times New Roman" w:hAnsi="Times New Roman" w:eastAsia="宋体" w:cs="Times New Roman"/>
                <w:kern w:val="0"/>
                <w:sz w:val="20"/>
                <w:szCs w:val="20"/>
                <w:lang w:bidi="ar"/>
              </w:rPr>
              <w:t>4.无正当理由大量反复申请</w:t>
            </w:r>
          </w:p>
        </w:tc>
        <w:tc>
          <w:tcPr>
            <w:tcW w:w="591" w:type="dxa"/>
            <w:tcBorders>
              <w:top w:val="nil"/>
              <w:left w:val="nil"/>
              <w:bottom w:val="single" w:color="auto" w:sz="8" w:space="0"/>
              <w:right w:val="single" w:color="auto" w:sz="8" w:space="0"/>
            </w:tcBorders>
            <w:tcMar>
              <w:left w:w="57" w:type="dxa"/>
              <w:right w:w="57" w:type="dxa"/>
            </w:tcMar>
            <w:vAlign w:val="center"/>
          </w:tcPr>
          <w:p w14:paraId="3956EEA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70E6E1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A3022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B96BE8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31172C0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61003E1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6159D6E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066B6D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A192AD9">
            <w:pPr>
              <w:rPr>
                <w:rFonts w:ascii="Times New Roman" w:hAnsi="Times New Roman" w:cs="Times New Roman"/>
                <w:sz w:val="24"/>
              </w:rPr>
            </w:pPr>
          </w:p>
        </w:tc>
        <w:tc>
          <w:tcPr>
            <w:tcW w:w="810" w:type="dxa"/>
            <w:vMerge w:val="continue"/>
            <w:tcBorders>
              <w:top w:val="nil"/>
              <w:left w:val="nil"/>
              <w:bottom w:val="outset" w:color="auto" w:sz="8" w:space="0"/>
              <w:right w:val="single" w:color="auto" w:sz="8" w:space="0"/>
            </w:tcBorders>
            <w:tcMar>
              <w:left w:w="57" w:type="dxa"/>
              <w:right w:w="57" w:type="dxa"/>
            </w:tcMar>
            <w:vAlign w:val="center"/>
          </w:tcPr>
          <w:p w14:paraId="128D9E80">
            <w:pPr>
              <w:rPr>
                <w:rFonts w:ascii="Times New Roman" w:hAnsi="Times New Roman" w:cs="Times New Roman"/>
                <w:sz w:val="24"/>
              </w:rPr>
            </w:pPr>
          </w:p>
        </w:tc>
        <w:tc>
          <w:tcPr>
            <w:tcW w:w="2769" w:type="dxa"/>
            <w:tcBorders>
              <w:top w:val="nil"/>
              <w:left w:val="nil"/>
              <w:bottom w:val="outset" w:color="auto" w:sz="8" w:space="0"/>
              <w:right w:val="single" w:color="auto" w:sz="8" w:space="0"/>
            </w:tcBorders>
            <w:tcMar>
              <w:left w:w="57" w:type="dxa"/>
              <w:right w:w="57" w:type="dxa"/>
            </w:tcMar>
            <w:vAlign w:val="center"/>
          </w:tcPr>
          <w:p w14:paraId="5E065BE8">
            <w:pPr>
              <w:widowControl/>
              <w:rPr>
                <w:rFonts w:ascii="Times New Roman" w:hAnsi="Times New Roman" w:cs="Times New Roman"/>
              </w:rPr>
            </w:pPr>
            <w:r>
              <w:rPr>
                <w:rFonts w:ascii="Times New Roman" w:hAnsi="Times New Roman" w:eastAsia="宋体" w:cs="Times New Roman"/>
                <w:kern w:val="0"/>
                <w:sz w:val="20"/>
                <w:szCs w:val="20"/>
                <w:lang w:bidi="ar"/>
              </w:rPr>
              <w:t>5.要求行政机关确认或重新出具已获取信息</w:t>
            </w:r>
          </w:p>
        </w:tc>
        <w:tc>
          <w:tcPr>
            <w:tcW w:w="591" w:type="dxa"/>
            <w:tcBorders>
              <w:top w:val="nil"/>
              <w:left w:val="nil"/>
              <w:bottom w:val="outset" w:color="auto" w:sz="8" w:space="0"/>
              <w:right w:val="single" w:color="auto" w:sz="8" w:space="0"/>
            </w:tcBorders>
            <w:tcMar>
              <w:left w:w="57" w:type="dxa"/>
              <w:right w:w="57" w:type="dxa"/>
            </w:tcMar>
            <w:vAlign w:val="center"/>
          </w:tcPr>
          <w:p w14:paraId="3500B11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14:paraId="7696A91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14:paraId="0CE1496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14:paraId="39CA701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outset" w:color="auto" w:sz="8" w:space="0"/>
              <w:right w:val="single" w:color="auto" w:sz="8" w:space="0"/>
            </w:tcBorders>
            <w:tcMar>
              <w:left w:w="57" w:type="dxa"/>
              <w:right w:w="57" w:type="dxa"/>
            </w:tcMar>
            <w:vAlign w:val="center"/>
          </w:tcPr>
          <w:p w14:paraId="263B744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outset" w:color="auto" w:sz="8" w:space="0"/>
              <w:right w:val="single" w:color="auto" w:sz="8" w:space="0"/>
            </w:tcBorders>
            <w:tcMar>
              <w:left w:w="57" w:type="dxa"/>
              <w:right w:w="57" w:type="dxa"/>
            </w:tcMar>
            <w:vAlign w:val="center"/>
          </w:tcPr>
          <w:p w14:paraId="51E9AC8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outset" w:color="auto" w:sz="8" w:space="0"/>
              <w:right w:val="single" w:color="auto" w:sz="8" w:space="0"/>
            </w:tcBorders>
            <w:tcMar>
              <w:left w:w="57" w:type="dxa"/>
              <w:right w:w="57" w:type="dxa"/>
            </w:tcMar>
            <w:vAlign w:val="center"/>
          </w:tcPr>
          <w:p w14:paraId="0C8C88D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7F738E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258E604">
            <w:pPr>
              <w:rPr>
                <w:rFonts w:ascii="Times New Roman" w:hAnsi="Times New Roman" w:cs="Times New Roman"/>
                <w:sz w:val="24"/>
              </w:rPr>
            </w:pPr>
          </w:p>
        </w:tc>
        <w:tc>
          <w:tcPr>
            <w:tcW w:w="810"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077D1A52">
            <w:pPr>
              <w:widowControl/>
              <w:jc w:val="left"/>
              <w:rPr>
                <w:rFonts w:ascii="Times New Roman" w:hAnsi="Times New Roman" w:cs="Times New Roman"/>
              </w:rPr>
            </w:pPr>
            <w:r>
              <w:rPr>
                <w:rFonts w:ascii="Times New Roman" w:hAnsi="Times New Roman" w:eastAsia="宋体" w:cs="Times New Roman"/>
                <w:kern w:val="0"/>
                <w:sz w:val="20"/>
                <w:szCs w:val="20"/>
                <w:lang w:bidi="ar"/>
              </w:rPr>
              <w:t>（六）其他处理</w:t>
            </w:r>
          </w:p>
        </w:tc>
        <w:tc>
          <w:tcPr>
            <w:tcW w:w="2769" w:type="dxa"/>
            <w:tcBorders>
              <w:top w:val="nil"/>
              <w:left w:val="nil"/>
              <w:bottom w:val="single" w:color="auto" w:sz="8" w:space="0"/>
              <w:right w:val="single" w:color="auto" w:sz="8" w:space="0"/>
            </w:tcBorders>
            <w:tcMar>
              <w:left w:w="57" w:type="dxa"/>
              <w:right w:w="57" w:type="dxa"/>
            </w:tcMar>
            <w:vAlign w:val="center"/>
          </w:tcPr>
          <w:p w14:paraId="656780B9">
            <w:pPr>
              <w:widowControl/>
              <w:rPr>
                <w:rFonts w:ascii="Times New Roman" w:hAnsi="Times New Roman" w:cs="Times New Roman"/>
              </w:rPr>
            </w:pPr>
            <w:r>
              <w:rPr>
                <w:rFonts w:ascii="Times New Roman" w:hAnsi="Times New Roman" w:eastAsia="宋体" w:cs="Times New Roman"/>
                <w:kern w:val="0"/>
                <w:sz w:val="20"/>
                <w:szCs w:val="20"/>
                <w:lang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tcMar>
              <w:left w:w="57" w:type="dxa"/>
              <w:right w:w="57" w:type="dxa"/>
            </w:tcMar>
            <w:vAlign w:val="center"/>
          </w:tcPr>
          <w:p w14:paraId="4EC2173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7027DC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5A0872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A6E863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D1ECC2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218B09F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6E098D0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567C03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F3BDDE5">
            <w:pPr>
              <w:rPr>
                <w:rFonts w:ascii="Times New Roman" w:hAnsi="Times New Roman" w:cs="Times New Roman"/>
                <w:sz w:val="24"/>
              </w:rPr>
            </w:pPr>
          </w:p>
        </w:tc>
        <w:tc>
          <w:tcPr>
            <w:tcW w:w="810"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06BC638D">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vAlign w:val="center"/>
          </w:tcPr>
          <w:p w14:paraId="0443C509">
            <w:pPr>
              <w:widowControl/>
              <w:rPr>
                <w:rFonts w:ascii="Times New Roman" w:hAnsi="Times New Roman" w:cs="Times New Roman"/>
              </w:rPr>
            </w:pPr>
            <w:r>
              <w:rPr>
                <w:rFonts w:ascii="Times New Roman" w:hAnsi="Times New Roman" w:eastAsia="宋体" w:cs="Times New Roman"/>
                <w:kern w:val="0"/>
                <w:sz w:val="20"/>
                <w:szCs w:val="20"/>
                <w:lang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tcMar>
              <w:left w:w="57" w:type="dxa"/>
              <w:right w:w="57" w:type="dxa"/>
            </w:tcMar>
            <w:vAlign w:val="center"/>
          </w:tcPr>
          <w:p w14:paraId="36EA8F36">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F84D32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5A52C0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2C97C0F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4D3BB0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59BB8EF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0B6901F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3D4A1C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EB1FCC4">
            <w:pPr>
              <w:rPr>
                <w:rFonts w:ascii="Times New Roman" w:hAnsi="Times New Roman" w:cs="Times New Roman"/>
                <w:sz w:val="24"/>
              </w:rPr>
            </w:pPr>
          </w:p>
        </w:tc>
        <w:tc>
          <w:tcPr>
            <w:tcW w:w="810"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3D3ACEB5">
            <w:pPr>
              <w:rPr>
                <w:rFonts w:ascii="Times New Roman" w:hAnsi="Times New Roman" w:cs="Times New Roman"/>
                <w:sz w:val="24"/>
              </w:rPr>
            </w:pPr>
          </w:p>
        </w:tc>
        <w:tc>
          <w:tcPr>
            <w:tcW w:w="2769" w:type="dxa"/>
            <w:tcBorders>
              <w:top w:val="nil"/>
              <w:left w:val="nil"/>
              <w:bottom w:val="single" w:color="auto" w:sz="8" w:space="0"/>
              <w:right w:val="single" w:color="auto" w:sz="8" w:space="0"/>
            </w:tcBorders>
            <w:tcMar>
              <w:left w:w="57" w:type="dxa"/>
              <w:right w:w="57" w:type="dxa"/>
            </w:tcMar>
            <w:vAlign w:val="center"/>
          </w:tcPr>
          <w:p w14:paraId="1418D7FD">
            <w:pPr>
              <w:widowControl/>
              <w:jc w:val="left"/>
              <w:rPr>
                <w:rFonts w:ascii="Times New Roman" w:hAnsi="Times New Roman" w:cs="Times New Roman"/>
              </w:rPr>
            </w:pPr>
            <w:r>
              <w:rPr>
                <w:rFonts w:ascii="Times New Roman" w:hAnsi="Times New Roman" w:eastAsia="宋体" w:cs="Times New Roman"/>
                <w:kern w:val="0"/>
                <w:sz w:val="20"/>
                <w:szCs w:val="20"/>
                <w:lang w:bidi="ar"/>
              </w:rPr>
              <w:t>3.其他</w:t>
            </w:r>
          </w:p>
        </w:tc>
        <w:tc>
          <w:tcPr>
            <w:tcW w:w="591" w:type="dxa"/>
            <w:tcBorders>
              <w:top w:val="nil"/>
              <w:left w:val="nil"/>
              <w:bottom w:val="single" w:color="auto" w:sz="8" w:space="0"/>
              <w:right w:val="single" w:color="auto" w:sz="8" w:space="0"/>
            </w:tcBorders>
            <w:tcMar>
              <w:left w:w="57" w:type="dxa"/>
              <w:right w:w="57" w:type="dxa"/>
            </w:tcMar>
            <w:vAlign w:val="center"/>
          </w:tcPr>
          <w:p w14:paraId="1822BD6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7C916F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883204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697A2B1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ED50A4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1DF6DF6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22E4C44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2AFA8F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F2F6724">
            <w:pPr>
              <w:rPr>
                <w:rFonts w:ascii="Times New Roman" w:hAnsi="Times New Roman" w:cs="Times New Roman"/>
                <w:sz w:val="24"/>
              </w:rPr>
            </w:pPr>
          </w:p>
        </w:tc>
        <w:tc>
          <w:tcPr>
            <w:tcW w:w="3579" w:type="dxa"/>
            <w:gridSpan w:val="2"/>
            <w:tcBorders>
              <w:top w:val="nil"/>
              <w:left w:val="nil"/>
              <w:bottom w:val="single" w:color="auto" w:sz="8" w:space="0"/>
              <w:right w:val="single" w:color="auto" w:sz="8" w:space="0"/>
            </w:tcBorders>
            <w:tcMar>
              <w:left w:w="57" w:type="dxa"/>
              <w:right w:w="57" w:type="dxa"/>
            </w:tcMar>
            <w:vAlign w:val="center"/>
          </w:tcPr>
          <w:p w14:paraId="3894A8DE">
            <w:pPr>
              <w:widowControl/>
              <w:jc w:val="left"/>
              <w:rPr>
                <w:rFonts w:ascii="Times New Roman" w:hAnsi="Times New Roman" w:cs="Times New Roman"/>
              </w:rPr>
            </w:pPr>
            <w:r>
              <w:rPr>
                <w:rFonts w:ascii="Times New Roman" w:hAnsi="Times New Roman" w:eastAsia="宋体" w:cs="Times New Roman"/>
                <w:kern w:val="0"/>
                <w:sz w:val="20"/>
                <w:szCs w:val="20"/>
                <w:lang w:bidi="ar"/>
              </w:rPr>
              <w:t>（七）总计</w:t>
            </w:r>
          </w:p>
        </w:tc>
        <w:tc>
          <w:tcPr>
            <w:tcW w:w="591" w:type="dxa"/>
            <w:tcBorders>
              <w:top w:val="nil"/>
              <w:left w:val="nil"/>
              <w:bottom w:val="single" w:color="auto" w:sz="8" w:space="0"/>
              <w:right w:val="single" w:color="auto" w:sz="8" w:space="0"/>
            </w:tcBorders>
            <w:tcMar>
              <w:left w:w="57" w:type="dxa"/>
              <w:right w:w="57" w:type="dxa"/>
            </w:tcMar>
            <w:vAlign w:val="center"/>
          </w:tcPr>
          <w:p w14:paraId="3A1F2FD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597BAAE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858C25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0024CD6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EE82EF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4C5DEDE7">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4A7CA60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r w14:paraId="45498E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695CE824">
            <w:pPr>
              <w:widowControl/>
              <w:jc w:val="left"/>
              <w:rPr>
                <w:rFonts w:ascii="Times New Roman" w:hAnsi="Times New Roman" w:cs="Times New Roman"/>
              </w:rPr>
            </w:pPr>
            <w:r>
              <w:rPr>
                <w:rFonts w:ascii="Times New Roman" w:hAnsi="Times New Roman" w:eastAsia="宋体" w:cs="Times New Roman"/>
                <w:kern w:val="0"/>
                <w:sz w:val="20"/>
                <w:szCs w:val="20"/>
                <w:lang w:bidi="ar"/>
              </w:rPr>
              <w:t>四、结转下年度继续办理</w:t>
            </w:r>
          </w:p>
        </w:tc>
        <w:tc>
          <w:tcPr>
            <w:tcW w:w="591" w:type="dxa"/>
            <w:tcBorders>
              <w:top w:val="nil"/>
              <w:left w:val="nil"/>
              <w:bottom w:val="single" w:color="auto" w:sz="8" w:space="0"/>
              <w:right w:val="single" w:color="auto" w:sz="8" w:space="0"/>
            </w:tcBorders>
            <w:tcMar>
              <w:left w:w="57" w:type="dxa"/>
              <w:right w:w="57" w:type="dxa"/>
            </w:tcMar>
            <w:vAlign w:val="center"/>
          </w:tcPr>
          <w:p w14:paraId="2C4298FA">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1F377E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444AAA0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7F69F70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14:paraId="1F37C17C">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14:paraId="39066D0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14:paraId="46910A6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bl>
    <w:p w14:paraId="31DF3B7F">
      <w:pPr>
        <w:pStyle w:val="7"/>
        <w:widowControl/>
        <w:shd w:val="clear" w:color="auto" w:fill="FFFFFF"/>
        <w:spacing w:before="0" w:beforeAutospacing="0" w:after="0" w:afterAutospacing="0" w:line="590" w:lineRule="exact"/>
        <w:ind w:firstLine="640" w:firstLineChars="200"/>
        <w:jc w:val="both"/>
        <w:rPr>
          <w:rFonts w:ascii="Times New Roman" w:hAnsi="Times New Roman" w:eastAsia="方正黑体_GBK"/>
          <w:color w:val="333333"/>
          <w:sz w:val="32"/>
          <w:szCs w:val="32"/>
        </w:rPr>
      </w:pPr>
      <w:r>
        <w:rPr>
          <w:rFonts w:ascii="Times New Roman" w:hAnsi="Times New Roman" w:eastAsia="方正黑体_GBK"/>
          <w:color w:val="333333"/>
          <w:sz w:val="32"/>
          <w:szCs w:val="32"/>
          <w:shd w:val="clear" w:color="auto" w:fill="FFFFFF"/>
        </w:rPr>
        <w:t>四、政府信息公开行政复议、行政诉讼情况</w:t>
      </w:r>
    </w:p>
    <w:tbl>
      <w:tblPr>
        <w:tblStyle w:val="8"/>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0AA8E1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FA3BFF">
            <w:pPr>
              <w:widowControl/>
              <w:jc w:val="center"/>
              <w:rPr>
                <w:rFonts w:ascii="Times New Roman" w:hAnsi="Times New Roman" w:cs="Times New Roman"/>
              </w:rPr>
            </w:pPr>
            <w:r>
              <w:rPr>
                <w:rFonts w:ascii="Times New Roman" w:hAnsi="Times New Roman" w:eastAsia="宋体" w:cs="Times New Roman"/>
                <w:kern w:val="0"/>
                <w:sz w:val="20"/>
                <w:szCs w:val="20"/>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DC7CB4">
            <w:pPr>
              <w:widowControl/>
              <w:jc w:val="center"/>
              <w:rPr>
                <w:rFonts w:ascii="Times New Roman" w:hAnsi="Times New Roman" w:cs="Times New Roman"/>
              </w:rPr>
            </w:pPr>
            <w:r>
              <w:rPr>
                <w:rFonts w:ascii="Times New Roman" w:hAnsi="Times New Roman" w:eastAsia="宋体" w:cs="Times New Roman"/>
                <w:kern w:val="0"/>
                <w:sz w:val="20"/>
                <w:szCs w:val="20"/>
                <w:lang w:bidi="ar"/>
              </w:rPr>
              <w:t>行政诉讼</w:t>
            </w:r>
          </w:p>
        </w:tc>
      </w:tr>
      <w:tr w14:paraId="12F414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BEA67B6">
            <w:pPr>
              <w:widowControl/>
              <w:jc w:val="center"/>
              <w:rPr>
                <w:rFonts w:ascii="Times New Roman" w:hAnsi="Times New Roman" w:cs="Times New Roman"/>
              </w:rPr>
            </w:pPr>
            <w:r>
              <w:rPr>
                <w:rFonts w:ascii="Times New Roman" w:hAnsi="Times New Roman" w:eastAsia="宋体" w:cs="Times New Roman"/>
                <w:kern w:val="0"/>
                <w:sz w:val="20"/>
                <w:szCs w:val="20"/>
                <w:lang w:bidi="ar"/>
              </w:rPr>
              <w:t>结果维持</w:t>
            </w:r>
          </w:p>
        </w:tc>
        <w:tc>
          <w:tcPr>
            <w:tcW w:w="51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A99717B">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2BA356A6">
            <w:pPr>
              <w:widowControl/>
              <w:jc w:val="center"/>
              <w:rPr>
                <w:rFonts w:ascii="Times New Roman" w:hAnsi="Times New Roman" w:cs="Times New Roman"/>
              </w:rPr>
            </w:pPr>
            <w:r>
              <w:rPr>
                <w:rFonts w:ascii="Times New Roman" w:hAnsi="Times New Roman" w:eastAsia="宋体" w:cs="Times New Roman"/>
                <w:kern w:val="0"/>
                <w:sz w:val="20"/>
                <w:szCs w:val="20"/>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43FE56A">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其他</w:t>
            </w:r>
          </w:p>
          <w:p w14:paraId="1250D573">
            <w:pPr>
              <w:widowControl/>
              <w:jc w:val="center"/>
              <w:rPr>
                <w:rFonts w:ascii="Times New Roman" w:hAnsi="Times New Roman" w:cs="Times New Roman"/>
              </w:rPr>
            </w:pPr>
            <w:r>
              <w:rPr>
                <w:rFonts w:ascii="Times New Roman" w:hAnsi="Times New Roman" w:eastAsia="宋体" w:cs="Times New Roman"/>
                <w:kern w:val="0"/>
                <w:sz w:val="20"/>
                <w:szCs w:val="20"/>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194A42">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14:paraId="5F42A9A1">
            <w:pPr>
              <w:widowControl/>
              <w:jc w:val="center"/>
              <w:rPr>
                <w:rFonts w:ascii="Times New Roman" w:hAnsi="Times New Roman" w:cs="Times New Roman"/>
              </w:rPr>
            </w:pPr>
            <w:r>
              <w:rPr>
                <w:rFonts w:ascii="Times New Roman" w:hAnsi="Times New Roman" w:eastAsia="宋体" w:cs="Times New Roman"/>
                <w:kern w:val="0"/>
                <w:sz w:val="20"/>
                <w:szCs w:val="20"/>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7275A9">
            <w:pPr>
              <w:widowControl/>
              <w:jc w:val="center"/>
              <w:rPr>
                <w:rFonts w:ascii="Times New Roman" w:hAnsi="Times New Roman" w:cs="Times New Roman"/>
              </w:rPr>
            </w:pPr>
            <w:r>
              <w:rPr>
                <w:rFonts w:ascii="Times New Roman" w:hAnsi="Times New Roman" w:eastAsia="宋体" w:cs="Times New Roman"/>
                <w:kern w:val="0"/>
                <w:sz w:val="20"/>
                <w:szCs w:val="20"/>
                <w:lang w:bidi="ar"/>
              </w:rPr>
              <w:t>总计</w:t>
            </w:r>
          </w:p>
        </w:tc>
        <w:tc>
          <w:tcPr>
            <w:tcW w:w="259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1884A7">
            <w:pPr>
              <w:widowControl/>
              <w:jc w:val="center"/>
              <w:rPr>
                <w:rFonts w:ascii="Times New Roman" w:hAnsi="Times New Roman" w:cs="Times New Roman"/>
              </w:rPr>
            </w:pPr>
            <w:r>
              <w:rPr>
                <w:rFonts w:ascii="Times New Roman" w:hAnsi="Times New Roman" w:eastAsia="宋体" w:cs="Times New Roman"/>
                <w:kern w:val="0"/>
                <w:sz w:val="20"/>
                <w:szCs w:val="20"/>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4A5AD3E">
            <w:pPr>
              <w:widowControl/>
              <w:jc w:val="center"/>
              <w:rPr>
                <w:rFonts w:ascii="Times New Roman" w:hAnsi="Times New Roman" w:cs="Times New Roman"/>
              </w:rPr>
            </w:pPr>
            <w:r>
              <w:rPr>
                <w:rFonts w:ascii="Times New Roman" w:hAnsi="Times New Roman" w:eastAsia="宋体" w:cs="Times New Roman"/>
                <w:kern w:val="0"/>
                <w:sz w:val="20"/>
                <w:szCs w:val="20"/>
                <w:lang w:bidi="ar"/>
              </w:rPr>
              <w:t>复议后起诉</w:t>
            </w:r>
          </w:p>
        </w:tc>
      </w:tr>
      <w:tr w14:paraId="067A5B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8C9A263">
            <w:pPr>
              <w:rPr>
                <w:rFonts w:ascii="Times New Roman" w:hAnsi="Times New Roman" w:cs="Times New Roman"/>
                <w:sz w:val="24"/>
              </w:rPr>
            </w:pPr>
          </w:p>
        </w:tc>
        <w:tc>
          <w:tcPr>
            <w:tcW w:w="51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A6787A2">
            <w:pPr>
              <w:rPr>
                <w:rFonts w:ascii="Times New Roman" w:hAnsi="Times New Roman"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0CB1942">
            <w:pPr>
              <w:rPr>
                <w:rFonts w:ascii="Times New Roman" w:hAnsi="Times New Roman"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94D6C9">
            <w:pPr>
              <w:rPr>
                <w:rFonts w:ascii="Times New Roman" w:hAnsi="Times New Roman"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00C6BE">
            <w:pPr>
              <w:rPr>
                <w:rFonts w:ascii="Times New Roman" w:hAnsi="Times New Roman" w:cs="Times New Roman"/>
                <w:sz w:val="24"/>
              </w:rPr>
            </w:pP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17D54C2E">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6CD83C94">
            <w:pPr>
              <w:widowControl/>
              <w:jc w:val="center"/>
              <w:rPr>
                <w:rFonts w:ascii="Times New Roman" w:hAnsi="Times New Roman" w:cs="Times New Roman"/>
              </w:rPr>
            </w:pPr>
            <w:r>
              <w:rPr>
                <w:rFonts w:ascii="Times New Roman" w:hAnsi="Times New Roman" w:eastAsia="宋体" w:cs="Times New Roman"/>
                <w:kern w:val="0"/>
                <w:sz w:val="20"/>
                <w:szCs w:val="20"/>
                <w:lang w:bidi="ar"/>
              </w:rPr>
              <w:t>维持</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3E98D8A0">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08BB4A78">
            <w:pPr>
              <w:widowControl/>
              <w:jc w:val="center"/>
              <w:rPr>
                <w:rFonts w:ascii="Times New Roman" w:hAnsi="Times New Roman" w:cs="Times New Roman"/>
              </w:rPr>
            </w:pPr>
            <w:r>
              <w:rPr>
                <w:rFonts w:ascii="Times New Roman" w:hAnsi="Times New Roman" w:eastAsia="宋体" w:cs="Times New Roman"/>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2496FE">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其他</w:t>
            </w:r>
          </w:p>
          <w:p w14:paraId="5AC146FE">
            <w:pPr>
              <w:widowControl/>
              <w:jc w:val="center"/>
              <w:rPr>
                <w:rFonts w:ascii="Times New Roman" w:hAnsi="Times New Roman" w:cs="Times New Roman"/>
              </w:rPr>
            </w:pPr>
            <w:r>
              <w:rPr>
                <w:rFonts w:ascii="Times New Roman" w:hAnsi="Times New Roman" w:eastAsia="宋体" w:cs="Times New Roman"/>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CD6B5E">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14:paraId="3A9CE0F9">
            <w:pPr>
              <w:widowControl/>
              <w:jc w:val="center"/>
              <w:rPr>
                <w:rFonts w:ascii="Times New Roman" w:hAnsi="Times New Roman" w:cs="Times New Roman"/>
              </w:rPr>
            </w:pPr>
            <w:r>
              <w:rPr>
                <w:rFonts w:ascii="Times New Roman" w:hAnsi="Times New Roman" w:eastAsia="宋体" w:cs="Times New Roman"/>
                <w:kern w:val="0"/>
                <w:sz w:val="20"/>
                <w:szCs w:val="20"/>
                <w:lang w:bidi="ar"/>
              </w:rPr>
              <w:t>审结</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6F728C">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总计</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18A2047">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0B051F36">
            <w:pPr>
              <w:widowControl/>
              <w:jc w:val="center"/>
              <w:rPr>
                <w:rFonts w:ascii="Times New Roman" w:hAnsi="Times New Roman" w:cs="Times New Roman"/>
              </w:rPr>
            </w:pPr>
            <w:r>
              <w:rPr>
                <w:rFonts w:ascii="Times New Roman" w:hAnsi="Times New Roman" w:eastAsia="宋体" w:cs="Times New Roman"/>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8AFECE">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14:paraId="155E1AC7">
            <w:pPr>
              <w:widowControl/>
              <w:jc w:val="center"/>
              <w:rPr>
                <w:rFonts w:ascii="Times New Roman" w:hAnsi="Times New Roman" w:cs="Times New Roman"/>
              </w:rPr>
            </w:pPr>
            <w:r>
              <w:rPr>
                <w:rFonts w:ascii="Times New Roman" w:hAnsi="Times New Roman" w:eastAsia="宋体" w:cs="Times New Roman"/>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35F40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其他</w:t>
            </w:r>
          </w:p>
          <w:p w14:paraId="6EDF58B4">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5AD905">
            <w:pPr>
              <w:widowControl/>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14:paraId="7D445062">
            <w:pPr>
              <w:widowControl/>
              <w:jc w:val="center"/>
              <w:rPr>
                <w:rFonts w:ascii="Times New Roman" w:hAnsi="Times New Roman" w:cs="Times New Roman"/>
              </w:rPr>
            </w:pPr>
            <w:r>
              <w:rPr>
                <w:rFonts w:ascii="Times New Roman" w:hAnsi="Times New Roman" w:eastAsia="宋体" w:cs="Times New Roman"/>
                <w:kern w:val="0"/>
                <w:sz w:val="20"/>
                <w:szCs w:val="20"/>
                <w:lang w:bidi="ar"/>
              </w:rPr>
              <w:t>审结</w:t>
            </w:r>
          </w:p>
        </w:tc>
        <w:tc>
          <w:tcPr>
            <w:tcW w:w="5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0CCA8F3">
            <w:pPr>
              <w:widowControl/>
              <w:jc w:val="center"/>
              <w:rPr>
                <w:rFonts w:ascii="Times New Roman" w:hAnsi="Times New Roman" w:cs="Times New Roman"/>
              </w:rPr>
            </w:pPr>
            <w:r>
              <w:rPr>
                <w:rFonts w:ascii="Times New Roman" w:hAnsi="Times New Roman" w:eastAsia="宋体" w:cs="Times New Roman"/>
                <w:color w:val="000000"/>
                <w:kern w:val="0"/>
                <w:sz w:val="20"/>
                <w:szCs w:val="20"/>
                <w:lang w:bidi="ar"/>
              </w:rPr>
              <w:t>总计</w:t>
            </w:r>
          </w:p>
        </w:tc>
      </w:tr>
      <w:tr w14:paraId="4E6E76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1F05D2B5">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3D713090">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3A60D0B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2F34C6F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16C2BA12">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4768F611">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14:paraId="20B4C67D">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522F7ADB">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02890E69">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5EFA865E">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4C01B52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788F139F">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23F0AA08">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14:paraId="62B7C4B4">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c>
          <w:tcPr>
            <w:tcW w:w="525" w:type="dxa"/>
            <w:tcBorders>
              <w:top w:val="nil"/>
              <w:left w:val="single" w:color="auto" w:sz="8" w:space="0"/>
              <w:bottom w:val="single" w:color="auto" w:sz="8" w:space="0"/>
              <w:right w:val="single" w:color="auto" w:sz="8" w:space="0"/>
            </w:tcBorders>
            <w:tcMar>
              <w:left w:w="108" w:type="dxa"/>
              <w:right w:w="108" w:type="dxa"/>
            </w:tcMar>
            <w:vAlign w:val="center"/>
          </w:tcPr>
          <w:p w14:paraId="3F021863">
            <w:pPr>
              <w:widowControl/>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0</w:t>
            </w:r>
          </w:p>
        </w:tc>
      </w:tr>
    </w:tbl>
    <w:p w14:paraId="7EC48228">
      <w:pPr>
        <w:spacing w:line="59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五、存在的主要问题及改进情况</w:t>
      </w:r>
    </w:p>
    <w:p w14:paraId="53C2362F">
      <w:pPr>
        <w:pStyle w:val="7"/>
        <w:widowControl/>
        <w:shd w:val="clear" w:color="auto" w:fill="FFFFFF"/>
        <w:spacing w:before="0" w:beforeAutospacing="0" w:after="0" w:afterAutospacing="0" w:line="590" w:lineRule="exact"/>
        <w:ind w:firstLine="643" w:firstLineChars="200"/>
        <w:jc w:val="both"/>
        <w:rPr>
          <w:rFonts w:ascii="Times New Roman" w:hAnsi="Times New Roman" w:eastAsia="方正仿宋_GBK"/>
          <w:kern w:val="2"/>
          <w:sz w:val="32"/>
          <w:szCs w:val="32"/>
        </w:rPr>
      </w:pPr>
      <w:r>
        <w:rPr>
          <w:rFonts w:hint="eastAsia" w:ascii="Times New Roman" w:hAnsi="Times New Roman" w:eastAsia="方正仿宋_GBK" w:cs="方正仿宋_GBK"/>
          <w:b/>
          <w:bCs/>
          <w:sz w:val="32"/>
          <w:szCs w:val="32"/>
        </w:rPr>
        <w:t>存在的问题：</w:t>
      </w:r>
      <w:r>
        <w:rPr>
          <w:rFonts w:hint="eastAsia" w:ascii="Times New Roman" w:hAnsi="Times New Roman" w:eastAsia="方正仿宋_GBK"/>
          <w:kern w:val="2"/>
          <w:sz w:val="32"/>
          <w:szCs w:val="32"/>
        </w:rPr>
        <w:t>202</w:t>
      </w:r>
      <w:r>
        <w:rPr>
          <w:rFonts w:hint="eastAsia" w:ascii="Times New Roman" w:hAnsi="Times New Roman" w:eastAsia="方正仿宋_GBK"/>
          <w:kern w:val="2"/>
          <w:sz w:val="32"/>
          <w:szCs w:val="32"/>
          <w:lang w:val="en-US" w:eastAsia="zh-CN"/>
        </w:rPr>
        <w:t>5</w:t>
      </w:r>
      <w:r>
        <w:rPr>
          <w:rFonts w:hint="eastAsia" w:ascii="Times New Roman" w:hAnsi="Times New Roman" w:eastAsia="方正仿宋_GBK"/>
          <w:kern w:val="2"/>
          <w:sz w:val="32"/>
          <w:szCs w:val="32"/>
        </w:rPr>
        <w:t>年，</w:t>
      </w:r>
      <w:r>
        <w:rPr>
          <w:rFonts w:hint="eastAsia" w:ascii="Times New Roman" w:hAnsi="Times New Roman" w:eastAsia="方正仿宋_GBK"/>
          <w:kern w:val="2"/>
          <w:sz w:val="32"/>
          <w:szCs w:val="32"/>
          <w:lang w:val="en-US" w:eastAsia="zh-CN"/>
        </w:rPr>
        <w:t>我单位</w:t>
      </w:r>
      <w:r>
        <w:rPr>
          <w:rFonts w:hint="eastAsia" w:ascii="Times New Roman" w:hAnsi="Times New Roman" w:eastAsia="方正仿宋_GBK"/>
          <w:kern w:val="2"/>
          <w:sz w:val="32"/>
          <w:szCs w:val="32"/>
        </w:rPr>
        <w:t>政府信息公开工作虽然取得了一定的成绩，但与公众的需求相比还存在一定的差距，主要体现在：一是对政务公开工作宣传力度还不够。今年</w:t>
      </w:r>
      <w:r>
        <w:rPr>
          <w:rFonts w:hint="eastAsia" w:ascii="Times New Roman" w:hAnsi="Times New Roman" w:eastAsia="方正仿宋_GBK"/>
          <w:kern w:val="2"/>
          <w:sz w:val="32"/>
          <w:szCs w:val="32"/>
          <w:lang w:val="en-US" w:eastAsia="zh-CN"/>
        </w:rPr>
        <w:t>我单位</w:t>
      </w:r>
      <w:r>
        <w:rPr>
          <w:rFonts w:hint="eastAsia" w:ascii="Times New Roman" w:hAnsi="Times New Roman" w:eastAsia="方正仿宋_GBK"/>
          <w:kern w:val="2"/>
          <w:sz w:val="32"/>
          <w:szCs w:val="32"/>
        </w:rPr>
        <w:t>加大了对政务公开的宣传力度，但仍然存在宣传不到位的问题，政务公开的知晓率和参与度仍不高；二是政策解读内容比较单一。</w:t>
      </w:r>
      <w:r>
        <w:rPr>
          <w:rFonts w:hint="eastAsia" w:ascii="Times New Roman" w:hAnsi="Times New Roman" w:eastAsia="方正仿宋_GBK"/>
          <w:kern w:val="2"/>
          <w:sz w:val="32"/>
          <w:szCs w:val="32"/>
          <w:lang w:val="en-US" w:eastAsia="zh-CN"/>
        </w:rPr>
        <w:t>虽然</w:t>
      </w:r>
      <w:r>
        <w:rPr>
          <w:rFonts w:hint="eastAsia" w:ascii="Times New Roman" w:hAnsi="Times New Roman" w:eastAsia="方正仿宋_GBK"/>
          <w:kern w:val="2"/>
          <w:sz w:val="32"/>
          <w:szCs w:val="32"/>
        </w:rPr>
        <w:t>今年</w:t>
      </w:r>
      <w:r>
        <w:rPr>
          <w:rFonts w:hint="eastAsia" w:ascii="Times New Roman" w:hAnsi="Times New Roman" w:eastAsia="方正仿宋_GBK"/>
          <w:kern w:val="2"/>
          <w:sz w:val="32"/>
          <w:szCs w:val="32"/>
          <w:lang w:val="en-US" w:eastAsia="zh-CN"/>
        </w:rPr>
        <w:t>我单位</w:t>
      </w:r>
      <w:r>
        <w:rPr>
          <w:rFonts w:hint="eastAsia" w:ascii="Times New Roman" w:hAnsi="Times New Roman" w:eastAsia="方正仿宋_GBK"/>
          <w:kern w:val="2"/>
          <w:sz w:val="32"/>
          <w:szCs w:val="32"/>
        </w:rPr>
        <w:t>的</w:t>
      </w:r>
      <w:r>
        <w:rPr>
          <w:rFonts w:hint="eastAsia" w:ascii="Times New Roman" w:hAnsi="Times New Roman" w:eastAsia="方正仿宋_GBK"/>
          <w:kern w:val="2"/>
          <w:sz w:val="32"/>
          <w:szCs w:val="32"/>
          <w:lang w:val="en-US" w:eastAsia="zh-CN"/>
        </w:rPr>
        <w:t>3篇</w:t>
      </w:r>
      <w:r>
        <w:rPr>
          <w:rFonts w:hint="eastAsia" w:ascii="Times New Roman" w:hAnsi="Times New Roman" w:eastAsia="方正仿宋_GBK"/>
          <w:kern w:val="2"/>
          <w:sz w:val="32"/>
          <w:szCs w:val="32"/>
        </w:rPr>
        <w:t>政策解读</w:t>
      </w:r>
      <w:r>
        <w:rPr>
          <w:rFonts w:hint="eastAsia" w:ascii="Times New Roman" w:hAnsi="Times New Roman" w:eastAsia="方正仿宋_GBK"/>
          <w:kern w:val="2"/>
          <w:sz w:val="32"/>
          <w:szCs w:val="32"/>
          <w:lang w:val="en-US" w:eastAsia="zh-CN"/>
        </w:rPr>
        <w:t>分属3种不同类型</w:t>
      </w:r>
      <w:r>
        <w:rPr>
          <w:rFonts w:hint="eastAsia" w:ascii="Times New Roman" w:hAnsi="Times New Roman" w:eastAsia="方正仿宋_GBK"/>
          <w:kern w:val="2"/>
          <w:sz w:val="32"/>
          <w:szCs w:val="32"/>
        </w:rPr>
        <w:t>，</w:t>
      </w:r>
      <w:r>
        <w:rPr>
          <w:rFonts w:hint="eastAsia" w:ascii="Times New Roman" w:hAnsi="Times New Roman" w:eastAsia="方正仿宋_GBK"/>
          <w:kern w:val="2"/>
          <w:sz w:val="32"/>
          <w:szCs w:val="32"/>
          <w:lang w:val="en-US" w:eastAsia="zh-CN"/>
        </w:rPr>
        <w:t>但</w:t>
      </w:r>
      <w:r>
        <w:rPr>
          <w:rFonts w:hint="eastAsia" w:ascii="Times New Roman" w:hAnsi="Times New Roman" w:eastAsia="方正仿宋_GBK"/>
          <w:kern w:val="2"/>
          <w:sz w:val="32"/>
          <w:szCs w:val="32"/>
        </w:rPr>
        <w:t>解读数量较少，不能够很好地起到吸引公众主动查看政策解读模块。</w:t>
      </w:r>
    </w:p>
    <w:p w14:paraId="5CA59A70">
      <w:pPr>
        <w:pStyle w:val="7"/>
        <w:widowControl/>
        <w:shd w:val="clear" w:color="auto" w:fill="FFFFFF"/>
        <w:spacing w:before="0" w:beforeAutospacing="0" w:after="0" w:afterAutospacing="0" w:line="59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针对上述问题，</w:t>
      </w:r>
      <w:r>
        <w:rPr>
          <w:rFonts w:hint="eastAsia" w:ascii="Times New Roman" w:hAnsi="Times New Roman" w:eastAsia="方正仿宋_GBK"/>
          <w:kern w:val="2"/>
          <w:sz w:val="32"/>
          <w:szCs w:val="32"/>
          <w:lang w:val="en-US" w:eastAsia="zh-CN"/>
        </w:rPr>
        <w:t>我单位</w:t>
      </w:r>
      <w:r>
        <w:rPr>
          <w:rFonts w:hint="eastAsia" w:ascii="Times New Roman" w:hAnsi="Times New Roman" w:eastAsia="方正仿宋_GBK"/>
          <w:kern w:val="2"/>
          <w:sz w:val="32"/>
          <w:szCs w:val="32"/>
        </w:rPr>
        <w:t>将积极探索工作方法，提高公开效能。一是提高政务公开工作宣传力度。按照“应公开尽公开”原则，加强对政务公开工作人员的业务培训，加强与其他单位信息公开方面的工作交流、汲取经验，确保专题专栏及时更新，提高信息发布质量，让政务公开工作落到实处。二是丰富政策解读内容。在进一步丰富解读形式、类型的基础上，提高政策解读水平，真正发挥政府信息对人民群众生产、生活和经济社会发展的服务作用。</w:t>
      </w:r>
    </w:p>
    <w:p w14:paraId="5822B412">
      <w:pPr>
        <w:spacing w:line="590" w:lineRule="exact"/>
        <w:ind w:firstLine="640" w:firstLineChars="200"/>
        <w:rPr>
          <w:rFonts w:hint="eastAsia" w:ascii="方正黑体_GBK" w:hAnsi="黑体" w:eastAsia="方正黑体_GBK" w:cs="黑体"/>
          <w:sz w:val="32"/>
          <w:szCs w:val="32"/>
        </w:rPr>
      </w:pPr>
      <w:r>
        <w:rPr>
          <w:rFonts w:hint="eastAsia" w:ascii="方正黑体_GBK" w:hAnsi="黑体" w:eastAsia="方正黑体_GBK" w:cs="黑体"/>
          <w:sz w:val="32"/>
          <w:szCs w:val="32"/>
        </w:rPr>
        <w:t>六、其他需要报告的事项</w:t>
      </w:r>
    </w:p>
    <w:p w14:paraId="4662FA45">
      <w:pPr>
        <w:pStyle w:val="7"/>
        <w:widowControl/>
        <w:shd w:val="clear" w:color="auto" w:fill="FFFFFF"/>
        <w:spacing w:before="0" w:beforeAutospacing="0" w:after="0" w:afterAutospacing="0" w:line="590"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按照《国务院办公厅关于印发〈政府信息公开信息处理费管理办法〉的通知》（国办函〔2020〕109号）规定的按件、按量收费标准，本年度没有产生信息公开处理费。</w:t>
      </w:r>
    </w:p>
    <w:p w14:paraId="5249B1D7">
      <w:pPr>
        <w:pStyle w:val="7"/>
        <w:widowControl/>
        <w:shd w:val="clear" w:color="auto" w:fill="FFFFFF"/>
        <w:spacing w:before="0" w:beforeAutospacing="0" w:after="0" w:afterAutospacing="0" w:line="590" w:lineRule="exact"/>
        <w:ind w:firstLine="643" w:firstLineChars="200"/>
        <w:jc w:val="both"/>
        <w:rPr>
          <w:rFonts w:hint="eastAsia" w:ascii="Times New Roman" w:hAnsi="Times New Roman" w:eastAsia="方正仿宋_GBK"/>
          <w:kern w:val="2"/>
          <w:sz w:val="32"/>
          <w:szCs w:val="32"/>
          <w:lang w:val="en-US" w:eastAsia="zh-CN"/>
        </w:rPr>
      </w:pPr>
      <w:r>
        <w:rPr>
          <w:rFonts w:hint="eastAsia" w:ascii="Times New Roman" w:hAnsi="Times New Roman" w:eastAsia="方正仿宋_GBK"/>
          <w:b/>
          <w:bCs/>
          <w:kern w:val="2"/>
          <w:sz w:val="32"/>
          <w:szCs w:val="32"/>
          <w:lang w:val="en-US" w:eastAsia="zh-CN"/>
        </w:rPr>
        <w:t>一是人大建议和政协提案办理情况。</w:t>
      </w:r>
      <w:r>
        <w:rPr>
          <w:rFonts w:hint="eastAsia" w:ascii="Times New Roman" w:hAnsi="Times New Roman" w:eastAsia="方正仿宋_GBK"/>
          <w:kern w:val="2"/>
          <w:sz w:val="32"/>
          <w:szCs w:val="32"/>
          <w:lang w:val="en-US" w:eastAsia="zh-CN"/>
        </w:rPr>
        <w:t xml:space="preserve">2025年度，我单位未收到人大建议和政协提案，故无人大建议和政协提案办理情况。  </w:t>
      </w:r>
    </w:p>
    <w:p w14:paraId="5E27F9D6">
      <w:pPr>
        <w:pStyle w:val="7"/>
        <w:widowControl/>
        <w:shd w:val="clear" w:color="auto" w:fill="FFFFFF"/>
        <w:spacing w:before="0" w:beforeAutospacing="0" w:after="0" w:afterAutospacing="0" w:line="590" w:lineRule="exact"/>
        <w:ind w:firstLine="643" w:firstLineChars="200"/>
        <w:jc w:val="both"/>
        <w:rPr>
          <w:rFonts w:ascii="Times New Roman" w:hAnsi="Times New Roman" w:eastAsia="方正仿宋_GBK"/>
          <w:kern w:val="2"/>
          <w:sz w:val="32"/>
          <w:szCs w:val="32"/>
        </w:rPr>
      </w:pPr>
      <w:r>
        <w:rPr>
          <w:rFonts w:hint="eastAsia" w:ascii="Times New Roman" w:hAnsi="Times New Roman" w:eastAsia="方正仿宋_GBK"/>
          <w:b/>
          <w:bCs/>
          <w:kern w:val="2"/>
          <w:sz w:val="32"/>
          <w:szCs w:val="32"/>
          <w:lang w:val="en-US" w:eastAsia="zh-CN"/>
        </w:rPr>
        <w:t>二</w:t>
      </w:r>
      <w:r>
        <w:rPr>
          <w:rFonts w:hint="eastAsia" w:ascii="Times New Roman" w:hAnsi="Times New Roman" w:eastAsia="方正仿宋_GBK"/>
          <w:b/>
          <w:bCs/>
          <w:kern w:val="2"/>
          <w:sz w:val="32"/>
          <w:szCs w:val="32"/>
        </w:rPr>
        <w:t>是及时提供审计领域相关公开内容和工作信息。</w:t>
      </w:r>
      <w:r>
        <w:rPr>
          <w:rFonts w:hint="eastAsia" w:ascii="Times New Roman" w:hAnsi="Times New Roman" w:eastAsia="方正仿宋_GBK"/>
          <w:kern w:val="2"/>
          <w:sz w:val="32"/>
          <w:szCs w:val="32"/>
        </w:rPr>
        <w:t>八公山区审计局</w:t>
      </w:r>
      <w:r>
        <w:rPr>
          <w:rFonts w:hint="eastAsia" w:ascii="Times New Roman" w:hAnsi="Times New Roman" w:eastAsia="方正仿宋_GBK"/>
          <w:kern w:val="2"/>
          <w:sz w:val="32"/>
          <w:szCs w:val="32"/>
          <w:lang w:val="en-US" w:eastAsia="zh-CN"/>
        </w:rPr>
        <w:t>在开展审计项目的同时，</w:t>
      </w:r>
      <w:r>
        <w:rPr>
          <w:rFonts w:hint="eastAsia" w:ascii="Times New Roman" w:hAnsi="Times New Roman" w:eastAsia="方正仿宋_GBK"/>
          <w:kern w:val="2"/>
          <w:sz w:val="32"/>
          <w:szCs w:val="32"/>
        </w:rPr>
        <w:t>积极推广普及审计法律法规，加深</w:t>
      </w:r>
      <w:r>
        <w:rPr>
          <w:rFonts w:hint="eastAsia" w:ascii="Times New Roman" w:hAnsi="Times New Roman" w:eastAsia="方正仿宋_GBK"/>
          <w:kern w:val="2"/>
          <w:sz w:val="32"/>
          <w:szCs w:val="32"/>
          <w:lang w:val="en-US" w:eastAsia="zh-CN"/>
        </w:rPr>
        <w:t>被审计单位和人民</w:t>
      </w:r>
      <w:r>
        <w:rPr>
          <w:rFonts w:hint="eastAsia" w:ascii="Times New Roman" w:hAnsi="Times New Roman" w:eastAsia="方正仿宋_GBK"/>
          <w:kern w:val="2"/>
          <w:sz w:val="32"/>
          <w:szCs w:val="32"/>
        </w:rPr>
        <w:t>群众对审计工作重要性的认识和了解，增进社会各界对审计工作的理解、信任和支持</w:t>
      </w:r>
      <w:r>
        <w:rPr>
          <w:rFonts w:ascii="Times New Roman" w:hAnsi="Times New Roman" w:eastAsia="方正仿宋_GBK"/>
          <w:kern w:val="2"/>
          <w:sz w:val="32"/>
          <w:szCs w:val="32"/>
        </w:rPr>
        <w:t>。</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lhPLVUrY65t4rXxj6Ki+SMGeDOE=" w:salt="nb4mgHFLJEUR8Xvh01co9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 w:name="KSO_WPS_MARK_KEY" w:val="d63214ae-5afe-40e4-b2aa-5ac15ac98977"/>
  </w:docVars>
  <w:rsids>
    <w:rsidRoot w:val="25826570"/>
    <w:rsid w:val="00093960"/>
    <w:rsid w:val="00166233"/>
    <w:rsid w:val="001A7EF5"/>
    <w:rsid w:val="00211866"/>
    <w:rsid w:val="0023012B"/>
    <w:rsid w:val="002A4417"/>
    <w:rsid w:val="002B2E12"/>
    <w:rsid w:val="00331F67"/>
    <w:rsid w:val="003827CD"/>
    <w:rsid w:val="003A1811"/>
    <w:rsid w:val="004D412E"/>
    <w:rsid w:val="005148FB"/>
    <w:rsid w:val="006A6AD7"/>
    <w:rsid w:val="007169C1"/>
    <w:rsid w:val="007D6758"/>
    <w:rsid w:val="00873B17"/>
    <w:rsid w:val="0091206C"/>
    <w:rsid w:val="00961E26"/>
    <w:rsid w:val="00B76848"/>
    <w:rsid w:val="00BF22BB"/>
    <w:rsid w:val="00C71A98"/>
    <w:rsid w:val="00D46552"/>
    <w:rsid w:val="00DB6348"/>
    <w:rsid w:val="00EB21C8"/>
    <w:rsid w:val="00EE7B36"/>
    <w:rsid w:val="00F67574"/>
    <w:rsid w:val="00F811EF"/>
    <w:rsid w:val="00FD52C4"/>
    <w:rsid w:val="041170B2"/>
    <w:rsid w:val="0FD65C43"/>
    <w:rsid w:val="14662C89"/>
    <w:rsid w:val="191923E4"/>
    <w:rsid w:val="19DB3880"/>
    <w:rsid w:val="1C696061"/>
    <w:rsid w:val="1E7C1772"/>
    <w:rsid w:val="21435036"/>
    <w:rsid w:val="25826570"/>
    <w:rsid w:val="2CDF444A"/>
    <w:rsid w:val="306E3DA5"/>
    <w:rsid w:val="330859B6"/>
    <w:rsid w:val="3B1B3A58"/>
    <w:rsid w:val="42C13AAF"/>
    <w:rsid w:val="4320262F"/>
    <w:rsid w:val="45DD39DC"/>
    <w:rsid w:val="484A1888"/>
    <w:rsid w:val="49E643C6"/>
    <w:rsid w:val="4D3E3520"/>
    <w:rsid w:val="4D834D51"/>
    <w:rsid w:val="55A233C4"/>
    <w:rsid w:val="5BA47359"/>
    <w:rsid w:val="6ADA4443"/>
    <w:rsid w:val="6C433AE4"/>
    <w:rsid w:val="6EAB372D"/>
    <w:rsid w:val="6EB35AEE"/>
    <w:rsid w:val="71BE2463"/>
    <w:rsid w:val="77F43222"/>
    <w:rsid w:val="79CF1DDA"/>
    <w:rsid w:val="7B0F7AE3"/>
    <w:rsid w:val="7B42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1"/>
    <w:pPr>
      <w:spacing w:before="56"/>
      <w:ind w:left="159"/>
      <w:outlineLvl w:val="0"/>
    </w:pPr>
    <w:rPr>
      <w:rFonts w:ascii="宋体" w:hAnsi="宋体" w:eastAsia="宋体" w:cs="宋体"/>
      <w:sz w:val="44"/>
      <w:szCs w:val="4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autoRedefine/>
    <w:qFormat/>
    <w:uiPriority w:val="0"/>
    <w:pPr>
      <w:spacing w:before="100" w:beforeAutospacing="1" w:after="100" w:afterAutospacing="1"/>
      <w:jc w:val="left"/>
    </w:pPr>
    <w:rPr>
      <w:rFonts w:cs="Times New Roman"/>
      <w:kern w:val="0"/>
      <w:sz w:val="24"/>
    </w:rPr>
  </w:style>
  <w:style w:type="character" w:styleId="10">
    <w:name w:val="Emphasis"/>
    <w:basedOn w:val="9"/>
    <w:autoRedefine/>
    <w:qFormat/>
    <w:uiPriority w:val="0"/>
    <w:rPr>
      <w:i/>
    </w:rPr>
  </w:style>
  <w:style w:type="paragraph" w:customStyle="1" w:styleId="11">
    <w:name w:val="Table Paragraph"/>
    <w:basedOn w:val="1"/>
    <w:autoRedefine/>
    <w:qFormat/>
    <w:uiPriority w:val="1"/>
    <w:rPr>
      <w:rFonts w:ascii="宋体" w:hAnsi="宋体" w:eastAsia="宋体" w:cs="宋体"/>
    </w:rPr>
  </w:style>
  <w:style w:type="character" w:customStyle="1" w:styleId="12">
    <w:name w:val="页眉 字符"/>
    <w:basedOn w:val="9"/>
    <w:link w:val="5"/>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1422</Words>
  <Characters>1505</Characters>
  <Lines>23</Lines>
  <Paragraphs>6</Paragraphs>
  <TotalTime>11</TotalTime>
  <ScaleCrop>false</ScaleCrop>
  <LinksUpToDate>false</LinksUpToDate>
  <CharactersWithSpaces>1505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2022-01-20T08:11:00Z</dcterms:created>
  <dc:creator>叶浅离</dc:creator>
  <cp:lastModifiedBy>王奕枫</cp:lastModifiedBy>
  <dcterms:modified xsi:type="dcterms:W3CDTF">2026-01-30T06:38:53Z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0E6C049C04AB4866A2A6FF1D839A2C0A_13</vt:lpwstr>
  </property>
  <property fmtid="{D5CDD505-2E9C-101B-9397-08002B2CF9AE}" pid="4" name="KSOTemplateDocerSaveRecord">
    <vt:lpwstr>eyJoZGlkIjoiMDMzMmMxNmQ3ZTI5MTY0MmJhNDM2MzRlODZhYzFiMTYiLCJ1c2VySWQiOiI1NjU1NDgyMzYifQ==</vt:lpwstr>
  </property>
</Properties>
</file>