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FAFA75">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新庄孜街道办事处202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14:paraId="22F53DC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2AC0D456">
      <w:pPr>
        <w:bidi w:val="0"/>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报告依据《中华人民共和国政府信息公开条例》（国务院令第711号，以下简称《条例》）、《国务院办公厅政府信息与政务公开办公室关于印发〈中华人民共和国政府信息公开工作年度报告格式〉的通知》（国办公开办函〔2021〕30号）要求，结合我单位政府信息公开工作有关统计数据撰写。</w:t>
      </w:r>
      <w:r>
        <w:rPr>
          <w:rFonts w:hint="eastAsia" w:ascii="方正仿宋_GB2312" w:hAnsi="方正仿宋_GB2312" w:eastAsia="方正仿宋_GB2312" w:cs="方正仿宋_GB2312"/>
          <w:sz w:val="32"/>
          <w:szCs w:val="32"/>
          <w:lang w:val="en-US" w:eastAsia="zh-CN"/>
        </w:rPr>
        <w:t>报告主要包括：总体情况、主动公开政府信息情况、收到和处理政府信息公开申请情况、政府信息公开行政复议、行政诉讼情况、存在的主要问题及改进情况和其他需要报告事项。本报告中使用数据统计期限为2025年1月1日至12月31日。报告电子版可在淮南市八公山区新庄孜街道政府信息公开网“政府信息公开年报”栏目中下载（http://www.bagongshan.gov.cn）。如对本报告有任何疑问，请与新庄孜街道党政办联系，地址：八区二小对面党校大院内新庄孜街道办事处；电话0554--2168956；邮编：232072。</w:t>
      </w:r>
    </w:p>
    <w:p w14:paraId="63E9FDC9">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一、总体情况</w:t>
      </w:r>
    </w:p>
    <w:p w14:paraId="30ACD816">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2025年，新庄孜街道认真贯彻落实国家和省、市关于政务公开工作的决策部署，紧紧围绕《八公山区2025年度政务公开重点工作清单》</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以提升政务公开质量和实效</w:t>
      </w:r>
      <w:r>
        <w:rPr>
          <w:rFonts w:hint="eastAsia" w:ascii="方正仿宋_GB2312" w:hAnsi="方正仿宋_GB2312" w:eastAsia="方正仿宋_GB2312" w:cs="方正仿宋_GB2312"/>
          <w:sz w:val="32"/>
          <w:szCs w:val="32"/>
        </w:rPr>
        <w:t>为目标，</w:t>
      </w:r>
      <w:r>
        <w:rPr>
          <w:rFonts w:hint="eastAsia" w:ascii="方正仿宋_GB2312" w:hAnsi="方正仿宋_GB2312" w:eastAsia="方正仿宋_GB2312" w:cs="方正仿宋_GB2312"/>
          <w:sz w:val="32"/>
          <w:szCs w:val="32"/>
          <w:lang w:val="en-US" w:eastAsia="zh-CN"/>
        </w:rPr>
        <w:t>深入推进政务公开，以公开促落实、强规范、补短板、优服务。</w:t>
      </w:r>
      <w:r>
        <w:rPr>
          <w:rFonts w:hint="eastAsia" w:ascii="方正仿宋_GB2312" w:hAnsi="方正仿宋_GB2312" w:eastAsia="方正仿宋_GB2312" w:cs="方正仿宋_GB2312"/>
          <w:sz w:val="32"/>
          <w:szCs w:val="32"/>
        </w:rPr>
        <w:t>现将新庄孜街道202</w:t>
      </w: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年政务公开工作报告如下：</w:t>
      </w:r>
    </w:p>
    <w:p w14:paraId="27A31051">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sz w:val="32"/>
          <w:szCs w:val="32"/>
          <w:lang w:val="en-US" w:eastAsia="zh-CN"/>
        </w:rPr>
        <w:t>（一）主动公开情况。</w:t>
      </w:r>
      <w:r>
        <w:rPr>
          <w:rFonts w:hint="eastAsia" w:ascii="方正仿宋_GB2312" w:hAnsi="方正仿宋_GB2312" w:eastAsia="方正仿宋_GB2312" w:cs="方正仿宋_GB2312"/>
          <w:sz w:val="32"/>
          <w:szCs w:val="32"/>
          <w:lang w:val="en-US" w:eastAsia="zh-CN"/>
        </w:rPr>
        <w:t>今年以来我街道贯彻执行《八公山区2025年政务公开重点工作任务分工》，重点公开与群众切身利益密切相关的事项，聚焦民生根本需求，扎实推进经济和社会发展、重点领域信息及基层政务公开规范化等公开工作，不断创新公开形式，拓宽公开领域，细化公开内容。2025年公开各类信息总计437条。</w:t>
      </w:r>
    </w:p>
    <w:p w14:paraId="53E681B7">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sz w:val="32"/>
          <w:szCs w:val="32"/>
          <w:lang w:val="en-US" w:eastAsia="zh-CN"/>
        </w:rPr>
        <w:t>（二）依申请公开。</w:t>
      </w:r>
      <w:r>
        <w:rPr>
          <w:rFonts w:hint="eastAsia" w:ascii="方正仿宋_GB2312" w:hAnsi="方正仿宋_GB2312" w:eastAsia="方正仿宋_GB2312" w:cs="方正仿宋_GB2312"/>
          <w:sz w:val="32"/>
          <w:szCs w:val="32"/>
          <w:lang w:val="en-US" w:eastAsia="zh-CN"/>
        </w:rPr>
        <w:t>2025年度新庄孜街道共受理依申请公开0件。收到行政复议或行政诉讼0件，</w:t>
      </w:r>
    </w:p>
    <w:p w14:paraId="0FCF548B">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sz w:val="32"/>
          <w:szCs w:val="32"/>
          <w:lang w:val="en-US" w:eastAsia="zh-CN"/>
        </w:rPr>
        <w:t>（三）政府信息管理。</w:t>
      </w:r>
      <w:r>
        <w:rPr>
          <w:rFonts w:hint="eastAsia" w:ascii="方正仿宋_GB2312" w:hAnsi="方正仿宋_GB2312" w:eastAsia="方正仿宋_GB2312" w:cs="方正仿宋_GB2312"/>
          <w:sz w:val="32"/>
          <w:szCs w:val="32"/>
          <w:lang w:val="en-US" w:eastAsia="zh-CN"/>
        </w:rPr>
        <w:t>一是健全信息梳理机制，明确街道各部门、社区信息梳理责任，对履行职责过程中制作或获取的政府信息进行全面梳理。二是严格保密审查制度，明确审查程序和责任，对拟公开的政府信息严格按照《中华人民共和国保守国家秘密法》等规定进行审查，全年未发生泄露国家秘密、商业秘密和个人隐私的情况。三是完善信息更新机制，定期对政府信息公开指南和公开目录进行更新，明确信息分类、编排体系、获取方式及工作机构联系方式，确保指南和目录的时效性、准确性。</w:t>
      </w:r>
    </w:p>
    <w:p w14:paraId="51F3AF9E">
      <w:pPr>
        <w:bidi w:val="0"/>
        <w:ind w:firstLine="640" w:firstLineChars="200"/>
        <w:rPr>
          <w:rFonts w:hint="eastAsia"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sz w:val="32"/>
          <w:szCs w:val="32"/>
          <w:lang w:val="en-US" w:eastAsia="zh-CN"/>
        </w:rPr>
        <w:t>（四）政府信息公开平台建设。</w:t>
      </w:r>
      <w:r>
        <w:rPr>
          <w:rFonts w:hint="eastAsia" w:ascii="方正仿宋_GB2312" w:hAnsi="方正仿宋_GB2312" w:eastAsia="方正仿宋_GB2312" w:cs="方正仿宋_GB2312"/>
          <w:sz w:val="32"/>
          <w:szCs w:val="32"/>
          <w:lang w:val="en-US" w:eastAsia="zh-CN"/>
        </w:rPr>
        <w:t>一是围绕建设法治政府部门全面推进政务公开。重点做好我街道坚持以公开为常态、不公开为例外，对我街道年度制定出台的政策文件、人大代表建议和政协委员提案办理结果、政务服务事项办理等，在指定网站公开。二是围绕重点领域加大主动公开力度。主动公开年度财政预决算信息，做好“社会救助”“社会保险”“老旧小区改造”等民生工程信息公开。三是增强舆情风险防控意识。密切监测收集苗头性政务舆情，做到及时预警、科学研判、妥善处置，坚决捍卫正确的舆论导向。</w:t>
      </w:r>
    </w:p>
    <w:p w14:paraId="4347BDE9">
      <w:pPr>
        <w:keepNext w:val="0"/>
        <w:keepLines w:val="0"/>
        <w:widowControl/>
        <w:suppressLineNumbers w:val="0"/>
        <w:jc w:val="left"/>
        <w:rPr>
          <w:rFonts w:hint="eastAsia" w:ascii="方正仿宋_GB2312" w:hAnsi="方正仿宋_GB2312" w:eastAsia="方正仿宋_GB2312" w:cs="方正仿宋_GB2312"/>
          <w:sz w:val="32"/>
          <w:szCs w:val="32"/>
          <w:lang w:val="en-US" w:eastAsia="zh-CN"/>
        </w:rPr>
      </w:pPr>
      <w:r>
        <w:rPr>
          <w:rFonts w:hint="eastAsia" w:ascii="方正楷体_GB2312" w:hAnsi="方正楷体_GB2312" w:eastAsia="方正楷体_GB2312" w:cs="方正楷体_GB2312"/>
          <w:sz w:val="32"/>
          <w:szCs w:val="32"/>
          <w:lang w:val="en-US" w:eastAsia="zh-CN"/>
        </w:rPr>
        <w:t>（五）监督保障。</w:t>
      </w:r>
      <w:r>
        <w:rPr>
          <w:rFonts w:hint="eastAsia" w:ascii="方正仿宋_GB2312" w:hAnsi="方正仿宋_GB2312" w:eastAsia="方正仿宋_GB2312" w:cs="方正仿宋_GB2312"/>
          <w:sz w:val="32"/>
          <w:szCs w:val="32"/>
          <w:lang w:val="en-US" w:eastAsia="zh-CN"/>
        </w:rPr>
        <w:t>一是定期组织工作人员参加业务培训，并且向先进单位进行学习，提升专业能力。二是定期开展政务信息公开自查自纠工作，完善公开栏目，贯彻落实责任与责任追究制度，切实把政府信息公开工作落到实处。三是本年度未开展社会评议；无政府信息公开责任追究情况。</w:t>
      </w:r>
    </w:p>
    <w:p w14:paraId="110CADAF">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二、主动公开政府信息情况</w:t>
      </w:r>
    </w:p>
    <w:tbl>
      <w:tblPr>
        <w:tblStyle w:val="3"/>
        <w:tblpPr w:leftFromText="180" w:rightFromText="180" w:vertAnchor="text" w:horzAnchor="page" w:tblpXSpec="center" w:tblpY="256"/>
        <w:tblOverlap w:val="never"/>
        <w:tblW w:w="8100" w:type="dxa"/>
        <w:jc w:val="center"/>
        <w:tblLayout w:type="autofit"/>
        <w:tblCellMar>
          <w:top w:w="0" w:type="dxa"/>
          <w:left w:w="0" w:type="dxa"/>
          <w:bottom w:w="0" w:type="dxa"/>
          <w:right w:w="0" w:type="dxa"/>
        </w:tblCellMar>
      </w:tblPr>
      <w:tblGrid>
        <w:gridCol w:w="2025"/>
        <w:gridCol w:w="2025"/>
        <w:gridCol w:w="2025"/>
        <w:gridCol w:w="2025"/>
      </w:tblGrid>
      <w:tr w14:paraId="1BF58C29">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6C49F92">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第二十条第（一）项</w:t>
            </w:r>
          </w:p>
        </w:tc>
      </w:tr>
      <w:tr w14:paraId="54DFE131">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8BFD7A">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12DE63C">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w:t>
            </w:r>
            <w:r>
              <w:rPr>
                <w:rFonts w:hint="default" w:ascii="Times New Roman" w:hAnsi="Times New Roman" w:eastAsia="宋体" w:cs="Times New Roman"/>
                <w:kern w:val="0"/>
                <w:sz w:val="20"/>
                <w:szCs w:val="20"/>
                <w:lang w:bidi="ar"/>
              </w:rPr>
              <w:t>制发件数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C8129C2">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本年废止件数</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D5039C9">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现行有效件</w:t>
            </w:r>
            <w:r>
              <w:rPr>
                <w:rFonts w:hint="default" w:ascii="Times New Roman" w:hAnsi="Times New Roman" w:eastAsia="宋体" w:cs="Times New Roman"/>
                <w:kern w:val="0"/>
                <w:sz w:val="20"/>
                <w:szCs w:val="20"/>
                <w:lang w:bidi="ar"/>
              </w:rPr>
              <w:t>数</w:t>
            </w:r>
          </w:p>
        </w:tc>
      </w:tr>
      <w:tr w14:paraId="7673AB4B">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02DCE41">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规章</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538F7ED">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D246D3C">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7D75B71">
            <w:pPr>
              <w:widowControl/>
              <w:ind w:left="0" w:leftChars="0" w:right="0" w:rightChars="0" w:firstLine="0" w:firstLineChars="0"/>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0</w:t>
            </w:r>
          </w:p>
        </w:tc>
      </w:tr>
      <w:tr w14:paraId="6F850943">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94A4551">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行政规范性文件</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2F4A0A0">
            <w:pPr>
              <w:widowControl/>
              <w:ind w:left="0" w:leftChars="0" w:right="0" w:rightChars="0" w:firstLine="0" w:firstLineChars="0"/>
              <w:jc w:val="center"/>
              <w:rPr>
                <w:rFonts w:hint="eastAsia" w:ascii="Times New Roman" w:hAnsi="Times New Roman" w:eastAsia="宋体" w:cs="Times New Roman"/>
                <w:lang w:eastAsia="zh-CN"/>
              </w:rPr>
            </w:pPr>
            <w:r>
              <w:rPr>
                <w:rFonts w:hint="eastAsia" w:ascii="Times New Roman" w:hAnsi="Times New Roman" w:eastAsia="宋体" w:cs="Times New Roman"/>
                <w:color w:val="000000"/>
                <w:kern w:val="0"/>
                <w:sz w:val="20"/>
                <w:szCs w:val="20"/>
                <w:lang w:val="en-US" w:eastAsia="zh-CN"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BAA820B">
            <w:pPr>
              <w:widowControl/>
              <w:ind w:left="0" w:leftChars="0" w:right="0" w:rightChars="0" w:firstLine="0" w:firstLineChars="0"/>
              <w:jc w:val="center"/>
              <w:rPr>
                <w:rFonts w:hint="default" w:ascii="Times New Roman" w:hAnsi="Times New Roman" w:eastAsia="宋体" w:cs="Times New Roman"/>
                <w:lang w:val="en-US" w:eastAsia="zh-CN"/>
              </w:rPr>
            </w:pPr>
            <w:r>
              <w:rPr>
                <w:rFonts w:hint="eastAsia" w:ascii="Times New Roman" w:hAnsi="Times New Roman" w:eastAsia="宋体" w:cs="Times New Roman"/>
                <w:color w:val="000000"/>
                <w:kern w:val="0"/>
                <w:sz w:val="20"/>
                <w:szCs w:val="20"/>
                <w:lang w:val="en-US" w:eastAsia="zh-CN" w:bidi="ar"/>
              </w:rPr>
              <w:t>0</w:t>
            </w:r>
          </w:p>
        </w:tc>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F59F759">
            <w:pPr>
              <w:widowControl/>
              <w:ind w:left="0" w:leftChars="0" w:right="0" w:rightChars="0" w:firstLine="0" w:firstLineChars="0"/>
              <w:jc w:val="center"/>
              <w:rPr>
                <w:rFonts w:hint="default" w:ascii="Times New Roman" w:hAnsi="Times New Roman" w:eastAsia="宋体" w:cs="Times New Roman"/>
                <w:color w:val="000000"/>
                <w:kern w:val="0"/>
                <w:sz w:val="20"/>
                <w:szCs w:val="20"/>
                <w:lang w:val="en-US" w:eastAsia="zh-CN" w:bidi="ar"/>
              </w:rPr>
            </w:pPr>
            <w:r>
              <w:rPr>
                <w:rFonts w:hint="eastAsia" w:ascii="Times New Roman" w:hAnsi="Times New Roman" w:eastAsia="宋体" w:cs="Times New Roman"/>
                <w:color w:val="000000"/>
                <w:kern w:val="0"/>
                <w:sz w:val="20"/>
                <w:szCs w:val="20"/>
                <w:lang w:val="en-US" w:eastAsia="zh-CN" w:bidi="ar"/>
              </w:rPr>
              <w:t>0</w:t>
            </w:r>
          </w:p>
        </w:tc>
      </w:tr>
      <w:tr w14:paraId="543D1481">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5EEBD1A0">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第二十条第（五）项</w:t>
            </w:r>
          </w:p>
        </w:tc>
      </w:tr>
      <w:tr w14:paraId="5AF8B616">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6CDAE7">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F17ABC3">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本年处理决定数量</w:t>
            </w:r>
          </w:p>
        </w:tc>
      </w:tr>
      <w:tr w14:paraId="5064A09C">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0872E0D">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行政许可</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2EB0E5F">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r>
      <w:tr w14:paraId="09F6FCB6">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0EFDEDB">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第二十条第（六）项</w:t>
            </w:r>
          </w:p>
        </w:tc>
      </w:tr>
      <w:tr w14:paraId="26C9E7CF">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A256B1C">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32DD4C">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本年处理决定数量</w:t>
            </w:r>
          </w:p>
        </w:tc>
      </w:tr>
      <w:tr w14:paraId="7E8CD0E3">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35A774A">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行政处罚</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FB4D3A5">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r>
      <w:tr w14:paraId="2C858201">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46FBAC0">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行政强制</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D64883A">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0</w:t>
            </w:r>
          </w:p>
        </w:tc>
      </w:tr>
      <w:tr w14:paraId="1D7524D1">
        <w:tblPrEx>
          <w:tblCellMar>
            <w:top w:w="0" w:type="dxa"/>
            <w:left w:w="0" w:type="dxa"/>
            <w:bottom w:w="0" w:type="dxa"/>
            <w:right w:w="0" w:type="dxa"/>
          </w:tblCellMar>
        </w:tblPrEx>
        <w:trPr>
          <w:trHeight w:val="377" w:hRule="atLeast"/>
          <w:jc w:val="center"/>
        </w:trPr>
        <w:tc>
          <w:tcPr>
            <w:tcW w:w="810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7F367F9F">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第二十条第（八）项</w:t>
            </w:r>
          </w:p>
        </w:tc>
      </w:tr>
      <w:tr w14:paraId="0DD68693">
        <w:tblPrEx>
          <w:tblCellMar>
            <w:top w:w="0" w:type="dxa"/>
            <w:left w:w="0" w:type="dxa"/>
            <w:bottom w:w="0" w:type="dxa"/>
            <w:right w:w="0" w:type="dxa"/>
          </w:tblCellMar>
        </w:tblPrEx>
        <w:trPr>
          <w:trHeight w:val="377"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5313E8">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信息内容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034C524">
            <w:pPr>
              <w:widowControl/>
              <w:ind w:left="0" w:leftChars="0" w:right="0" w:rightChars="0" w:firstLine="0" w:firstLineChars="0"/>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本年收费金额（单位：万元）</w:t>
            </w:r>
          </w:p>
        </w:tc>
      </w:tr>
      <w:tr w14:paraId="531B7093">
        <w:tblPrEx>
          <w:tblCellMar>
            <w:top w:w="0" w:type="dxa"/>
            <w:left w:w="0" w:type="dxa"/>
            <w:bottom w:w="0" w:type="dxa"/>
            <w:right w:w="0" w:type="dxa"/>
          </w:tblCellMar>
        </w:tblPrEx>
        <w:trPr>
          <w:trHeight w:val="415" w:hRule="atLeast"/>
          <w:jc w:val="center"/>
        </w:trPr>
        <w:tc>
          <w:tcPr>
            <w:tcW w:w="2025"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E53140C">
            <w:pPr>
              <w:widowControl/>
              <w:jc w:val="left"/>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行政事业性收费</w:t>
            </w:r>
          </w:p>
        </w:tc>
        <w:tc>
          <w:tcPr>
            <w:tcW w:w="6075"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4774B10">
            <w:pPr>
              <w:ind w:left="0" w:leftChars="0" w:right="0" w:rightChars="0" w:firstLine="0" w:firstLineChars="0"/>
              <w:jc w:val="center"/>
              <w:rPr>
                <w:rFonts w:hint="default" w:ascii="Times New Roman" w:hAnsi="Times New Roman" w:eastAsia="宋体" w:cs="Times New Roman"/>
                <w:sz w:val="24"/>
              </w:rPr>
            </w:pPr>
            <w:r>
              <w:rPr>
                <w:rFonts w:hint="default" w:ascii="Times New Roman" w:hAnsi="Times New Roman" w:eastAsia="宋体" w:cs="Times New Roman"/>
                <w:color w:val="000000"/>
                <w:kern w:val="0"/>
                <w:sz w:val="20"/>
                <w:szCs w:val="20"/>
                <w:lang w:bidi="ar"/>
              </w:rPr>
              <w:t>0</w:t>
            </w:r>
          </w:p>
        </w:tc>
      </w:tr>
    </w:tbl>
    <w:p w14:paraId="54FBD260">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三、收到和处理政府信息公开申请情况</w:t>
      </w:r>
    </w:p>
    <w:tbl>
      <w:tblPr>
        <w:tblStyle w:val="3"/>
        <w:tblW w:w="837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60"/>
        <w:gridCol w:w="810"/>
        <w:gridCol w:w="2769"/>
        <w:gridCol w:w="591"/>
        <w:gridCol w:w="591"/>
        <w:gridCol w:w="591"/>
        <w:gridCol w:w="591"/>
        <w:gridCol w:w="591"/>
        <w:gridCol w:w="593"/>
        <w:gridCol w:w="592"/>
      </w:tblGrid>
      <w:tr w14:paraId="72F4CB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0DBBDE">
            <w:pPr>
              <w:widowControl/>
              <w:jc w:val="left"/>
              <w:rPr>
                <w:rFonts w:hint="default" w:ascii="Times New Roman" w:hAnsi="Times New Roman" w:eastAsia="宋体" w:cs="Times New Roman"/>
              </w:rPr>
            </w:pPr>
            <w:r>
              <w:rPr>
                <w:rFonts w:hint="default" w:ascii="Times New Roman" w:hAnsi="Times New Roman" w:eastAsia="楷体" w:cs="Times New Roman"/>
                <w:kern w:val="0"/>
                <w:sz w:val="20"/>
                <w:szCs w:val="20"/>
                <w:lang w:bidi="ar"/>
              </w:rPr>
              <w:t>（本列数据的勾稽关系为：第一项加第二项之和，等于第三项加第四项之和）</w:t>
            </w:r>
          </w:p>
        </w:tc>
        <w:tc>
          <w:tcPr>
            <w:tcW w:w="4140" w:type="dxa"/>
            <w:gridSpan w:val="7"/>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3C321D1">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申请人情况</w:t>
            </w:r>
          </w:p>
        </w:tc>
      </w:tr>
      <w:tr w14:paraId="008A87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56541AC">
            <w:pPr>
              <w:rPr>
                <w:rFonts w:hint="default" w:ascii="Times New Roman" w:hAnsi="Times New Roman" w:eastAsia="宋体" w:cs="Times New Roman"/>
                <w:sz w:val="24"/>
              </w:rPr>
            </w:pPr>
          </w:p>
        </w:tc>
        <w:tc>
          <w:tcPr>
            <w:tcW w:w="591"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7E4E4E1">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自然人</w:t>
            </w:r>
          </w:p>
        </w:tc>
        <w:tc>
          <w:tcPr>
            <w:tcW w:w="2957" w:type="dxa"/>
            <w:gridSpan w:val="5"/>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C1E929D">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法人或其他组织</w:t>
            </w:r>
          </w:p>
        </w:tc>
        <w:tc>
          <w:tcPr>
            <w:tcW w:w="592"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88DEF34">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总计</w:t>
            </w:r>
          </w:p>
        </w:tc>
      </w:tr>
      <w:tr w14:paraId="100C87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423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10EEF2C">
            <w:pPr>
              <w:rPr>
                <w:rFonts w:hint="default" w:ascii="Times New Roman" w:hAnsi="Times New Roman" w:eastAsia="宋体" w:cs="Times New Roman"/>
                <w:sz w:val="24"/>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F423BD5">
            <w:pPr>
              <w:rPr>
                <w:rFonts w:hint="default" w:ascii="Times New Roman" w:hAnsi="Times New Roman" w:eastAsia="宋体" w:cs="Times New Roman"/>
                <w:sz w:val="24"/>
              </w:rPr>
            </w:pP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635815C">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商业</w:t>
            </w:r>
          </w:p>
          <w:p w14:paraId="3E7B38D5">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企业</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12831B">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科研</w:t>
            </w:r>
          </w:p>
          <w:p w14:paraId="193DE04E">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机构</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988276D">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社会公益组织</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C444A4B">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法律服务机构</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4390B8">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其他</w:t>
            </w:r>
          </w:p>
        </w:tc>
        <w:tc>
          <w:tcPr>
            <w:tcW w:w="592"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5CB6E7">
            <w:pPr>
              <w:rPr>
                <w:rFonts w:hint="default" w:ascii="Times New Roman" w:hAnsi="Times New Roman" w:eastAsia="宋体" w:cs="Times New Roman"/>
                <w:sz w:val="24"/>
              </w:rPr>
            </w:pPr>
          </w:p>
        </w:tc>
      </w:tr>
      <w:tr w14:paraId="73201C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048143B">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一、本年新收政府信息公开申请数量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585EB45">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8E6B4BF">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689E4B0">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49BC9F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9C7E26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DE5BB4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A235295">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r>
      <w:tr w14:paraId="4264D9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ED93BD">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二、上年结转政府信息公开申请数量</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E1CD9ED">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783B232">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6BEDF11">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0FB2111">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42F449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960D540">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0A2EC10">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2B0E7A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E2F9B8">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三、本年度办理结果</w:t>
            </w: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760D3AE">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（一）予以公开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3D98D94">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E34F079">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4932C95">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56B75B2">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192B031">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C133FF1">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F2C2C78">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r>
      <w:tr w14:paraId="3FA79C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44"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E01F5E7">
            <w:pPr>
              <w:rPr>
                <w:rFonts w:hint="default" w:ascii="Times New Roman" w:hAnsi="Times New Roman" w:eastAsia="宋体" w:cs="Times New Roman"/>
                <w:sz w:val="24"/>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3FDC772">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（二）部分公开</w:t>
            </w:r>
            <w:r>
              <w:rPr>
                <w:rFonts w:hint="default" w:ascii="Times New Roman" w:hAnsi="Times New Roman" w:eastAsia="楷体" w:cs="Times New Roman"/>
                <w:kern w:val="0"/>
                <w:sz w:val="20"/>
                <w:szCs w:val="20"/>
                <w:lang w:bidi="ar"/>
              </w:rPr>
              <w:t>（区分处理的，只计这一情形，不计其他情形）</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5970E15">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4D1B1F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1D5174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F4CDB40">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1BDD0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85445C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8874588">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7F4885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7B3576">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EE2891">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（三）不予公开</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FD11B27">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1.属于国家秘密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D771C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17A5EF">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5D87AC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C0425D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DDACC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6CE724">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EF36F18">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034DCB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811A1C2">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11303D3">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2EF29E6">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2.其他法律行政法规禁止公开</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7FCDE2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35FC37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7F6822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7E3540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0EC48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C5DB289">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0C91345">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42840C6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2908D04">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5CA3DD1">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01512F15">
            <w:pPr>
              <w:widowControl/>
              <w:jc w:val="left"/>
              <w:rPr>
                <w:rFonts w:hint="eastAsia" w:ascii="Times New Roman" w:hAnsi="Times New Roman" w:eastAsia="宋体" w:cs="Times New Roman"/>
                <w:lang w:eastAsia="zh-CN"/>
              </w:rPr>
            </w:pPr>
            <w:r>
              <w:rPr>
                <w:rFonts w:hint="default" w:ascii="Times New Roman" w:hAnsi="Times New Roman" w:eastAsia="宋体" w:cs="Times New Roman"/>
                <w:kern w:val="0"/>
                <w:sz w:val="20"/>
                <w:szCs w:val="20"/>
                <w:lang w:bidi="ar"/>
              </w:rPr>
              <w:t>3.危及</w:t>
            </w:r>
            <w:r>
              <w:rPr>
                <w:rFonts w:hint="eastAsia" w:ascii="Times New Roman" w:hAnsi="Times New Roman" w:eastAsia="宋体" w:cs="Times New Roman"/>
                <w:kern w:val="0"/>
                <w:sz w:val="20"/>
                <w:szCs w:val="20"/>
                <w:lang w:eastAsia="zh-CN" w:bidi="ar"/>
              </w:rPr>
              <w:t>“</w:t>
            </w:r>
            <w:r>
              <w:rPr>
                <w:rFonts w:hint="default" w:ascii="Times New Roman" w:hAnsi="Times New Roman" w:eastAsia="宋体" w:cs="Times New Roman"/>
                <w:kern w:val="0"/>
                <w:sz w:val="20"/>
                <w:szCs w:val="20"/>
                <w:lang w:bidi="ar"/>
              </w:rPr>
              <w:t>三安全一稳定</w:t>
            </w:r>
            <w:r>
              <w:rPr>
                <w:rFonts w:hint="eastAsia" w:ascii="Times New Roman" w:hAnsi="Times New Roman" w:eastAsia="宋体" w:cs="Times New Roman"/>
                <w:kern w:val="0"/>
                <w:sz w:val="20"/>
                <w:szCs w:val="20"/>
                <w:lang w:eastAsia="zh-CN" w:bidi="ar"/>
              </w:rPr>
              <w:t>”</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190BD1">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20BBFA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C4B949">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9F0E6B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637B75">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F34DB6C">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97C39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3680DD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47C5965">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061FB0">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20E376D6">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4.保护第三方合法权益</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747AB5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05B44F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BC333B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223D77D">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BF7459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51F8FA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BE2B49F">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030049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85D333E">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BCD700C">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68AC6559">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5.属于三类内部事务信息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E3F775F">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1767DE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B2210B2">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D9C7B8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274B682">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AD5107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2141D49">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710E50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681479E">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4909FD">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FAD1B5E">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6.属于四类过程性信息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7614DF4">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12DF63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84DE46C">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7FE54C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F1746C2">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371ADC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E6C32D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0194A1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E3351D">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7A69401">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3192DBB7">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7.属于行政执法案卷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30C040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C13058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BD4CB2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734039E">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1EA9D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FAEF4DF">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5FC6722">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0DFA78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5F60BFB">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F5784D8">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AD72C45">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8.属于行政查询事项</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9949EC5">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B42A5BF">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04E539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6A84BC">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1EB3902">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E1A29F">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E2A83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6330F7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868031F">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44BC4BC">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（四）无法提供</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3F0A5DFF">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1.本机关不掌握相关政府信息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6DFF243">
            <w:pPr>
              <w:widowControl/>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C677FF">
            <w:pPr>
              <w:widowControl/>
              <w:jc w:val="center"/>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D6972DF">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523E20">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CA11C59">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4B529BD">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94C567">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r>
      <w:tr w14:paraId="45B407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A54F453">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2E7E951">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63B9FC46">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2.没有现成信息需要另行制作</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D1CAC9C">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99ABA5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55BEFD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48FD60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DEEF92E">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35BD9D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009DE2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295891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0658DF0">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927DF8">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0BE435EC">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3.补正后申请内容仍不明确</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DA72AD">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211CF64">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28BD20">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89329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D14DE4">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B0C274">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30935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4E0DF2F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10E6C4B">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2EED58F">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（五）不予处理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037F3B7E">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1.信访举报投诉类申请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89AA7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10581A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F33309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8FF8BD">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446418C">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E80A7D2">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E86E308">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44A040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EDC2ABC">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1473044">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42F12CA1">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8C987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1B070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DC3EC9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07CE8D4">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6F55DA9">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86B0F8E">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BDEDA11">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208422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261E4EF">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30E0C8E">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1230A779">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3.要求提供公开出版物</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F201BE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B73FAA9">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3069832">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0CDAE7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6E926A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1E27FE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10964D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299322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9793C4C">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EB57159">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top"/>
          </w:tcPr>
          <w:p w14:paraId="77B0A3D4">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4.无正当理由大量反复申请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A8B665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E211312">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9E04E0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CBAAE44">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EC79EC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DFDEA4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7FAD468">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5DC541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9"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F0FC377">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CFBDA78">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D906F48">
            <w:pPr>
              <w:widowControl/>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5.要求行政机关确认或重新出具已获取信息</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09ED1BC">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F9A09C9">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E0C73B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D3C3A60">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2EF9BF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79755AE">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02E220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467A5E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688EED">
            <w:pPr>
              <w:rPr>
                <w:rFonts w:hint="default" w:ascii="Times New Roman" w:hAnsi="Times New Roman" w:eastAsia="宋体" w:cs="Times New Roman"/>
                <w:sz w:val="24"/>
              </w:rPr>
            </w:pPr>
          </w:p>
        </w:tc>
        <w:tc>
          <w:tcPr>
            <w:tcW w:w="810" w:type="dxa"/>
            <w:vMerge w:val="restart"/>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F648D65">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（六）其他处理</w:t>
            </w: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6082C53">
            <w:pPr>
              <w:widowControl/>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1.申请人无正当理由逾期不补正、行政机关不再处理其政府信息公开申请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2E1070">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785BFC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C85AEF1">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473A21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5B19EB0">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9E1D13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A4DFF1D">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64DFEE9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55"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7E4E4AA">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4E38BA5">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1CE5D4F">
            <w:pPr>
              <w:widowControl/>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2.申请人逾期未按收费通知要求缴纳费用、行政机关不再处理其政府信息公开申请</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68FCC88">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6622E3F">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1CBF5A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AD1CB9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FE31B21">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F9090BD">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AC27D5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5869EC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0A518E7">
            <w:pPr>
              <w:rPr>
                <w:rFonts w:hint="default" w:ascii="Times New Roman" w:hAnsi="Times New Roman" w:eastAsia="宋体" w:cs="Times New Roman"/>
                <w:sz w:val="24"/>
              </w:rPr>
            </w:pPr>
          </w:p>
        </w:tc>
        <w:tc>
          <w:tcPr>
            <w:tcW w:w="81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E88DFCE">
            <w:pPr>
              <w:rPr>
                <w:rFonts w:hint="default" w:ascii="Times New Roman" w:hAnsi="Times New Roman" w:eastAsia="宋体" w:cs="Times New Roman"/>
                <w:sz w:val="24"/>
              </w:rPr>
            </w:pPr>
          </w:p>
        </w:tc>
        <w:tc>
          <w:tcPr>
            <w:tcW w:w="2769"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67EC114">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3.其他</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3B4DA31">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574BF6E">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23FCC06C">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9D68E89">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7A7B69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6BD159E">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230B12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r w14:paraId="2AC6C3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2" w:hRule="atLeast"/>
          <w:jc w:val="center"/>
        </w:trPr>
        <w:tc>
          <w:tcPr>
            <w:tcW w:w="660" w:type="dxa"/>
            <w:vMerge w:val="continue"/>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61B11E3">
            <w:pPr>
              <w:rPr>
                <w:rFonts w:hint="default" w:ascii="Times New Roman" w:hAnsi="Times New Roman" w:eastAsia="宋体" w:cs="Times New Roman"/>
                <w:sz w:val="24"/>
              </w:rPr>
            </w:pPr>
          </w:p>
        </w:tc>
        <w:tc>
          <w:tcPr>
            <w:tcW w:w="3579" w:type="dxa"/>
            <w:gridSpan w:val="2"/>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F4F2557">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（七）总计</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8243EBA">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1ED7F71">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138D64E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A17DCC1">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D3E3C5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683D290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540E073">
            <w:pPr>
              <w:widowControl/>
              <w:jc w:val="center"/>
              <w:rPr>
                <w:rFonts w:hint="default" w:ascii="Times New Roman" w:hAnsi="Times New Roman" w:eastAsia="宋体" w:cs="Times New Roman"/>
                <w:sz w:val="20"/>
                <w:szCs w:val="20"/>
                <w:lang w:eastAsia="zh-CN"/>
              </w:rPr>
            </w:pPr>
            <w:r>
              <w:rPr>
                <w:rFonts w:hint="default" w:ascii="Times New Roman" w:hAnsi="Times New Roman" w:eastAsia="宋体" w:cs="Times New Roman"/>
                <w:kern w:val="0"/>
                <w:sz w:val="20"/>
                <w:szCs w:val="20"/>
                <w:lang w:val="en-US" w:eastAsia="zh-CN" w:bidi="ar"/>
              </w:rPr>
              <w:t>0</w:t>
            </w:r>
          </w:p>
        </w:tc>
      </w:tr>
      <w:tr w14:paraId="6FFC9A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52" w:hRule="atLeast"/>
          <w:jc w:val="center"/>
        </w:trPr>
        <w:tc>
          <w:tcPr>
            <w:tcW w:w="4239" w:type="dxa"/>
            <w:gridSpan w:val="3"/>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CCBE759">
            <w:pPr>
              <w:widowControl/>
              <w:jc w:val="left"/>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四、结转下年度继续办理</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B9B167A">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A432247">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6F406E6">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3809F682">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1"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56B74214">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3"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72C36A7B">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c>
          <w:tcPr>
            <w:tcW w:w="592" w:type="dxa"/>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0E85F693">
            <w:pPr>
              <w:widowControl/>
              <w:jc w:val="center"/>
              <w:rPr>
                <w:rFonts w:hint="default" w:ascii="Times New Roman" w:hAnsi="Times New Roman" w:eastAsia="宋体" w:cs="Times New Roman"/>
                <w:sz w:val="20"/>
                <w:szCs w:val="20"/>
              </w:rPr>
            </w:pPr>
            <w:r>
              <w:rPr>
                <w:rFonts w:hint="default" w:ascii="Times New Roman" w:hAnsi="Times New Roman" w:eastAsia="宋体" w:cs="Times New Roman"/>
                <w:kern w:val="0"/>
                <w:sz w:val="20"/>
                <w:szCs w:val="20"/>
                <w:lang w:bidi="ar"/>
              </w:rPr>
              <w:t>0</w:t>
            </w:r>
          </w:p>
        </w:tc>
      </w:tr>
    </w:tbl>
    <w:p w14:paraId="60E35DD7">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四、政府信息公开行政复议、行政诉讼情况</w:t>
      </w:r>
    </w:p>
    <w:tbl>
      <w:tblPr>
        <w:tblStyle w:val="3"/>
        <w:tblW w:w="78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520"/>
        <w:gridCol w:w="520"/>
        <w:gridCol w:w="520"/>
        <w:gridCol w:w="520"/>
        <w:gridCol w:w="522"/>
        <w:gridCol w:w="520"/>
        <w:gridCol w:w="520"/>
        <w:gridCol w:w="521"/>
        <w:gridCol w:w="521"/>
        <w:gridCol w:w="522"/>
        <w:gridCol w:w="521"/>
        <w:gridCol w:w="521"/>
        <w:gridCol w:w="521"/>
        <w:gridCol w:w="521"/>
        <w:gridCol w:w="529"/>
      </w:tblGrid>
      <w:tr w14:paraId="106C93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9" w:hRule="atLeast"/>
          <w:jc w:val="center"/>
        </w:trPr>
        <w:tc>
          <w:tcPr>
            <w:tcW w:w="260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56B3B98">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行政复议</w:t>
            </w:r>
          </w:p>
        </w:tc>
        <w:tc>
          <w:tcPr>
            <w:tcW w:w="5217"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6665933">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行政诉讼</w:t>
            </w:r>
          </w:p>
        </w:tc>
      </w:tr>
      <w:tr w14:paraId="6C0163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9" w:hRule="atLeast"/>
          <w:jc w:val="center"/>
        </w:trPr>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BD4EA3">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结果维持</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B67CCA9">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14:paraId="47E42BC3">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纠正</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5F4EF5A">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其他</w:t>
            </w:r>
          </w:p>
          <w:p w14:paraId="296C1384">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p>
        </w:tc>
        <w:tc>
          <w:tcPr>
            <w:tcW w:w="52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AD285F0">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14:paraId="2C290B3C">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审结</w:t>
            </w:r>
          </w:p>
        </w:tc>
        <w:tc>
          <w:tcPr>
            <w:tcW w:w="52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99EC9E">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总计</w:t>
            </w:r>
          </w:p>
        </w:tc>
        <w:tc>
          <w:tcPr>
            <w:tcW w:w="260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CBE085">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未经复议直接起诉</w:t>
            </w:r>
          </w:p>
        </w:tc>
        <w:tc>
          <w:tcPr>
            <w:tcW w:w="26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7E2A748">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复议后起诉</w:t>
            </w:r>
          </w:p>
        </w:tc>
      </w:tr>
      <w:tr w14:paraId="159041F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281" w:hRule="atLeast"/>
          <w:jc w:val="center"/>
        </w:trPr>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AACB43">
            <w:pPr>
              <w:rPr>
                <w:rFonts w:hint="default" w:ascii="Times New Roman" w:hAnsi="Times New Roman" w:eastAsia="宋体" w:cs="Times New Roman"/>
                <w:sz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BEBF46">
            <w:pPr>
              <w:rPr>
                <w:rFonts w:hint="default" w:ascii="Times New Roman" w:hAnsi="Times New Roman" w:eastAsia="宋体" w:cs="Times New Roman"/>
                <w:sz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4D61B5E">
            <w:pPr>
              <w:rPr>
                <w:rFonts w:hint="default" w:ascii="Times New Roman" w:hAnsi="Times New Roman" w:eastAsia="宋体" w:cs="Times New Roman"/>
                <w:sz w:val="24"/>
              </w:rPr>
            </w:pPr>
          </w:p>
        </w:tc>
        <w:tc>
          <w:tcPr>
            <w:tcW w:w="52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CD955C">
            <w:pPr>
              <w:rPr>
                <w:rFonts w:hint="default" w:ascii="Times New Roman" w:hAnsi="Times New Roman" w:eastAsia="宋体" w:cs="Times New Roman"/>
                <w:sz w:val="24"/>
              </w:rPr>
            </w:pPr>
          </w:p>
        </w:tc>
        <w:tc>
          <w:tcPr>
            <w:tcW w:w="52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F88E1B6">
            <w:pPr>
              <w:rPr>
                <w:rFonts w:hint="default" w:ascii="Times New Roman" w:hAnsi="Times New Roman" w:eastAsia="宋体" w:cs="Times New Roman"/>
                <w:sz w:val="24"/>
              </w:rPr>
            </w:pP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35C3E56">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14:paraId="2EE48717">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维持</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D8920D8">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14:paraId="7140212E">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纠正</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6E41303">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其他</w:t>
            </w:r>
          </w:p>
          <w:p w14:paraId="6EA548F4">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结果</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B34D08">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14:paraId="673387C4">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审结</w:t>
            </w:r>
          </w:p>
        </w:tc>
        <w:tc>
          <w:tcPr>
            <w:tcW w:w="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7502CCE">
            <w:pPr>
              <w:widowControl/>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总计</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65BC6DF">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14:paraId="68FEE94D">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维持</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32FDA47">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结果</w:t>
            </w:r>
          </w:p>
          <w:p w14:paraId="4DC84AB8">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纠正</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E7C2FA4">
            <w:pPr>
              <w:widowControl/>
              <w:jc w:val="center"/>
              <w:rPr>
                <w:rFonts w:hint="default" w:ascii="Times New Roman" w:hAnsi="Times New Roman" w:eastAsia="宋体" w:cs="Times New Roman"/>
                <w:color w:val="000000"/>
                <w:kern w:val="0"/>
                <w:sz w:val="20"/>
                <w:szCs w:val="20"/>
                <w:lang w:bidi="ar"/>
              </w:rPr>
            </w:pPr>
            <w:r>
              <w:rPr>
                <w:rFonts w:hint="default" w:ascii="Times New Roman" w:hAnsi="Times New Roman" w:eastAsia="宋体" w:cs="Times New Roman"/>
                <w:color w:val="000000"/>
                <w:kern w:val="0"/>
                <w:sz w:val="20"/>
                <w:szCs w:val="20"/>
                <w:lang w:bidi="ar"/>
              </w:rPr>
              <w:t>其他</w:t>
            </w:r>
          </w:p>
          <w:p w14:paraId="31882CA9">
            <w:pPr>
              <w:widowControl/>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结果</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F9A2CE0">
            <w:pPr>
              <w:widowControl/>
              <w:jc w:val="center"/>
              <w:rPr>
                <w:rFonts w:hint="default" w:ascii="Times New Roman" w:hAnsi="Times New Roman" w:eastAsia="宋体" w:cs="Times New Roman"/>
                <w:kern w:val="0"/>
                <w:sz w:val="20"/>
                <w:szCs w:val="20"/>
                <w:lang w:bidi="ar"/>
              </w:rPr>
            </w:pPr>
            <w:r>
              <w:rPr>
                <w:rFonts w:hint="default" w:ascii="Times New Roman" w:hAnsi="Times New Roman" w:eastAsia="宋体" w:cs="Times New Roman"/>
                <w:kern w:val="0"/>
                <w:sz w:val="20"/>
                <w:szCs w:val="20"/>
                <w:lang w:bidi="ar"/>
              </w:rPr>
              <w:t>尚未</w:t>
            </w:r>
          </w:p>
          <w:p w14:paraId="51A688CE">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审结</w:t>
            </w:r>
          </w:p>
        </w:tc>
        <w:tc>
          <w:tcPr>
            <w:tcW w:w="52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B6320D3">
            <w:pPr>
              <w:widowControl/>
              <w:jc w:val="center"/>
              <w:rPr>
                <w:rFonts w:hint="default" w:ascii="Times New Roman" w:hAnsi="Times New Roman" w:eastAsia="宋体" w:cs="Times New Roman"/>
              </w:rPr>
            </w:pPr>
            <w:r>
              <w:rPr>
                <w:rFonts w:hint="default" w:ascii="Times New Roman" w:hAnsi="Times New Roman" w:eastAsia="宋体" w:cs="Times New Roman"/>
                <w:color w:val="000000"/>
                <w:kern w:val="0"/>
                <w:sz w:val="20"/>
                <w:szCs w:val="20"/>
                <w:lang w:bidi="ar"/>
              </w:rPr>
              <w:t>总计</w:t>
            </w:r>
          </w:p>
        </w:tc>
      </w:tr>
      <w:tr w14:paraId="213873A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44" w:hRule="atLeast"/>
          <w:jc w:val="center"/>
        </w:trPr>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81E0B08">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5A72408">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08219E61">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0E70500">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E257E1">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A8297D8">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4528358">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AECA87">
            <w:pPr>
              <w:widowControl/>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4C267EB">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469C9B">
            <w:pPr>
              <w:widowControl/>
              <w:jc w:val="center"/>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0</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186267F">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9A369C1">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28AFD5">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7FE5056">
            <w:pPr>
              <w:widowControl/>
              <w:jc w:val="center"/>
              <w:rPr>
                <w:rFonts w:hint="default" w:ascii="Times New Roman" w:hAnsi="Times New Roman" w:eastAsia="宋体" w:cs="Times New Roman"/>
              </w:rPr>
            </w:pPr>
            <w:r>
              <w:rPr>
                <w:rFonts w:hint="default" w:ascii="Times New Roman" w:hAnsi="Times New Roman" w:eastAsia="宋体" w:cs="Times New Roman"/>
                <w:kern w:val="0"/>
                <w:sz w:val="20"/>
                <w:szCs w:val="20"/>
                <w:lang w:bidi="ar"/>
              </w:rPr>
              <w:t>0</w:t>
            </w:r>
          </w:p>
        </w:tc>
        <w:tc>
          <w:tcPr>
            <w:tcW w:w="529"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C87233D">
            <w:pPr>
              <w:widowControl/>
              <w:jc w:val="center"/>
              <w:rPr>
                <w:rFonts w:hint="default" w:ascii="Times New Roman" w:hAnsi="Times New Roman" w:eastAsia="宋体" w:cs="Times New Roman"/>
                <w:sz w:val="24"/>
              </w:rPr>
            </w:pPr>
            <w:r>
              <w:rPr>
                <w:rFonts w:hint="default" w:ascii="Times New Roman" w:hAnsi="Times New Roman" w:eastAsia="宋体" w:cs="Times New Roman"/>
                <w:kern w:val="0"/>
                <w:sz w:val="20"/>
                <w:szCs w:val="20"/>
                <w:lang w:bidi="ar"/>
              </w:rPr>
              <w:t>0</w:t>
            </w:r>
          </w:p>
        </w:tc>
      </w:tr>
    </w:tbl>
    <w:p w14:paraId="43364EA6">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五、存在的主要问题及改进情况</w:t>
      </w:r>
    </w:p>
    <w:p w14:paraId="2D2009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yellow"/>
          <w:lang w:val="en-US" w:eastAsia="zh-CN" w:bidi="ar-SA"/>
        </w:rPr>
      </w:pPr>
      <w:r>
        <w:rPr>
          <w:rFonts w:hint="eastAsia" w:ascii="楷体_GB2312" w:hAnsi="楷体_GB2312" w:eastAsia="楷体_GB2312" w:cs="楷体_GB2312"/>
          <w:kern w:val="2"/>
          <w:sz w:val="32"/>
          <w:szCs w:val="32"/>
          <w:lang w:val="en-US" w:eastAsia="zh-CN" w:bidi="ar-SA"/>
        </w:rPr>
        <w:t>（一）存在问题。</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一是政务公开内容深度不够。部分公开事项内容较为浅显，缺乏</w:t>
      </w:r>
      <w:r>
        <w:rPr>
          <w:rFonts w:hint="eastAsia" w:ascii="仿宋_GB2312" w:hAnsi="仿宋_GB2312" w:eastAsia="仿宋_GB2312" w:cs="仿宋_GB2312"/>
          <w:i w:val="0"/>
          <w:iCs w:val="0"/>
          <w:caps w:val="0"/>
          <w:color w:val="333333"/>
          <w:spacing w:val="0"/>
          <w:sz w:val="32"/>
          <w:szCs w:val="32"/>
          <w:shd w:val="clear" w:fill="FFFFFF"/>
          <w:lang w:val="en-US" w:eastAsia="zh-CN"/>
        </w:rPr>
        <w:t>细化拆解；政策解读形式单一，仅采用文字解读方式，解读效果有待提升。二是政务公开的专业性不足。政务公开工作专业性较强，部分公开栏目对工作人员专业知识储备要求较高。</w:t>
      </w:r>
    </w:p>
    <w:p w14:paraId="4E93FE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highlight w:val="yellow"/>
          <w:lang w:val="en-US" w:eastAsia="zh-CN" w:bidi="ar-SA"/>
        </w:rPr>
      </w:pPr>
      <w:r>
        <w:rPr>
          <w:rFonts w:hint="eastAsia" w:ascii="楷体_GB2312" w:hAnsi="楷体_GB2312" w:eastAsia="楷体_GB2312" w:cs="楷体_GB2312"/>
          <w:kern w:val="2"/>
          <w:sz w:val="32"/>
          <w:szCs w:val="32"/>
          <w:lang w:val="en-US" w:eastAsia="zh-CN" w:bidi="ar-SA"/>
        </w:rPr>
        <w:t>（二）改进情况。</w:t>
      </w:r>
      <w:r>
        <w:rPr>
          <w:rFonts w:hint="eastAsia" w:ascii="仿宋_GB2312" w:hAnsi="仿宋_GB2312" w:eastAsia="仿宋_GB2312" w:cs="仿宋_GB2312"/>
          <w:i w:val="0"/>
          <w:iCs w:val="0"/>
          <w:caps w:val="0"/>
          <w:color w:val="333333"/>
          <w:spacing w:val="0"/>
          <w:sz w:val="32"/>
          <w:szCs w:val="32"/>
          <w:highlight w:val="none"/>
          <w:shd w:val="clear" w:fill="FFFFFF"/>
          <w:lang w:val="en-US" w:eastAsia="zh-CN"/>
        </w:rPr>
        <w:t>一是加强工作人员专业能力建设。定期参加政务公开专题业务培训，</w:t>
      </w:r>
      <w:r>
        <w:rPr>
          <w:rFonts w:hint="eastAsia" w:ascii="仿宋_GB2312" w:hAnsi="仿宋_GB2312" w:eastAsia="仿宋_GB2312" w:cs="仿宋_GB2312"/>
          <w:i w:val="0"/>
          <w:iCs w:val="0"/>
          <w:caps w:val="0"/>
          <w:color w:val="333333"/>
          <w:spacing w:val="0"/>
          <w:sz w:val="32"/>
          <w:szCs w:val="32"/>
          <w:shd w:val="clear" w:fill="FFFFFF"/>
          <w:lang w:val="en-US" w:eastAsia="zh-CN"/>
        </w:rPr>
        <w:t>主动与先进单位交流学习，系统借鉴其先进工作经验与创新实践举措全面提升专业素养与履职效能，着力推动街道政务公开工作提质增效、提档升级。二是提升信息公开质量。建立健全重大决策预公开机制，拓宽公众参与渠道，深化政民互动交流；丰富政策解读形式，积极拓展解读渠道，综合运用专家解读、图画解析等多种形式，增强政策解读的通俗性与易懂性，提升解读实效。</w:t>
      </w:r>
    </w:p>
    <w:p w14:paraId="74924322">
      <w:pPr>
        <w:bidi w:val="0"/>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六、其他需要报告的事项</w:t>
      </w:r>
    </w:p>
    <w:p w14:paraId="01349F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按照《国务院办公厅关于印发〈政府信息公开信息处理费管理办法〉的通知》（国办函〔2020〕109号）规定的按件、按量收费标准，本年度没有产生信息公开处理费。</w:t>
      </w:r>
    </w:p>
    <w:p w14:paraId="04C29F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人大办理情况。</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lang w:val="en-US" w:eastAsia="zh-CN"/>
        </w:rPr>
        <w:t>本年度，我街道共办理区人大代表建议29件，内容涉及城市管理、民生服务、交通运输等问题，均在规定时限内答复代表，代表委员对答复内容比较满意。</w:t>
      </w:r>
    </w:p>
    <w:p w14:paraId="3D0311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color w:val="auto"/>
          <w:sz w:val="32"/>
          <w:szCs w:val="32"/>
          <w:lang w:val="en-US" w:eastAsia="zh-CN"/>
        </w:rPr>
        <w:t>本年度贯彻执行《八公山区2025年政务公开重点工作任务分工》。</w:t>
      </w:r>
      <w:r>
        <w:rPr>
          <w:rFonts w:hint="eastAsia" w:ascii="仿宋_GB2312" w:hAnsi="仿宋_GB2312" w:eastAsia="仿宋_GB2312" w:cs="仿宋_GB2312"/>
          <w:i w:val="0"/>
          <w:iCs w:val="0"/>
          <w:caps w:val="0"/>
          <w:color w:val="333333"/>
          <w:spacing w:val="0"/>
          <w:sz w:val="32"/>
          <w:szCs w:val="32"/>
          <w:shd w:val="clear" w:fill="FFFFFF"/>
          <w:lang w:val="en-US" w:eastAsia="zh-CN"/>
        </w:rPr>
        <w:t>完善工作机制，规范公开流程。清晰界定政务公开的范畴、内容、形式、程序及时限要求，规范政务公开操作，确保工作有规可依，重要信息由办公室主任审核，全力保障公开信息的精准性、权威性与安全性。</w:t>
      </w:r>
    </w:p>
    <w:p w14:paraId="13152A0C">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PSEMBED7">
    <w:panose1 w:val="02000000000000000000"/>
    <w:charset w:val="86"/>
    <w:family w:val="auto"/>
    <w:pitch w:val="default"/>
    <w:sig w:usb0="A00002BF" w:usb1="184F6CFA" w:usb2="00000012" w:usb3="00000000" w:csb0="00040001" w:csb1="00000000"/>
  </w:font>
  <w:font w:name="WPSEMBED8">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242DA"/>
    <w:rsid w:val="059A29F4"/>
    <w:rsid w:val="0EB43660"/>
    <w:rsid w:val="15D72EF0"/>
    <w:rsid w:val="1692020A"/>
    <w:rsid w:val="16AC01DC"/>
    <w:rsid w:val="18BC7F53"/>
    <w:rsid w:val="1F597C95"/>
    <w:rsid w:val="229179F2"/>
    <w:rsid w:val="24082FAE"/>
    <w:rsid w:val="245933CD"/>
    <w:rsid w:val="246A2461"/>
    <w:rsid w:val="35A91561"/>
    <w:rsid w:val="38E36C46"/>
    <w:rsid w:val="3AB72586"/>
    <w:rsid w:val="3C862FBA"/>
    <w:rsid w:val="43A43973"/>
    <w:rsid w:val="482D5E99"/>
    <w:rsid w:val="49AE152C"/>
    <w:rsid w:val="4FEC080D"/>
    <w:rsid w:val="52E60DE0"/>
    <w:rsid w:val="5B1B6770"/>
    <w:rsid w:val="5CE55DEB"/>
    <w:rsid w:val="5DEA76CF"/>
    <w:rsid w:val="67F242DA"/>
    <w:rsid w:val="74EB3E4C"/>
    <w:rsid w:val="7AB76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2079</Words>
  <Characters>2176</Characters>
  <Lines>0</Lines>
  <Paragraphs>0</Paragraphs>
  <TotalTime>11</TotalTime>
  <ScaleCrop>false</ScaleCrop>
  <LinksUpToDate>false</LinksUpToDate>
  <CharactersWithSpaces>2176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2026-01-12T01:21:00Z</dcterms:created>
  <dc:creator>WPS_1697186249</dc:creator>
  <cp:lastModifiedBy>WPS_1697186249</cp:lastModifiedBy>
  <dcterms:modified xsi:type="dcterms:W3CDTF">2026-01-30T02:25:05Z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38B99ED0305F49E9B4D572BCF45B0D0C_11</vt:lpwstr>
  </property>
  <property fmtid="{D5CDD505-2E9C-101B-9397-08002B2CF9AE}" pid="4" name="KSOTemplateDocerSaveRecord">
    <vt:lpwstr>eyJoZGlkIjoiZTkwMjFhYmY2ODNiNWVkMWU5YWYzMGIyYTkwOTZhMTMiLCJ1c2VySWQiOiIxNTQ5MzM5MTI3In0=</vt:lpwstr>
  </property>
</Properties>
</file>