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7347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_GBK" w:hAnsi="方正小标宋_GBK" w:eastAsia="方正小标宋_GBK" w:cs="方正小标宋_GBK"/>
          <w:b w:val="0"/>
          <w:bCs w:val="0"/>
          <w:sz w:val="44"/>
          <w:szCs w:val="44"/>
          <w:lang w:val="en-US" w:eastAsia="zh-CN"/>
        </w:rPr>
      </w:pPr>
    </w:p>
    <w:p w14:paraId="745E71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方正小标宋_GBK" w:hAnsi="方正小标宋_GBK" w:eastAsia="方正小标宋_GBK" w:cs="方正小标宋_GBK"/>
          <w:b w:val="0"/>
          <w:bCs w:val="0"/>
          <w:sz w:val="44"/>
          <w:szCs w:val="44"/>
          <w:lang w:val="en-US" w:eastAsia="zh-CN"/>
        </w:rPr>
      </w:pPr>
    </w:p>
    <w:p w14:paraId="339BFF8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八公山区人民政府办公室关于印发《八公山区企业国有资产监督管理暂行办法》的通知</w:t>
      </w:r>
    </w:p>
    <w:p w14:paraId="103D9C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淮八府办〔2023〕4号</w:t>
      </w:r>
    </w:p>
    <w:p w14:paraId="7BA37108">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textAlignment w:val="auto"/>
        <w:rPr>
          <w:rFonts w:hint="eastAsia"/>
        </w:rPr>
      </w:pPr>
    </w:p>
    <w:p w14:paraId="563C0F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各镇人民政府、各街道办事处、区直各部门、各直属机构：</w:t>
      </w:r>
    </w:p>
    <w:p w14:paraId="1C932D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现将《八公山区企业国有资产监督管理暂行办法》印发给你们，请认真学习并做好贯彻落实。</w:t>
      </w:r>
      <w:bookmarkStart w:id="3" w:name="_GoBack"/>
      <w:bookmarkEnd w:id="3"/>
    </w:p>
    <w:p w14:paraId="1D89E892">
      <w:pPr>
        <w:bidi w:val="0"/>
        <w:jc w:val="left"/>
        <w:rPr>
          <w:rFonts w:hint="eastAsia"/>
          <w:sz w:val="32"/>
          <w:szCs w:val="32"/>
          <w:lang w:val="en-US" w:eastAsia="zh-CN"/>
        </w:rPr>
      </w:pPr>
    </w:p>
    <w:p w14:paraId="2DD6E033">
      <w:pPr>
        <w:pStyle w:val="2"/>
        <w:ind w:left="0" w:leftChars="0" w:firstLine="0" w:firstLineChars="0"/>
        <w:rPr>
          <w:rFonts w:hint="eastAsia"/>
          <w:lang w:val="en-US" w:eastAsia="zh-CN"/>
        </w:rPr>
      </w:pPr>
    </w:p>
    <w:p w14:paraId="005C2318">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八公山区人民政府办公室</w:t>
      </w:r>
    </w:p>
    <w:p w14:paraId="07B96EDB">
      <w:pPr>
        <w:keepNext w:val="0"/>
        <w:keepLines w:val="0"/>
        <w:pageBreakBefore w:val="0"/>
        <w:widowControl w:val="0"/>
        <w:kinsoku/>
        <w:wordWrap/>
        <w:overflowPunct/>
        <w:topLinePunct w:val="0"/>
        <w:autoSpaceDE/>
        <w:autoSpaceDN/>
        <w:bidi w:val="0"/>
        <w:adjustRightInd/>
        <w:snapToGrid/>
        <w:ind w:right="1008" w:rightChars="480"/>
        <w:jc w:val="righ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bidi="ar-SA"/>
        </w:rPr>
        <w:t>2023</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bidi="ar-SA"/>
        </w:rPr>
        <w:t>3</w:t>
      </w:r>
      <w:r>
        <w:rPr>
          <w:rFonts w:hint="eastAsia" w:ascii="方正仿宋_GBK" w:hAnsi="方正仿宋_GBK" w:eastAsia="方正仿宋_GBK" w:cs="方正仿宋_GBK"/>
          <w:sz w:val="32"/>
          <w:szCs w:val="32"/>
          <w:lang w:val="en-US" w:eastAsia="zh-CN"/>
        </w:rPr>
        <w:t>日</w:t>
      </w:r>
    </w:p>
    <w:p w14:paraId="4DBFC9EE">
      <w:pPr>
        <w:bidi w:val="0"/>
        <w:jc w:val="left"/>
        <w:rPr>
          <w:rFonts w:hint="eastAsia"/>
          <w:sz w:val="32"/>
          <w:szCs w:val="32"/>
        </w:rPr>
      </w:pPr>
    </w:p>
    <w:p w14:paraId="0CBE3792">
      <w:pPr>
        <w:rPr>
          <w:rFonts w:hint="eastAsia"/>
          <w:lang w:eastAsia="zh-CN"/>
        </w:rPr>
      </w:pPr>
      <w:r>
        <w:rPr>
          <w:rFonts w:hint="eastAsia"/>
          <w:lang w:eastAsia="zh-CN"/>
        </w:rPr>
        <w:br w:type="page"/>
      </w:r>
    </w:p>
    <w:p w14:paraId="0C63AEDD">
      <w:pPr>
        <w:pStyle w:val="2"/>
        <w:rPr>
          <w:rFonts w:hint="eastAsia"/>
          <w:lang w:eastAsia="zh-CN"/>
        </w:rPr>
      </w:pPr>
    </w:p>
    <w:p w14:paraId="771AC50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八公山区企业国有资产监督管理暂行办法</w:t>
      </w:r>
    </w:p>
    <w:p w14:paraId="0F925616">
      <w:pPr>
        <w:pStyle w:val="2"/>
        <w:rPr>
          <w:rFonts w:hint="eastAsia"/>
        </w:rPr>
      </w:pPr>
    </w:p>
    <w:p w14:paraId="15283EB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bookmarkStart w:id="0" w:name="_Toc123894336"/>
      <w:bookmarkStart w:id="1" w:name="_Toc54945187"/>
      <w:r>
        <w:rPr>
          <w:rFonts w:hint="eastAsia" w:ascii="方正黑体_GBK" w:hAnsi="方正黑体_GBK" w:eastAsia="方正黑体_GBK" w:cs="方正黑体_GBK"/>
          <w:kern w:val="0"/>
          <w:sz w:val="32"/>
          <w:szCs w:val="32"/>
          <w:shd w:val="clear" w:color="auto" w:fill="FFFFFF"/>
          <w:lang w:val="en-US" w:eastAsia="zh-CN" w:bidi="ar-SA"/>
        </w:rPr>
        <w:t>第一章  总  则</w:t>
      </w:r>
      <w:bookmarkEnd w:id="0"/>
      <w:bookmarkEnd w:id="1"/>
    </w:p>
    <w:p w14:paraId="3B6357B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第一条  </w:t>
      </w:r>
      <w:r>
        <w:rPr>
          <w:rFonts w:hint="eastAsia" w:ascii="方正仿宋_GBK" w:hAnsi="方正仿宋_GBK" w:eastAsia="方正仿宋_GBK" w:cs="方正仿宋_GBK"/>
          <w:kern w:val="0"/>
          <w:sz w:val="32"/>
          <w:szCs w:val="32"/>
          <w:shd w:val="clear" w:color="auto" w:fill="FFFFFF"/>
          <w:lang w:val="en-US" w:eastAsia="zh-CN" w:bidi="ar-SA"/>
        </w:rPr>
        <w:t>为加强企业国有资产监督管理，实现国有资产保值增值，依据国务院《企业国有资产监督管理暂行条例》、《安徽省企业国有资产监督管理暂行办法》和《淮南市企业国有资产监督管理暂行办法》等法律法规，结合本区实际，制定本办法。</w:t>
      </w:r>
    </w:p>
    <w:p w14:paraId="6302A15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第二条  </w:t>
      </w:r>
      <w:r>
        <w:rPr>
          <w:rFonts w:hint="eastAsia" w:ascii="方正仿宋_GBK" w:hAnsi="方正仿宋_GBK" w:eastAsia="方正仿宋_GBK" w:cs="方正仿宋_GBK"/>
          <w:kern w:val="0"/>
          <w:sz w:val="32"/>
          <w:szCs w:val="32"/>
          <w:shd w:val="clear" w:color="auto" w:fill="FFFFFF"/>
          <w:lang w:val="en-US" w:eastAsia="zh-CN" w:bidi="ar-SA"/>
        </w:rPr>
        <w:t>本区国有及国有控股企业、国有参股企业中的国有资产的监督管理，适用本办法。金融类等国有企业的国有资产监督管理另有规定的，从其规定。</w:t>
      </w:r>
    </w:p>
    <w:p w14:paraId="36BC64E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第三条</w:t>
      </w:r>
      <w:r>
        <w:rPr>
          <w:rFonts w:hint="eastAsia" w:ascii="方正仿宋_GBK" w:hAnsi="方正仿宋_GBK" w:eastAsia="方正仿宋_GBK" w:cs="方正仿宋_GBK"/>
          <w:kern w:val="0"/>
          <w:sz w:val="32"/>
          <w:szCs w:val="32"/>
          <w:shd w:val="clear" w:color="auto" w:fill="FFFFFF"/>
          <w:lang w:val="en-US" w:eastAsia="zh-CN" w:bidi="ar-SA"/>
        </w:rPr>
        <w:t xml:space="preserve">  本办法所称企业国有资产是指国家对企业各种形式的投资和投资所形成的权益以及依法认定为国家所有的其他权益。</w:t>
      </w:r>
    </w:p>
    <w:p w14:paraId="6BADBA4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第四条</w:t>
      </w:r>
      <w:r>
        <w:rPr>
          <w:rFonts w:hint="eastAsia" w:ascii="方正仿宋_GBK" w:hAnsi="方正仿宋_GBK" w:eastAsia="方正仿宋_GBK" w:cs="方正仿宋_GBK"/>
          <w:kern w:val="0"/>
          <w:sz w:val="32"/>
          <w:szCs w:val="32"/>
          <w:shd w:val="clear" w:color="auto" w:fill="FFFFFF"/>
          <w:lang w:val="en-US" w:eastAsia="zh-CN" w:bidi="ar-SA"/>
        </w:rPr>
        <w:t xml:space="preserve">  八公山区人民政府（以下称区政府）代表国家对本区国有及国有控股企业、国有参股企业履行出资人职责。</w:t>
      </w:r>
    </w:p>
    <w:p w14:paraId="6AC742E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区政府根据企业的性质，授权国有资产监管机构，依法履行出资人职责，对国有企业进行监督管理。</w:t>
      </w:r>
    </w:p>
    <w:p w14:paraId="5B24A3E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国有资产监管机构应当制订具体企业（以下统称国有企业）名单，经区政府同意后公布，并报省国有资产监督管理部门备案。</w:t>
      </w:r>
    </w:p>
    <w:p w14:paraId="56ABA10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国有资产监督管理机构应当准确把握依法履行出资人职责的定位，科学界定国有资产出资人监管的边界，建立监管权力清单和责任清单，突出以管资本为主的工作职能。</w:t>
      </w:r>
    </w:p>
    <w:p w14:paraId="1306317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应当依法建立健全国有企业的法人治理结构，充分发挥公司章程在企业治理中的基础作用，严格规范出资人代表机构、股东（大）会、党组织、董事会、监事会、经理层和职工代表大会的权责，保障有效履职。</w:t>
      </w:r>
    </w:p>
    <w:p w14:paraId="32E2813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第七条</w:t>
      </w:r>
      <w:r>
        <w:rPr>
          <w:rFonts w:hint="eastAsia" w:ascii="方正仿宋_GBK" w:hAnsi="方正仿宋_GBK" w:eastAsia="方正仿宋_GBK" w:cs="方正仿宋_GBK"/>
          <w:kern w:val="0"/>
          <w:sz w:val="32"/>
          <w:szCs w:val="32"/>
          <w:shd w:val="clear" w:color="auto" w:fill="FFFFFF"/>
          <w:lang w:val="en-US" w:eastAsia="zh-CN" w:bidi="ar-SA"/>
        </w:rPr>
        <w:t xml:space="preserve">  所出资企业及其投资设立的企业，享有有关法律、法规和规章规定的企业经营自主权，并对其经营管理的企业国有资产承担保值增值责任。</w:t>
      </w:r>
    </w:p>
    <w:p w14:paraId="6E9B995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国有资产监督管理机构应当支持企业依法自主经营，除履行出资人职责以外，不得干预企业的生产经营活动。</w:t>
      </w:r>
    </w:p>
    <w:p w14:paraId="3527895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第八条  </w:t>
      </w:r>
      <w:r>
        <w:rPr>
          <w:rFonts w:hint="eastAsia" w:ascii="方正仿宋_GBK" w:hAnsi="方正仿宋_GBK" w:eastAsia="方正仿宋_GBK" w:cs="方正仿宋_GBK"/>
          <w:kern w:val="0"/>
          <w:sz w:val="32"/>
          <w:szCs w:val="32"/>
          <w:shd w:val="clear" w:color="auto" w:fill="FFFFFF"/>
          <w:lang w:val="en-US" w:eastAsia="zh-CN" w:bidi="ar-SA"/>
        </w:rPr>
        <w:t>国有企业党委（党组）发挥领导作用，把方向、管大局、保落实，依照规定讨论和决定企业重大事项。将党建工作总体要求纳入区属国有企业章程，坚持和完善双向进入、交叉任职的领导体制。</w:t>
      </w:r>
    </w:p>
    <w:p w14:paraId="0CB816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重大经营管理事项必须经企业党组织研究讨论后，由董事会或经理层作出决定。</w:t>
      </w:r>
    </w:p>
    <w:p w14:paraId="28B9859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第九条  </w:t>
      </w:r>
      <w:r>
        <w:rPr>
          <w:rFonts w:hint="eastAsia" w:ascii="方正仿宋_GBK" w:hAnsi="方正仿宋_GBK" w:eastAsia="方正仿宋_GBK" w:cs="方正仿宋_GBK"/>
          <w:kern w:val="0"/>
          <w:sz w:val="32"/>
          <w:szCs w:val="32"/>
          <w:shd w:val="clear" w:color="auto" w:fill="FFFFFF"/>
          <w:lang w:val="en-US" w:eastAsia="zh-CN" w:bidi="ar-SA"/>
        </w:rPr>
        <w:t>国有企业应当加强董事会建设，优化董事会组成结构，提升董事会决策水平。</w:t>
      </w:r>
    </w:p>
    <w:p w14:paraId="3A808CC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事会依照法定程序和公司章程授权，决定公司重大事项，接受股东（大）会、监事会监督。</w:t>
      </w:r>
    </w:p>
    <w:p w14:paraId="3450C75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国有独资、全资公司应当按照规定建立外部董事占多数的董事会，国有控股企业实行外部董事派出制度。</w:t>
      </w:r>
    </w:p>
    <w:p w14:paraId="65DB3D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C0CDE2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第二章  企业负责人管理</w:t>
      </w:r>
    </w:p>
    <w:p w14:paraId="4ED6F10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国有资产监督管理机构依据有关规定，任免或者建议任免所出资企业的企业负责人：</w:t>
      </w:r>
    </w:p>
    <w:p w14:paraId="2A679CC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（一）国有独资企业的总经理、副总经理；</w:t>
      </w:r>
    </w:p>
    <w:p w14:paraId="3F82A02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（二）国有独资公司的董事长、副董事长、董事、监事会主席；</w:t>
      </w:r>
    </w:p>
    <w:p w14:paraId="57E6E26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（三）提出向国有控股公司派出的董事、监事人选，推荐董事长、副董事长、监事会主席人选；</w:t>
      </w:r>
    </w:p>
    <w:p w14:paraId="659574B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（四）提出向国有参股公司派出的董事、监事人选。</w:t>
      </w:r>
    </w:p>
    <w:p w14:paraId="6937573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第十一条 </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国有资产监督管理机构建立健全所出资企业负责人的经营业绩考核制度，实行年度考核与任期考核相结合、结果考核与过程考核相统一、考核结果与奖惩相挂钩。</w:t>
      </w:r>
    </w:p>
    <w:p w14:paraId="29B557E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所出资企业负责人经营业绩考核应当遵循以下规定：</w:t>
      </w:r>
    </w:p>
    <w:p w14:paraId="09144E3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坚持高质量发展。牢固树立新发展理念，以供给侧结构性改革为主线，大力推动创新驱动发展，持续增强国有经济的竞争力、创新力、控制力、影响力和抗风险能力，实现质量更高、效益更好、结果更优的发展，不断做强做优做大国有资本；</w:t>
      </w:r>
    </w:p>
    <w:p w14:paraId="7A6256B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（二）坚持依法依规。准确把握出资人监管边界，依法合规履行出资人职权，以管资本为主加强国有资产监管，有效落实国有资产保值增值责任；</w:t>
      </w:r>
    </w:p>
    <w:p w14:paraId="34AFB4F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（三）坚持分类考核。根据国有资本的战略定位和发展目标，对不同功能和类别的企业，统筹考虑企业肩负的经济责任、政治责任、社会责任，确定不同考核重点，设置不同考核指标及权重；</w:t>
      </w:r>
    </w:p>
    <w:p w14:paraId="19DF335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坚持激励与约束并重。坚持权责利相统一，建立与企业负责人选任方式相匹配、与企业功能性质相适应、与经营业绩相挂钩的差异化激励约束机制。坚持“业绩升、薪酬升，业绩降、薪酬降”，将经营业绩考核结果作为企业负责人薪酬分配的主要依据和职务调整的重要依据。</w:t>
      </w:r>
    </w:p>
    <w:p w14:paraId="74C3512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第十二条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国有资产监督管理机构依据公司法和有关规定，制定所出资企业负责人薪酬管理办法，确定国有独资企业和国有独资公司负责人的薪酬，向国有控股公司提出企业负责人薪酬建议方案。</w:t>
      </w:r>
    </w:p>
    <w:p w14:paraId="4B6C7ED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所出资企业负责人薪酬管理应当遵循以下规定:</w:t>
      </w:r>
    </w:p>
    <w:p w14:paraId="7A45AEC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（一）坚持报酬与风险、责任相一致，与经营业绩挂钩，促进国有资本保值增值;</w:t>
      </w:r>
    </w:p>
    <w:p w14:paraId="009798C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（二）坚持短期激励与长期激励相结合，促进企业可持续发展;</w:t>
      </w:r>
    </w:p>
    <w:p w14:paraId="36675F9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（三）坚持激励与约束相统一，促进收入分配公正、透明，行为规范;</w:t>
      </w:r>
    </w:p>
    <w:p w14:paraId="522518C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（四）坚持效率优先、兼顾公平;</w:t>
      </w:r>
    </w:p>
    <w:p w14:paraId="7CAF553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（五）坚持薪酬制度改革与相关改革配套进行，推进企业负责人收入分配的市场化、规范化。</w:t>
      </w:r>
    </w:p>
    <w:p w14:paraId="290CFF5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0FF1B9A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第三章  企业重大事项管理</w:t>
      </w:r>
    </w:p>
    <w:p w14:paraId="6F08183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第十三条</w:t>
      </w:r>
      <w:r>
        <w:rPr>
          <w:rFonts w:hint="eastAsia" w:ascii="方正仿宋_GBK" w:hAnsi="方正仿宋_GBK" w:eastAsia="方正仿宋_GBK" w:cs="方正仿宋_GBK"/>
          <w:kern w:val="0"/>
          <w:sz w:val="32"/>
          <w:szCs w:val="32"/>
          <w:shd w:val="clear" w:color="auto" w:fill="FFFFFF"/>
          <w:lang w:val="en-US" w:eastAsia="zh-CN" w:bidi="ar-SA"/>
        </w:rPr>
        <w:t xml:space="preserve">  国有企业的下列重大事项应当由国有资产监管机构审核同意后，报区政府批准：</w:t>
      </w:r>
    </w:p>
    <w:p w14:paraId="0E49586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（一）重要的国有独资企业和国有独资公司的分立、合并、破产、解散以及重组、股份制改造方案；</w:t>
      </w:r>
    </w:p>
    <w:p w14:paraId="153C1F3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（二）国有及国有控股企业转让全部国有股权或者转让部分国有股权致使国家不再拥有控股地位，在增资扩股中全部或者部分放弃国有股认股权；</w:t>
      </w:r>
    </w:p>
    <w:p w14:paraId="08CC762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（三）区政府规定的其他重大事项。</w:t>
      </w:r>
    </w:p>
    <w:p w14:paraId="03A2694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国有独资企业和国有独资公司对外投资、对外担保、对外出借资金、年度融资计划等企业重大事项，由国有资产监管机构审查后报区投融资工作领导小组会议研究。</w:t>
      </w:r>
    </w:p>
    <w:p w14:paraId="1E6F11F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第十四条 </w:t>
      </w:r>
      <w:r>
        <w:rPr>
          <w:rFonts w:hint="eastAsia" w:ascii="方正仿宋_GBK" w:hAnsi="方正仿宋_GBK" w:eastAsia="方正仿宋_GBK" w:cs="方正仿宋_GBK"/>
          <w:kern w:val="0"/>
          <w:sz w:val="32"/>
          <w:szCs w:val="32"/>
          <w:shd w:val="clear" w:color="auto" w:fill="FFFFFF"/>
          <w:lang w:val="en-US" w:eastAsia="zh-CN" w:bidi="ar-SA"/>
        </w:rPr>
        <w:t xml:space="preserve"> 国有企业的下列重大事项应当报国有资产监管机构审核批准：</w:t>
      </w:r>
    </w:p>
    <w:p w14:paraId="2DE28A1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（一）国有独资公司章程的制定和修改；</w:t>
      </w:r>
    </w:p>
    <w:p w14:paraId="7A3EA1B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（二）国有独资企业和国有独资公司的重组、股份制改造方案；</w:t>
      </w:r>
    </w:p>
    <w:p w14:paraId="673DEAD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（三）国有独资企业和国有独资公司的分立、合并、破产、解散、增减注册资本或者发行公司债券；</w:t>
      </w:r>
    </w:p>
    <w:p w14:paraId="7348025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（四）不改变国有股权控股地位的股权转让；</w:t>
      </w:r>
    </w:p>
    <w:p w14:paraId="2B1062F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（五）区政府规定的其他重大事项。</w:t>
      </w:r>
    </w:p>
    <w:p w14:paraId="75A79B3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第十五条  </w:t>
      </w:r>
      <w:r>
        <w:rPr>
          <w:rFonts w:hint="eastAsia" w:ascii="方正仿宋_GBK" w:hAnsi="方正仿宋_GBK" w:eastAsia="方正仿宋_GBK" w:cs="方正仿宋_GBK"/>
          <w:kern w:val="0"/>
          <w:sz w:val="32"/>
          <w:szCs w:val="32"/>
          <w:shd w:val="clear" w:color="auto" w:fill="FFFFFF"/>
          <w:lang w:val="en-US" w:eastAsia="zh-CN" w:bidi="ar-SA"/>
        </w:rPr>
        <w:t>国有企业的下列重大事项应当向国有资产监管机构报告：</w:t>
      </w:r>
    </w:p>
    <w:p w14:paraId="08A4F1B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（一）发生较大以上安全生产事故；</w:t>
      </w:r>
    </w:p>
    <w:p w14:paraId="123680E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（二）发生较大法律纠纷案件；</w:t>
      </w:r>
    </w:p>
    <w:p w14:paraId="262DE1A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（三）区政府规定的其他事项。</w:t>
      </w:r>
    </w:p>
    <w:p w14:paraId="6022E56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第十六条  </w:t>
      </w:r>
      <w:r>
        <w:rPr>
          <w:rFonts w:hint="eastAsia" w:ascii="方正仿宋_GBK" w:hAnsi="方正仿宋_GBK" w:eastAsia="方正仿宋_GBK" w:cs="方正仿宋_GBK"/>
          <w:kern w:val="0"/>
          <w:sz w:val="32"/>
          <w:szCs w:val="32"/>
          <w:shd w:val="clear" w:color="auto" w:fill="FFFFFF"/>
          <w:lang w:val="en-US" w:eastAsia="zh-CN" w:bidi="ar-SA"/>
        </w:rPr>
        <w:t>国有控股公司、国有参股公司的股东会、董事会决定公司的分立、合并、破产、解散、增减资本、发行公司债券、任免企业负责人及企业负责人薪酬方案等重大事项时，国有资产监督管理机构派出的股东代表、董事，应当事前向国有资产监督管理机构报告，按照国有资产监督管理机构的指示发表意见、行使表决权，并在股东会、董事会闭会之日起</w:t>
      </w:r>
      <w:r>
        <w:rPr>
          <w:rFonts w:hint="eastAsia" w:ascii="Times New Roman" w:hAnsi="Times New Roman" w:eastAsia="方正仿宋_GBK" w:cs="Times New Roman"/>
          <w:sz w:val="32"/>
          <w:szCs w:val="32"/>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个工作日内将其履行职责的有关情况向国有资产监督管理机构提交书面报告。</w:t>
      </w:r>
    </w:p>
    <w:p w14:paraId="788A4F8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B0D43A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bookmarkStart w:id="2" w:name="_Toc32441"/>
      <w:r>
        <w:rPr>
          <w:rFonts w:hint="eastAsia" w:ascii="方正黑体_GBK" w:hAnsi="方正黑体_GBK" w:eastAsia="方正黑体_GBK" w:cs="方正黑体_GBK"/>
          <w:kern w:val="0"/>
          <w:sz w:val="32"/>
          <w:szCs w:val="32"/>
          <w:shd w:val="clear" w:color="auto" w:fill="FFFFFF"/>
          <w:lang w:val="en-US" w:eastAsia="zh-CN" w:bidi="ar-SA"/>
        </w:rPr>
        <w:t>第四章  企业国有资产管理</w:t>
      </w:r>
    </w:p>
    <w:p w14:paraId="2A934FC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第十七条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国有资产监管机构负责企业国有资产的产权界定，管理企业国有资产占有、变动、注销的产权登记活动，协调处理国有企业之间的企业国有资产产权纠纷。</w:t>
      </w:r>
    </w:p>
    <w:p w14:paraId="25828F4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第十八条</w:t>
      </w:r>
      <w:r>
        <w:rPr>
          <w:rFonts w:hint="eastAsia" w:ascii="方正仿宋_GBK" w:hAnsi="方正仿宋_GBK" w:eastAsia="方正仿宋_GBK" w:cs="方正仿宋_GBK"/>
          <w:kern w:val="0"/>
          <w:sz w:val="32"/>
          <w:szCs w:val="32"/>
          <w:shd w:val="clear" w:color="auto" w:fill="FFFFFF"/>
          <w:lang w:val="en-US" w:eastAsia="zh-CN" w:bidi="ar-SA"/>
        </w:rPr>
        <w:t xml:space="preserve">  占有国有资产的企业进行资产交易、权属变动等涉及国有资产出资人权益的行为时，应当委托具有相应资质的资产评估机构进行资产评估。国有资产评估项目按照有关规定实行核准制和备案制。</w:t>
      </w:r>
    </w:p>
    <w:p w14:paraId="334898F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第十九条 </w:t>
      </w:r>
      <w:r>
        <w:rPr>
          <w:rFonts w:hint="eastAsia" w:ascii="方正仿宋_GBK" w:hAnsi="方正仿宋_GBK" w:eastAsia="方正仿宋_GBK" w:cs="方正仿宋_GBK"/>
          <w:kern w:val="0"/>
          <w:sz w:val="32"/>
          <w:szCs w:val="32"/>
          <w:shd w:val="clear" w:color="auto" w:fill="FFFFFF"/>
          <w:lang w:val="en-US" w:eastAsia="zh-CN" w:bidi="ar-SA"/>
        </w:rPr>
        <w:t xml:space="preserve"> 国有企业应当制定资产转让内部管理制度，明确责任部门、管理权限、决策程序、工作流程，对应当在产权交易机构公开转让的资产种类、金额标准等作出具体规定。</w:t>
      </w:r>
    </w:p>
    <w:p w14:paraId="0D09FF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第二十条 </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国有资产监管机构负责组织、指导和监督国有企业的清产核资，并对各项资产损溢进行认定。</w:t>
      </w:r>
    </w:p>
    <w:p w14:paraId="3F4F441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第二十一条 </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国有资产监督管理机构对所出资企业的企业国有资产收益依法履行出资人职责；对所出资企业的重大投融资规划、发展战略和规划，依照国家产业政策履行出资人职责。</w:t>
      </w:r>
    </w:p>
    <w:p w14:paraId="5674557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第二十二条 </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国有资产监管机构负责企业国有资产统计报告工作的组织实施和监督检查，收集、审核、汇总企业国有资产统计报告，向区政府报告企业国有资产运营情况。</w:t>
      </w:r>
    </w:p>
    <w:p w14:paraId="74D2A92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国有企业应当定期向国有资产监管机构报告财务状况、生产经营状况、投资完成情况和国有资产保值增值状况。</w:t>
      </w:r>
    </w:p>
    <w:p w14:paraId="528F3E1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1BA306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第五章  企业国有资产监督</w:t>
      </w:r>
    </w:p>
    <w:p w14:paraId="750CC93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第二十三条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国有资产监督管理机构依照规定向所出资企业委派监事。</w:t>
      </w:r>
    </w:p>
    <w:p w14:paraId="79A2F98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第二十四条</w:t>
      </w:r>
      <w:r>
        <w:rPr>
          <w:rFonts w:hint="eastAsia" w:ascii="方正仿宋_GBK" w:hAnsi="方正仿宋_GBK" w:eastAsia="方正仿宋_GBK" w:cs="方正仿宋_GBK"/>
          <w:kern w:val="0"/>
          <w:sz w:val="32"/>
          <w:szCs w:val="32"/>
          <w:shd w:val="clear" w:color="auto" w:fill="FFFFFF"/>
          <w:lang w:val="en-US" w:eastAsia="zh-CN" w:bidi="ar-SA"/>
        </w:rPr>
        <w:t xml:space="preserve">  所出资企业应当接受审计等有关部门依法实施的审计监督。</w:t>
      </w:r>
    </w:p>
    <w:bookmarkEnd w:id="2"/>
    <w:p w14:paraId="453A222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第二十五条</w:t>
      </w:r>
      <w:r>
        <w:rPr>
          <w:rFonts w:hint="eastAsia" w:ascii="方正仿宋_GBK" w:hAnsi="方正仿宋_GBK" w:eastAsia="方正仿宋_GBK" w:cs="方正仿宋_GBK"/>
          <w:kern w:val="0"/>
          <w:sz w:val="32"/>
          <w:szCs w:val="32"/>
          <w:shd w:val="clear" w:color="auto" w:fill="FFFFFF"/>
          <w:lang w:val="en-US" w:eastAsia="zh-CN" w:bidi="ar-SA"/>
        </w:rPr>
        <w:t xml:space="preserve">  国有及国有控股企业应当加强内部监督和风险控制，健全科学决策机制，健全财务、审计、企业法律顾问和职工民主监督等制度。</w:t>
      </w:r>
    </w:p>
    <w:p w14:paraId="53F63DD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第二十六条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国有资产监督管理机构负责指导企业法律顾问制度建设，按照有关规定承担企业法律顾问行业管理工作。</w:t>
      </w:r>
    </w:p>
    <w:p w14:paraId="65142D9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第二十七条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国有资产监督管理机构应当建立健全所出资企业中国有及国有控股企业的企业负责人重大决策失误责任追究制度，明确其因不当决策给企业国有资产造成损失应当承担的责任。</w:t>
      </w:r>
    </w:p>
    <w:p w14:paraId="70BCB4C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第六章  法律责任</w:t>
      </w:r>
    </w:p>
    <w:p w14:paraId="3BED380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第二十八条</w:t>
      </w:r>
      <w:r>
        <w:rPr>
          <w:rFonts w:hint="eastAsia" w:ascii="方正仿宋_GBK" w:hAnsi="方正仿宋_GBK" w:eastAsia="方正仿宋_GBK" w:cs="方正仿宋_GBK"/>
          <w:kern w:val="0"/>
          <w:sz w:val="32"/>
          <w:szCs w:val="32"/>
          <w:shd w:val="clear" w:color="auto" w:fill="FFFFFF"/>
          <w:lang w:val="en-US" w:eastAsia="zh-CN" w:bidi="ar-SA"/>
        </w:rPr>
        <w:t xml:space="preserve">  国有资产监督管理机构不按规定任免或者建议任免所出资企业的负责人，或者违法干预所出资企业的生产经营活动，侵犯其合法权益，造成企业国有资产损失或者其他严重后果的，对直接负责的主管人员和其他直接责任人员依法给予政务处分；构成犯罪的，依法追究刑事责任。</w:t>
      </w:r>
    </w:p>
    <w:p w14:paraId="0A9356C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第二十九条</w:t>
      </w:r>
      <w:r>
        <w:rPr>
          <w:rFonts w:hint="eastAsia" w:ascii="方正仿宋_GBK" w:hAnsi="方正仿宋_GBK" w:eastAsia="方正仿宋_GBK" w:cs="方正仿宋_GBK"/>
          <w:kern w:val="0"/>
          <w:sz w:val="32"/>
          <w:szCs w:val="32"/>
          <w:shd w:val="clear" w:color="auto" w:fill="FFFFFF"/>
          <w:lang w:val="en-US" w:eastAsia="zh-CN" w:bidi="ar-SA"/>
        </w:rPr>
        <w:t xml:space="preserve">  对所出资企业中的国有独资企业、国有独资公司未按照规定报告财务状况、生产经营状况和国有资产保值增值状况的，国有资产监督管理机构应予以警告；情节严重的，对直接负责的主管人员和其他直接责任人员依法给予纪律处分。</w:t>
      </w:r>
    </w:p>
    <w:p w14:paraId="4032F50E"/>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910EFB8-A82D-4AB7-84FC-B1DD7527E8CD}"/>
  </w:font>
  <w:font w:name="方正小标宋_GBK">
    <w:panose1 w:val="02000000000000000000"/>
    <w:charset w:val="86"/>
    <w:family w:val="auto"/>
    <w:pitch w:val="default"/>
    <w:sig w:usb0="A00002BF" w:usb1="38CF7CFA" w:usb2="00082016" w:usb3="00000000" w:csb0="00040001" w:csb1="00000000"/>
    <w:embedRegular r:id="rId2" w:fontKey="{0F2A2B5A-F28B-4801-9D43-1A9977C85116}"/>
  </w:font>
  <w:font w:name="方正仿宋_GBK">
    <w:panose1 w:val="02000000000000000000"/>
    <w:charset w:val="86"/>
    <w:family w:val="auto"/>
    <w:pitch w:val="default"/>
    <w:sig w:usb0="A00002BF" w:usb1="38CF7CFA" w:usb2="00082016" w:usb3="00000000" w:csb0="00040001" w:csb1="00000000"/>
    <w:embedRegular r:id="rId3" w:fontKey="{EF223AB2-ABEA-45B2-8DE0-7E9C1273C5D6}"/>
  </w:font>
  <w:font w:name="方正黑体_GBK">
    <w:panose1 w:val="02010600010101010101"/>
    <w:charset w:val="86"/>
    <w:family w:val="auto"/>
    <w:pitch w:val="default"/>
    <w:sig w:usb0="00000001" w:usb1="080E0000" w:usb2="00000000" w:usb3="00000000" w:csb0="00040000" w:csb1="00000000"/>
    <w:embedRegular r:id="rId4" w:fontKey="{F7429C10-478D-421B-977F-759701B316A3}"/>
  </w:font>
  <w:font w:name="仿宋">
    <w:panose1 w:val="02010609060101010101"/>
    <w:charset w:val="86"/>
    <w:family w:val="auto"/>
    <w:pitch w:val="default"/>
    <w:sig w:usb0="800002BF" w:usb1="38CF7CFA" w:usb2="00000016" w:usb3="00000000" w:csb0="00040001" w:csb1="00000000"/>
    <w:embedRegular r:id="rId5" w:fontKey="{288DA545-EA4E-4D7A-BDAD-85E8A46F81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49DC">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5029200</wp:posOffset>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9362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396pt;margin-top:11.25pt;height:144pt;width:144pt;mso-position-horizontal-relative:margin;mso-wrap-style:none;z-index:251661312;mso-width-relative:page;mso-height-relative:page;" filled="f" stroked="f" coordsize="21600,21600" o:gfxdata="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gFIp7WAAAACwEAAA8AAAAAAAAAAQAgAAAAIgAAAGRycy9kb3du&#10;cmV2LnhtbFBLAQIUABQAAAAIAIdO4kAadoHJyAEAAJkDAAAOAAAAAAAAAAEAIAAAACUBAABkcnMv&#10;ZTJvRG9jLnhtbFBLBQYAAAAABgAGAFkBAABfBQAAAAA=&#10;">
              <v:fill on="f" focussize="0,0"/>
              <v:stroke on="f"/>
              <v:imagedata o:title=""/>
              <o:lock v:ext="edit" aspectratio="f"/>
              <v:textbox inset="0mm,0mm,0mm,0mm" style="mso-fit-shape-to-text:t;">
                <w:txbxContent>
                  <w:p w14:paraId="1CB9362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E863933">
    <w:pPr>
      <w:pStyle w:val="4"/>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160020</wp:posOffset>
              </wp:positionV>
              <wp:extent cx="5616575" cy="1905"/>
              <wp:effectExtent l="0" t="10795" r="6985" b="17780"/>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6pt;height:0.15pt;width:442.25pt;z-index:251660288;mso-width-relative:page;mso-height-relative:page;" filled="f" stroked="t" coordsize="21600,21600" o:gfxdata="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BDH3SAAAABgEAAA8AAAAAAAAAAQAgAAAAIgAAAGRycy9kb3ducmV2LnhtbFBLAQIU&#10;ABQAAAAIAIdO4kAAY59X+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八八公山区人民政府办公室</w:t>
    </w:r>
    <w:r>
      <w:rPr>
        <w:rFonts w:hint="eastAsia" w:ascii="宋体" w:hAnsi="宋体" w:eastAsia="宋体" w:cs="宋体"/>
        <w:b/>
        <w:bCs/>
        <w:color w:val="005192"/>
        <w:sz w:val="28"/>
        <w:szCs w:val="44"/>
        <w:lang w:val="en-US" w:eastAsia="zh-CN"/>
      </w:rPr>
      <w:t>发布</w:t>
    </w:r>
  </w:p>
  <w:p w14:paraId="3086D9A7">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B96E">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0" b="11430"/>
              <wp:wrapNone/>
              <wp:docPr id="3" name="直接连接符 3"/>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ZwwyNIAAAAJAQAADwAAAAAAAAABACAAAAAiAAAAZHJzL2Rvd25yZXYueG1sUEsBAhQA&#10;FAAAAAgAh07iQB23dpr4AQAA5QMAAA4AAAAAAAAAAQAgAAAAIQEAAGRycy9lMm9Eb2MueG1sUEsF&#10;BgAAAAAGAAYAWQEAAIsFAAAAAA==&#10;">
              <v:fill on="f" focussize="0,0"/>
              <v:stroke weight="1.75pt" color="#005192" joinstyle="round"/>
              <v:imagedata o:title=""/>
              <o:lock v:ext="edit" aspectratio="f"/>
            </v:line>
          </w:pict>
        </mc:Fallback>
      </mc:AlternateContent>
    </w:r>
  </w:p>
  <w:p w14:paraId="1C03C964">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2065" b="1206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八公山区人民政府</w:t>
    </w:r>
    <w:r>
      <w:rPr>
        <w:rFonts w:hint="eastAsia" w:ascii="宋体" w:hAnsi="宋体" w:cs="宋体"/>
        <w:b/>
        <w:bCs/>
        <w:color w:val="005192"/>
        <w:sz w:val="32"/>
        <w:lang w:val="en-US" w:eastAsia="zh-CN"/>
      </w:rPr>
      <w:t>办公室</w:t>
    </w:r>
    <w:r>
      <w:rPr>
        <w:rFonts w:hint="eastAsia" w:ascii="宋体" w:hAnsi="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formatting="1" w:enforcement="1" w:cryptProviderType="rsaFull" w:cryptAlgorithmClass="hash" w:cryptAlgorithmType="typeAny" w:cryptAlgorithmSid="4" w:cryptSpinCount="0" w:hash="BnzdtNUEdHY0kSg5XedmCjdLAOQ=" w:salt="cApUAGLSx5xwAhofOFLz2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46DF0660"/>
    <w:rsid w:val="0CF053C7"/>
    <w:rsid w:val="28584393"/>
    <w:rsid w:val="2A4F2B5E"/>
    <w:rsid w:val="2FAC25D3"/>
    <w:rsid w:val="46DF0660"/>
    <w:rsid w:val="665A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3642</Words>
  <Characters>3648</Characters>
  <Lines>0</Lines>
  <Paragraphs>0</Paragraphs>
  <TotalTime>37</TotalTime>
  <ScaleCrop>false</ScaleCrop>
  <LinksUpToDate>false</LinksUpToDate>
  <CharactersWithSpaces>3720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2024-04-12T01:18:00Z</dcterms:created>
  <dc:creator>南方的树</dc:creator>
  <cp:lastModifiedBy>道颜i</cp:lastModifiedBy>
  <dcterms:modified xsi:type="dcterms:W3CDTF">2026-01-05T01:36:13Z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D577816EBD09466198BDFC90DE58BB3B_11</vt:lpwstr>
  </property>
  <property fmtid="{D5CDD505-2E9C-101B-9397-08002B2CF9AE}" pid="4" name="KSOTemplateDocerSaveRecord">
    <vt:lpwstr>eyJoZGlkIjoiZmNmNjU5MmNlNjQxMjU5YWRlOTgxODBmMjAyZmRhNzUiLCJ1c2VySWQiOiIzMTk5OTgwNTcifQ==</vt:lpwstr>
  </property>
</Properties>
</file>