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1F514">
      <w:pPr>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eastAsia="zh-CN"/>
        </w:rPr>
        <w:t>附件</w:t>
      </w:r>
      <w:r>
        <w:rPr>
          <w:rFonts w:hint="eastAsia" w:ascii="仿宋" w:hAnsi="仿宋" w:eastAsia="仿宋" w:cs="仿宋"/>
          <w:b w:val="0"/>
          <w:bCs/>
          <w:sz w:val="32"/>
          <w:szCs w:val="32"/>
          <w:lang w:val="en-US" w:eastAsia="zh-CN"/>
        </w:rPr>
        <w:t>2：部门三公经费公开</w:t>
      </w:r>
    </w:p>
    <w:p w14:paraId="7D73C2C4">
      <w:pPr>
        <w:jc w:val="both"/>
        <w:rPr>
          <w:rFonts w:hint="default" w:ascii="黑体" w:hAnsi="黑体" w:eastAsia="黑体" w:cs="黑体"/>
          <w:b w:val="0"/>
          <w:bCs/>
          <w:sz w:val="32"/>
          <w:szCs w:val="32"/>
          <w:lang w:val="en-US" w:eastAsia="zh-CN"/>
        </w:rPr>
      </w:pPr>
    </w:p>
    <w:p w14:paraId="1CAD8C41">
      <w:pPr>
        <w:jc w:val="center"/>
        <w:rPr>
          <w:rFonts w:hint="eastAsia" w:ascii="宋体" w:hAnsi="宋体"/>
          <w:b/>
          <w:sz w:val="36"/>
          <w:szCs w:val="36"/>
        </w:rPr>
      </w:pPr>
      <w:r>
        <w:rPr>
          <w:rFonts w:hint="eastAsia" w:ascii="宋体" w:hAnsi="宋体"/>
          <w:b/>
          <w:sz w:val="36"/>
          <w:szCs w:val="36"/>
          <w:lang w:eastAsia="zh-CN"/>
        </w:rPr>
        <w:t>淮南市八公山区八公山镇卫生院202</w:t>
      </w:r>
      <w:r>
        <w:rPr>
          <w:rFonts w:hint="eastAsia" w:ascii="宋体" w:hAnsi="宋体"/>
          <w:b/>
          <w:sz w:val="36"/>
          <w:szCs w:val="36"/>
          <w:lang w:val="en-US" w:eastAsia="zh-CN"/>
        </w:rPr>
        <w:t>4</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14:paraId="1B6EE82A">
      <w:pPr>
        <w:jc w:val="center"/>
        <w:rPr>
          <w:rFonts w:hint="eastAsia" w:ascii="楷体_GB2312" w:eastAsia="楷体_GB2312"/>
          <w:szCs w:val="32"/>
        </w:rPr>
      </w:pPr>
      <w:bookmarkStart w:id="0" w:name="_GoBack"/>
      <w:bookmarkEnd w:id="0"/>
    </w:p>
    <w:p w14:paraId="314A99DF">
      <w:pPr>
        <w:adjustRightInd w:val="0"/>
        <w:snapToGrid w:val="0"/>
        <w:spacing w:line="360" w:lineRule="auto"/>
        <w:jc w:val="center"/>
        <w:rPr>
          <w:rFonts w:hint="eastAsia" w:ascii="宋体" w:hAnsi="宋体"/>
          <w:sz w:val="6"/>
          <w:szCs w:val="32"/>
        </w:rPr>
      </w:pPr>
    </w:p>
    <w:p w14:paraId="182DE627">
      <w:pPr>
        <w:ind w:firstLine="627"/>
        <w:rPr>
          <w:rFonts w:hint="eastAsia" w:ascii="黑体" w:hAnsi="黑体" w:eastAsia="黑体"/>
          <w:szCs w:val="32"/>
        </w:rPr>
      </w:pPr>
      <w:r>
        <w:rPr>
          <w:rFonts w:hint="eastAsia" w:ascii="黑体" w:hAnsi="黑体" w:eastAsia="黑体"/>
          <w:szCs w:val="32"/>
        </w:rPr>
        <w:t>一、</w:t>
      </w:r>
      <w:r>
        <w:rPr>
          <w:rFonts w:hint="eastAsia" w:ascii="黑体" w:hAnsi="黑体" w:eastAsia="黑体"/>
          <w:szCs w:val="32"/>
          <w:lang w:eastAsia="zh-CN"/>
        </w:rPr>
        <w:t>202</w:t>
      </w:r>
      <w:r>
        <w:rPr>
          <w:rFonts w:hint="eastAsia" w:ascii="黑体" w:hAnsi="黑体" w:eastAsia="黑体"/>
          <w:szCs w:val="32"/>
          <w:lang w:val="en-US" w:eastAsia="zh-CN"/>
        </w:rPr>
        <w:t>4</w:t>
      </w:r>
      <w:r>
        <w:rPr>
          <w:rFonts w:hint="eastAsia" w:ascii="黑体" w:hAnsi="黑体" w:eastAsia="黑体"/>
          <w:szCs w:val="32"/>
        </w:rPr>
        <w:t>年度一般公共预算财政拨款“三公”经费支出决算表</w:t>
      </w:r>
    </w:p>
    <w:tbl>
      <w:tblPr>
        <w:tblStyle w:val="3"/>
        <w:tblW w:w="8817" w:type="dxa"/>
        <w:tblInd w:w="0" w:type="dxa"/>
        <w:tblLayout w:type="fixed"/>
        <w:tblCellMar>
          <w:top w:w="0" w:type="dxa"/>
          <w:left w:w="0" w:type="dxa"/>
          <w:bottom w:w="0" w:type="dxa"/>
          <w:right w:w="0" w:type="dxa"/>
        </w:tblCellMar>
      </w:tblPr>
      <w:tblGrid>
        <w:gridCol w:w="597"/>
        <w:gridCol w:w="792"/>
        <w:gridCol w:w="588"/>
        <w:gridCol w:w="744"/>
        <w:gridCol w:w="960"/>
        <w:gridCol w:w="636"/>
        <w:gridCol w:w="600"/>
        <w:gridCol w:w="816"/>
        <w:gridCol w:w="696"/>
        <w:gridCol w:w="840"/>
        <w:gridCol w:w="936"/>
        <w:gridCol w:w="612"/>
      </w:tblGrid>
      <w:tr w14:paraId="6E89E85A">
        <w:tblPrEx>
          <w:tblCellMar>
            <w:top w:w="0" w:type="dxa"/>
            <w:left w:w="0" w:type="dxa"/>
            <w:bottom w:w="0" w:type="dxa"/>
            <w:right w:w="0" w:type="dxa"/>
          </w:tblCellMar>
        </w:tblPrEx>
        <w:trPr>
          <w:trHeight w:val="290" w:hRule="atLeast"/>
        </w:trPr>
        <w:tc>
          <w:tcPr>
            <w:tcW w:w="597" w:type="dxa"/>
            <w:tcBorders>
              <w:top w:val="nil"/>
              <w:left w:val="nil"/>
              <w:bottom w:val="nil"/>
              <w:right w:val="nil"/>
            </w:tcBorders>
            <w:shd w:val="clear" w:color="auto" w:fill="FFFFFF"/>
            <w:noWrap/>
            <w:tcMar>
              <w:top w:w="12" w:type="dxa"/>
              <w:left w:w="12" w:type="dxa"/>
              <w:right w:w="12" w:type="dxa"/>
            </w:tcMar>
            <w:vAlign w:val="center"/>
          </w:tcPr>
          <w:p w14:paraId="0CAAB3E5">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92" w:type="dxa"/>
            <w:tcBorders>
              <w:top w:val="nil"/>
              <w:left w:val="nil"/>
              <w:bottom w:val="nil"/>
              <w:right w:val="nil"/>
            </w:tcBorders>
            <w:shd w:val="clear" w:color="auto" w:fill="FFFFFF"/>
            <w:noWrap w:val="0"/>
            <w:tcMar>
              <w:top w:w="12" w:type="dxa"/>
              <w:left w:w="12" w:type="dxa"/>
              <w:right w:w="12" w:type="dxa"/>
            </w:tcMar>
            <w:vAlign w:val="center"/>
          </w:tcPr>
          <w:p w14:paraId="468343E1">
            <w:pPr>
              <w:rPr>
                <w:rFonts w:hint="eastAsia" w:ascii="宋体" w:hAnsi="宋体" w:eastAsia="宋体" w:cs="宋体"/>
                <w:i w:val="0"/>
                <w:color w:val="000000"/>
                <w:sz w:val="20"/>
                <w:szCs w:val="20"/>
                <w:u w:val="none"/>
              </w:rPr>
            </w:pPr>
          </w:p>
        </w:tc>
        <w:tc>
          <w:tcPr>
            <w:tcW w:w="588" w:type="dxa"/>
            <w:tcBorders>
              <w:top w:val="nil"/>
              <w:left w:val="nil"/>
              <w:bottom w:val="nil"/>
              <w:right w:val="nil"/>
            </w:tcBorders>
            <w:shd w:val="clear" w:color="auto" w:fill="FFFFFF"/>
            <w:noWrap w:val="0"/>
            <w:tcMar>
              <w:top w:w="12" w:type="dxa"/>
              <w:left w:w="12" w:type="dxa"/>
              <w:right w:w="12" w:type="dxa"/>
            </w:tcMar>
            <w:vAlign w:val="center"/>
          </w:tcPr>
          <w:p w14:paraId="24E7B58D">
            <w:pPr>
              <w:rPr>
                <w:rFonts w:hint="eastAsia" w:ascii="宋体" w:hAnsi="宋体" w:eastAsia="宋体" w:cs="宋体"/>
                <w:i w:val="0"/>
                <w:color w:val="000000"/>
                <w:sz w:val="20"/>
                <w:szCs w:val="20"/>
                <w:u w:val="none"/>
              </w:rPr>
            </w:pPr>
          </w:p>
        </w:tc>
        <w:tc>
          <w:tcPr>
            <w:tcW w:w="744" w:type="dxa"/>
            <w:tcBorders>
              <w:top w:val="nil"/>
              <w:left w:val="nil"/>
              <w:bottom w:val="nil"/>
              <w:right w:val="nil"/>
            </w:tcBorders>
            <w:shd w:val="clear" w:color="auto" w:fill="FFFFFF"/>
            <w:noWrap w:val="0"/>
            <w:tcMar>
              <w:top w:w="12" w:type="dxa"/>
              <w:left w:w="12" w:type="dxa"/>
              <w:right w:w="12" w:type="dxa"/>
            </w:tcMar>
            <w:vAlign w:val="center"/>
          </w:tcPr>
          <w:p w14:paraId="4928EED2">
            <w:pPr>
              <w:rPr>
                <w:rFonts w:hint="eastAsia" w:ascii="宋体" w:hAnsi="宋体" w:eastAsia="宋体" w:cs="宋体"/>
                <w:i w:val="0"/>
                <w:color w:val="000000"/>
                <w:sz w:val="20"/>
                <w:szCs w:val="20"/>
                <w:u w:val="none"/>
              </w:rPr>
            </w:pPr>
          </w:p>
        </w:tc>
        <w:tc>
          <w:tcPr>
            <w:tcW w:w="960" w:type="dxa"/>
            <w:tcBorders>
              <w:top w:val="nil"/>
              <w:left w:val="nil"/>
              <w:bottom w:val="nil"/>
              <w:right w:val="nil"/>
            </w:tcBorders>
            <w:shd w:val="clear" w:color="auto" w:fill="FFFFFF"/>
            <w:noWrap w:val="0"/>
            <w:tcMar>
              <w:top w:w="12" w:type="dxa"/>
              <w:left w:w="12" w:type="dxa"/>
              <w:right w:w="12" w:type="dxa"/>
            </w:tcMar>
            <w:vAlign w:val="center"/>
          </w:tcPr>
          <w:p w14:paraId="311B804E">
            <w:pPr>
              <w:rPr>
                <w:rFonts w:hint="eastAsia" w:ascii="宋体" w:hAnsi="宋体" w:eastAsia="宋体" w:cs="宋体"/>
                <w:i w:val="0"/>
                <w:color w:val="000000"/>
                <w:sz w:val="20"/>
                <w:szCs w:val="20"/>
                <w:u w:val="none"/>
              </w:rPr>
            </w:pPr>
          </w:p>
        </w:tc>
        <w:tc>
          <w:tcPr>
            <w:tcW w:w="636" w:type="dxa"/>
            <w:tcBorders>
              <w:top w:val="nil"/>
              <w:left w:val="nil"/>
              <w:bottom w:val="nil"/>
              <w:right w:val="nil"/>
            </w:tcBorders>
            <w:shd w:val="clear" w:color="auto" w:fill="FFFFFF"/>
            <w:noWrap w:val="0"/>
            <w:tcMar>
              <w:top w:w="12" w:type="dxa"/>
              <w:left w:w="12" w:type="dxa"/>
              <w:right w:w="12" w:type="dxa"/>
            </w:tcMar>
            <w:vAlign w:val="center"/>
          </w:tcPr>
          <w:p w14:paraId="000FA2B2">
            <w:pPr>
              <w:rPr>
                <w:rFonts w:hint="eastAsia" w:ascii="宋体" w:hAnsi="宋体" w:eastAsia="宋体" w:cs="宋体"/>
                <w:i w:val="0"/>
                <w:color w:val="000000"/>
                <w:sz w:val="20"/>
                <w:szCs w:val="20"/>
                <w:u w:val="none"/>
              </w:rPr>
            </w:pPr>
          </w:p>
        </w:tc>
        <w:tc>
          <w:tcPr>
            <w:tcW w:w="600" w:type="dxa"/>
            <w:tcBorders>
              <w:top w:val="nil"/>
              <w:left w:val="nil"/>
              <w:bottom w:val="nil"/>
              <w:right w:val="nil"/>
            </w:tcBorders>
            <w:shd w:val="clear" w:color="auto" w:fill="FFFFFF"/>
            <w:noWrap w:val="0"/>
            <w:tcMar>
              <w:top w:w="12" w:type="dxa"/>
              <w:left w:w="12" w:type="dxa"/>
              <w:right w:w="12" w:type="dxa"/>
            </w:tcMar>
            <w:vAlign w:val="center"/>
          </w:tcPr>
          <w:p w14:paraId="1B2C679C">
            <w:pPr>
              <w:rPr>
                <w:rFonts w:hint="eastAsia" w:ascii="宋体" w:hAnsi="宋体" w:eastAsia="宋体" w:cs="宋体"/>
                <w:i w:val="0"/>
                <w:color w:val="000000"/>
                <w:sz w:val="20"/>
                <w:szCs w:val="20"/>
                <w:u w:val="none"/>
              </w:rPr>
            </w:pPr>
          </w:p>
        </w:tc>
        <w:tc>
          <w:tcPr>
            <w:tcW w:w="816" w:type="dxa"/>
            <w:tcBorders>
              <w:top w:val="nil"/>
              <w:left w:val="nil"/>
              <w:bottom w:val="nil"/>
              <w:right w:val="nil"/>
            </w:tcBorders>
            <w:shd w:val="clear" w:color="auto" w:fill="FFFFFF"/>
            <w:noWrap w:val="0"/>
            <w:tcMar>
              <w:top w:w="12" w:type="dxa"/>
              <w:left w:w="12" w:type="dxa"/>
              <w:right w:w="12" w:type="dxa"/>
            </w:tcMar>
            <w:vAlign w:val="center"/>
          </w:tcPr>
          <w:p w14:paraId="17BAD1CA">
            <w:pPr>
              <w:rPr>
                <w:rFonts w:hint="eastAsia" w:ascii="宋体" w:hAnsi="宋体" w:eastAsia="宋体" w:cs="宋体"/>
                <w:i w:val="0"/>
                <w:color w:val="000000"/>
                <w:sz w:val="20"/>
                <w:szCs w:val="20"/>
                <w:u w:val="none"/>
              </w:rPr>
            </w:pPr>
          </w:p>
        </w:tc>
        <w:tc>
          <w:tcPr>
            <w:tcW w:w="696" w:type="dxa"/>
            <w:tcBorders>
              <w:top w:val="nil"/>
              <w:left w:val="nil"/>
              <w:bottom w:val="nil"/>
              <w:right w:val="nil"/>
            </w:tcBorders>
            <w:shd w:val="clear" w:color="auto" w:fill="FFFFFF"/>
            <w:noWrap w:val="0"/>
            <w:tcMar>
              <w:top w:w="12" w:type="dxa"/>
              <w:left w:w="12" w:type="dxa"/>
              <w:right w:w="12" w:type="dxa"/>
            </w:tcMar>
            <w:vAlign w:val="center"/>
          </w:tcPr>
          <w:p w14:paraId="157ACD34">
            <w:pPr>
              <w:rPr>
                <w:rFonts w:hint="eastAsia" w:ascii="宋体" w:hAnsi="宋体" w:eastAsia="宋体" w:cs="宋体"/>
                <w:i w:val="0"/>
                <w:color w:val="000000"/>
                <w:sz w:val="20"/>
                <w:szCs w:val="20"/>
                <w:u w:val="none"/>
              </w:rPr>
            </w:pPr>
          </w:p>
        </w:tc>
        <w:tc>
          <w:tcPr>
            <w:tcW w:w="840" w:type="dxa"/>
            <w:tcBorders>
              <w:top w:val="nil"/>
              <w:left w:val="nil"/>
              <w:bottom w:val="nil"/>
              <w:right w:val="nil"/>
            </w:tcBorders>
            <w:shd w:val="clear" w:color="auto" w:fill="FFFFFF"/>
            <w:noWrap w:val="0"/>
            <w:tcMar>
              <w:top w:w="12" w:type="dxa"/>
              <w:left w:w="12" w:type="dxa"/>
              <w:right w:w="12" w:type="dxa"/>
            </w:tcMar>
            <w:vAlign w:val="center"/>
          </w:tcPr>
          <w:p w14:paraId="139FBB1A">
            <w:pPr>
              <w:rPr>
                <w:rFonts w:hint="eastAsia" w:ascii="宋体" w:hAnsi="宋体" w:eastAsia="宋体" w:cs="宋体"/>
                <w:i w:val="0"/>
                <w:color w:val="000000"/>
                <w:sz w:val="20"/>
                <w:szCs w:val="20"/>
                <w:u w:val="none"/>
              </w:rPr>
            </w:pPr>
          </w:p>
        </w:tc>
        <w:tc>
          <w:tcPr>
            <w:tcW w:w="1548" w:type="dxa"/>
            <w:gridSpan w:val="2"/>
            <w:tcBorders>
              <w:top w:val="nil"/>
              <w:left w:val="nil"/>
              <w:bottom w:val="nil"/>
              <w:right w:val="nil"/>
            </w:tcBorders>
            <w:shd w:val="clear" w:color="auto" w:fill="FFFFFF"/>
            <w:noWrap w:val="0"/>
            <w:tcMar>
              <w:top w:w="12" w:type="dxa"/>
              <w:left w:w="12" w:type="dxa"/>
              <w:right w:w="12" w:type="dxa"/>
            </w:tcMar>
            <w:vAlign w:val="center"/>
          </w:tcPr>
          <w:p w14:paraId="57DB43B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Arial"/>
                <w:color w:val="000000"/>
                <w:kern w:val="0"/>
                <w:sz w:val="22"/>
                <w:szCs w:val="22"/>
              </w:rPr>
              <w:t>金额单位</w:t>
            </w:r>
            <w:r>
              <w:rPr>
                <w:rFonts w:hint="eastAsia" w:ascii="宋体" w:hAnsi="宋体" w:eastAsia="宋体" w:cs="宋体"/>
                <w:i w:val="0"/>
                <w:color w:val="000000"/>
                <w:kern w:val="0"/>
                <w:sz w:val="20"/>
                <w:szCs w:val="20"/>
                <w:u w:val="none"/>
                <w:lang w:val="en-US" w:eastAsia="zh-CN" w:bidi="ar"/>
              </w:rPr>
              <w:t>：万元</w:t>
            </w:r>
          </w:p>
        </w:tc>
      </w:tr>
      <w:tr w14:paraId="4A7C4364">
        <w:tblPrEx>
          <w:tblCellMar>
            <w:top w:w="0" w:type="dxa"/>
            <w:left w:w="0" w:type="dxa"/>
            <w:bottom w:w="0" w:type="dxa"/>
            <w:right w:w="0" w:type="dxa"/>
          </w:tblCellMar>
        </w:tblPrEx>
        <w:trPr>
          <w:trHeight w:val="540" w:hRule="atLeast"/>
        </w:trPr>
        <w:tc>
          <w:tcPr>
            <w:tcW w:w="4317"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D090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4500"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3BF0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14:paraId="4CB68F5F">
        <w:tblPrEx>
          <w:tblCellMar>
            <w:top w:w="0" w:type="dxa"/>
            <w:left w:w="0" w:type="dxa"/>
            <w:bottom w:w="0" w:type="dxa"/>
            <w:right w:w="0" w:type="dxa"/>
          </w:tblCellMar>
        </w:tblPrEx>
        <w:trPr>
          <w:trHeight w:val="578" w:hRule="atLeast"/>
        </w:trPr>
        <w:tc>
          <w:tcPr>
            <w:tcW w:w="59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84C8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79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249F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w:t>
            </w:r>
          </w:p>
        </w:tc>
        <w:tc>
          <w:tcPr>
            <w:tcW w:w="229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8A10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公务用车购置及运行维护费</w:t>
            </w:r>
          </w:p>
        </w:tc>
        <w:tc>
          <w:tcPr>
            <w:tcW w:w="63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A9F4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c>
          <w:tcPr>
            <w:tcW w:w="6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C6E7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81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1F7C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w:t>
            </w:r>
          </w:p>
        </w:tc>
        <w:tc>
          <w:tcPr>
            <w:tcW w:w="247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08E9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公务用车购置及运行维护费</w:t>
            </w:r>
          </w:p>
        </w:tc>
        <w:tc>
          <w:tcPr>
            <w:tcW w:w="61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3E8A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r>
      <w:tr w14:paraId="6AFD102F">
        <w:tblPrEx>
          <w:tblCellMar>
            <w:top w:w="0" w:type="dxa"/>
            <w:left w:w="0" w:type="dxa"/>
            <w:bottom w:w="0" w:type="dxa"/>
            <w:right w:w="0" w:type="dxa"/>
          </w:tblCellMar>
        </w:tblPrEx>
        <w:trPr>
          <w:trHeight w:val="578" w:hRule="atLeast"/>
        </w:trPr>
        <w:tc>
          <w:tcPr>
            <w:tcW w:w="5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CE9452">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A85723">
            <w:pPr>
              <w:jc w:val="center"/>
              <w:rPr>
                <w:rFonts w:hint="eastAsia" w:ascii="宋体" w:hAnsi="宋体" w:eastAsia="宋体" w:cs="宋体"/>
                <w:i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CFEE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2A6F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7AD4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63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75622A">
            <w:pPr>
              <w:jc w:val="center"/>
              <w:rPr>
                <w:rFonts w:hint="eastAsia" w:ascii="宋体" w:hAnsi="宋体" w:eastAsia="宋体" w:cs="宋体"/>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84235D">
            <w:pPr>
              <w:jc w:val="center"/>
              <w:rPr>
                <w:rFonts w:hint="eastAsia" w:ascii="宋体" w:hAnsi="宋体" w:eastAsia="宋体" w:cs="宋体"/>
                <w:i w:val="0"/>
                <w:color w:val="000000"/>
                <w:sz w:val="18"/>
                <w:szCs w:val="18"/>
                <w:u w:val="none"/>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359CDB">
            <w:pPr>
              <w:jc w:val="center"/>
              <w:rPr>
                <w:rFonts w:hint="eastAsia" w:ascii="宋体" w:hAnsi="宋体" w:eastAsia="宋体" w:cs="宋体"/>
                <w:i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5DB1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E1E2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B780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61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60D431">
            <w:pPr>
              <w:jc w:val="center"/>
              <w:rPr>
                <w:rFonts w:hint="eastAsia" w:ascii="宋体" w:hAnsi="宋体" w:eastAsia="宋体" w:cs="宋体"/>
                <w:i w:val="0"/>
                <w:color w:val="000000"/>
                <w:sz w:val="18"/>
                <w:szCs w:val="18"/>
                <w:u w:val="none"/>
              </w:rPr>
            </w:pPr>
          </w:p>
        </w:tc>
      </w:tr>
      <w:tr w14:paraId="2D900113">
        <w:tblPrEx>
          <w:tblCellMar>
            <w:top w:w="0" w:type="dxa"/>
            <w:left w:w="0" w:type="dxa"/>
            <w:bottom w:w="0" w:type="dxa"/>
            <w:right w:w="0" w:type="dxa"/>
          </w:tblCellMar>
        </w:tblPrEx>
        <w:trPr>
          <w:trHeight w:val="540" w:hRule="atLeast"/>
        </w:trPr>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FD31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5D6B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E374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4840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6795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21A0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60C9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BA48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74D6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0E69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F053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6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DAEF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14:paraId="3B3865CF">
        <w:tblPrEx>
          <w:tblCellMar>
            <w:top w:w="0" w:type="dxa"/>
            <w:left w:w="0" w:type="dxa"/>
            <w:bottom w:w="0" w:type="dxa"/>
            <w:right w:w="0" w:type="dxa"/>
          </w:tblCellMar>
        </w:tblPrEx>
        <w:trPr>
          <w:trHeight w:val="414" w:hRule="atLeast"/>
        </w:trPr>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4218D2">
            <w:pPr>
              <w:rPr>
                <w:rFonts w:hint="eastAsia" w:ascii="宋体" w:hAnsi="宋体" w:eastAsia="宋体" w:cs="宋体"/>
                <w:i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393474">
            <w:pPr>
              <w:rPr>
                <w:rFonts w:hint="eastAsia" w:ascii="宋体" w:hAnsi="宋体" w:eastAsia="宋体" w:cs="宋体"/>
                <w:i w:val="0"/>
                <w:color w:val="000000"/>
                <w:sz w:val="20"/>
                <w:szCs w:val="20"/>
                <w:u w:val="none"/>
              </w:rPr>
            </w:pP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BFC7EE">
            <w:pP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8E916E">
            <w:pP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FD4689">
            <w:pPr>
              <w:rPr>
                <w:rFonts w:hint="eastAsia" w:ascii="宋体" w:hAnsi="宋体" w:eastAsia="宋体" w:cs="宋体"/>
                <w:i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E1201A">
            <w:pP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B4E868">
            <w:pPr>
              <w:rPr>
                <w:rFonts w:hint="eastAsia" w:ascii="宋体" w:hAnsi="宋体" w:eastAsia="宋体" w:cs="宋体"/>
                <w:i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BE4C03">
            <w:pPr>
              <w:rPr>
                <w:rFonts w:hint="eastAsia" w:ascii="宋体" w:hAnsi="宋体" w:eastAsia="宋体" w:cs="宋体"/>
                <w:i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E8F274">
            <w:pP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BC9BBA">
            <w:pPr>
              <w:rPr>
                <w:rFonts w:hint="eastAsia" w:ascii="宋体" w:hAnsi="宋体" w:eastAsia="宋体" w:cs="宋体"/>
                <w:i w:val="0"/>
                <w:color w:val="000000"/>
                <w:sz w:val="20"/>
                <w:szCs w:val="20"/>
                <w:u w:val="none"/>
              </w:rPr>
            </w:pP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45CCC7">
            <w:pPr>
              <w:rPr>
                <w:rFonts w:hint="eastAsia" w:ascii="宋体" w:hAnsi="宋体" w:eastAsia="宋体" w:cs="宋体"/>
                <w:i w:val="0"/>
                <w:color w:val="000000"/>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6F39ED">
            <w:pPr>
              <w:rPr>
                <w:rFonts w:hint="eastAsia" w:ascii="宋体" w:hAnsi="宋体" w:eastAsia="宋体" w:cs="宋体"/>
                <w:i w:val="0"/>
                <w:color w:val="000000"/>
                <w:sz w:val="20"/>
                <w:szCs w:val="20"/>
                <w:u w:val="none"/>
              </w:rPr>
            </w:pPr>
          </w:p>
        </w:tc>
      </w:tr>
    </w:tbl>
    <w:p w14:paraId="15F3E87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szCs w:val="32"/>
        </w:rPr>
      </w:pPr>
      <w:r>
        <w:rPr>
          <w:rFonts w:hint="eastAsia" w:ascii="仿宋_GB2312" w:hAnsi="仿宋"/>
          <w:sz w:val="21"/>
          <w:szCs w:val="21"/>
          <w:lang w:val="en-US" w:eastAsia="zh-CN"/>
        </w:rPr>
        <w:t>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sz w:val="21"/>
          <w:szCs w:val="21"/>
          <w:lang w:eastAsia="zh-CN"/>
        </w:rPr>
        <w:t xml:space="preserve"> </w:t>
      </w:r>
      <w:r>
        <w:rPr>
          <w:rFonts w:hint="eastAsia" w:ascii="仿宋_GB2312" w:hAnsi="仿宋"/>
          <w:szCs w:val="32"/>
          <w:lang w:eastAsia="zh-CN"/>
        </w:rPr>
        <w:t xml:space="preserve"> </w:t>
      </w:r>
      <w:r>
        <w:rPr>
          <w:rFonts w:hint="eastAsia" w:ascii="黑体" w:hAnsi="黑体" w:eastAsia="黑体"/>
          <w:szCs w:val="32"/>
        </w:rPr>
        <w:t xml:space="preserve">                                      </w:t>
      </w:r>
    </w:p>
    <w:p w14:paraId="243EBBC5">
      <w:pPr>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lang w:eastAsia="zh-CN"/>
        </w:rPr>
        <w:t>202</w:t>
      </w:r>
      <w:r>
        <w:rPr>
          <w:rFonts w:hint="eastAsia" w:ascii="黑体" w:hAnsi="黑体" w:eastAsia="黑体"/>
          <w:szCs w:val="32"/>
          <w:lang w:val="en-US" w:eastAsia="zh-CN"/>
        </w:rPr>
        <w:t>4</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041823CF">
      <w:pPr>
        <w:ind w:firstLine="643" w:firstLineChars="200"/>
        <w:rPr>
          <w:rFonts w:hint="eastAsia" w:ascii="仿宋_GB2312" w:hAnsi="仿宋"/>
          <w:b/>
          <w:szCs w:val="32"/>
        </w:rPr>
      </w:pPr>
      <w:r>
        <w:rPr>
          <w:rFonts w:hint="eastAsia" w:ascii="仿宋_GB2312" w:hAnsi="仿宋"/>
          <w:b/>
          <w:szCs w:val="32"/>
        </w:rPr>
        <w:t>（一）一般公共预算财政拨款“三公”经费支出决算总体情况说明。</w:t>
      </w:r>
    </w:p>
    <w:p w14:paraId="2638A9F8">
      <w:pPr>
        <w:ind w:firstLine="640" w:firstLineChars="200"/>
        <w:rPr>
          <w:rFonts w:hint="eastAsia" w:ascii="楷体_GB2312" w:hAnsi="仿宋" w:eastAsia="楷体_GB2312"/>
          <w:szCs w:val="32"/>
        </w:rPr>
      </w:pPr>
      <w:r>
        <w:rPr>
          <w:rFonts w:hint="eastAsia" w:ascii="仿宋_GB2312" w:hAnsi="仿宋"/>
          <w:szCs w:val="32"/>
          <w:lang w:eastAsia="zh-CN"/>
        </w:rPr>
        <w:t>淮南市八公山区八公山镇卫生院202</w:t>
      </w:r>
      <w:r>
        <w:rPr>
          <w:rFonts w:hint="eastAsia" w:ascii="仿宋_GB2312" w:hAnsi="仿宋"/>
          <w:szCs w:val="32"/>
          <w:lang w:val="en-US" w:eastAsia="zh-CN"/>
        </w:rPr>
        <w:t>4</w:t>
      </w:r>
      <w:r>
        <w:rPr>
          <w:rFonts w:hint="eastAsia" w:ascii="仿宋_GB2312" w:hAnsi="仿宋"/>
          <w:szCs w:val="32"/>
        </w:rPr>
        <w:t>年度一般公共预算财政拨款“三公”经费支出预算为</w:t>
      </w:r>
      <w:r>
        <w:rPr>
          <w:rFonts w:hint="eastAsia" w:ascii="仿宋_GB2312" w:hAnsi="仿宋"/>
          <w:szCs w:val="32"/>
          <w:lang w:val="en-US" w:eastAsia="zh-CN"/>
        </w:rPr>
        <w:t>0</w:t>
      </w:r>
      <w:r>
        <w:rPr>
          <w:rFonts w:hint="eastAsia" w:ascii="仿宋_GB2312" w:hAnsi="仿宋"/>
          <w:szCs w:val="32"/>
        </w:rPr>
        <w:t>万元，支出决算</w:t>
      </w:r>
      <w:r>
        <w:rPr>
          <w:rFonts w:hint="eastAsia" w:ascii="仿宋_GB2312" w:hAnsi="仿宋"/>
          <w:szCs w:val="32"/>
          <w:lang w:eastAsia="zh-CN"/>
        </w:rPr>
        <w:t>为</w:t>
      </w:r>
      <w:r>
        <w:rPr>
          <w:rFonts w:hint="eastAsia" w:ascii="仿宋_GB2312" w:hAnsi="仿宋"/>
          <w:szCs w:val="32"/>
          <w:lang w:val="en-US" w:eastAsia="zh-CN"/>
        </w:rPr>
        <w:t>0</w:t>
      </w:r>
      <w:r>
        <w:rPr>
          <w:rFonts w:hint="eastAsia" w:ascii="仿宋_GB2312" w:hAnsi="仿宋"/>
          <w:szCs w:val="32"/>
        </w:rPr>
        <w:t>万元，完成预算的</w:t>
      </w:r>
      <w:r>
        <w:rPr>
          <w:rFonts w:hint="eastAsia" w:ascii="仿宋_GB2312" w:hAnsi="仿宋"/>
          <w:szCs w:val="32"/>
          <w:lang w:val="en-US" w:eastAsia="zh-CN"/>
        </w:rPr>
        <w:t>100</w:t>
      </w:r>
      <w:r>
        <w:rPr>
          <w:rFonts w:hint="eastAsia" w:ascii="仿宋_GB2312" w:hAnsi="仿宋"/>
          <w:szCs w:val="32"/>
        </w:rPr>
        <w:t>%</w:t>
      </w:r>
      <w:r>
        <w:rPr>
          <w:rFonts w:hint="eastAsia" w:ascii="仿宋_GB2312" w:hAnsi="仿宋"/>
          <w:szCs w:val="32"/>
          <w:lang w:eastAsia="zh-CN"/>
        </w:rPr>
        <w:t>；预算数与决算数相同</w:t>
      </w:r>
      <w:r>
        <w:rPr>
          <w:rFonts w:hint="eastAsia" w:ascii="仿宋_GB2312" w:hAnsi="仿宋"/>
          <w:szCs w:val="32"/>
          <w:lang w:val="en-US" w:eastAsia="zh-CN"/>
        </w:rPr>
        <w:t>。</w:t>
      </w:r>
    </w:p>
    <w:p w14:paraId="5D5CB00D">
      <w:pPr>
        <w:ind w:firstLine="640" w:firstLineChars="200"/>
        <w:rPr>
          <w:rFonts w:hint="eastAsia" w:ascii="仿宋_GB2312" w:hAnsi="仿宋"/>
          <w:szCs w:val="32"/>
          <w:lang w:eastAsia="zh-CN"/>
        </w:rPr>
      </w:pPr>
    </w:p>
    <w:p w14:paraId="42DC3A79">
      <w:pPr>
        <w:ind w:firstLine="643" w:firstLineChars="200"/>
        <w:rPr>
          <w:rFonts w:hint="eastAsia"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7D43A82D">
      <w:pPr>
        <w:ind w:firstLine="640" w:firstLineChars="200"/>
        <w:rPr>
          <w:rFonts w:hint="eastAsia" w:ascii="仿宋_GB2312" w:hAnsi="仿宋"/>
          <w:szCs w:val="32"/>
        </w:rPr>
      </w:pPr>
      <w:r>
        <w:rPr>
          <w:rFonts w:hint="eastAsia" w:ascii="仿宋_GB2312" w:hAnsi="仿宋"/>
          <w:szCs w:val="32"/>
          <w:lang w:eastAsia="zh-CN"/>
        </w:rPr>
        <w:t>淮南市八公山区八公山镇卫生院202</w:t>
      </w:r>
      <w:r>
        <w:rPr>
          <w:rFonts w:hint="eastAsia" w:ascii="仿宋_GB2312" w:hAnsi="仿宋"/>
          <w:szCs w:val="32"/>
          <w:lang w:val="en-US" w:eastAsia="zh-CN"/>
        </w:rPr>
        <w:t>4</w:t>
      </w:r>
      <w:r>
        <w:rPr>
          <w:rFonts w:hint="eastAsia" w:ascii="仿宋_GB2312" w:hAnsi="仿宋"/>
          <w:szCs w:val="32"/>
        </w:rPr>
        <w:t>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%;公务接待费支出决算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%；公务用车购置及运行维护费支出决算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%。具体情况如下：</w:t>
      </w:r>
    </w:p>
    <w:p w14:paraId="484F0ED8">
      <w:pPr>
        <w:ind w:firstLine="628"/>
        <w:rPr>
          <w:rFonts w:hint="eastAsia" w:ascii="仿宋_GB2312" w:hAnsi="仿宋"/>
          <w:szCs w:val="32"/>
        </w:rPr>
      </w:pPr>
      <w:r>
        <w:rPr>
          <w:rFonts w:hint="eastAsia" w:ascii="仿宋_GB2312" w:hAnsi="仿宋"/>
          <w:b/>
          <w:bCs/>
          <w:szCs w:val="32"/>
        </w:rPr>
        <w:t>1.因公出国（境）费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，完成预算的</w:t>
      </w:r>
      <w:r>
        <w:rPr>
          <w:rFonts w:hint="eastAsia" w:ascii="仿宋_GB2312" w:hAnsi="仿宋"/>
          <w:szCs w:val="32"/>
          <w:lang w:val="en-US" w:eastAsia="zh-CN"/>
        </w:rPr>
        <w:t>100</w:t>
      </w:r>
      <w:r>
        <w:rPr>
          <w:rFonts w:hint="eastAsia" w:ascii="仿宋_GB2312" w:hAnsi="仿宋"/>
          <w:szCs w:val="32"/>
          <w:lang w:eastAsia="zh-CN"/>
        </w:rPr>
        <w:t>%；</w:t>
      </w:r>
      <w:r>
        <w:rPr>
          <w:rFonts w:hint="eastAsia" w:ascii="仿宋_GB2312" w:hAnsi="仿宋"/>
          <w:szCs w:val="32"/>
        </w:rPr>
        <w:t>决算数与预算数相同；较上年减少0万元，下降0%。原因是202</w:t>
      </w:r>
      <w:r>
        <w:rPr>
          <w:rFonts w:hint="eastAsia" w:ascii="仿宋_GB2312" w:hAnsi="仿宋"/>
          <w:szCs w:val="32"/>
          <w:lang w:val="en-US" w:eastAsia="zh-CN"/>
        </w:rPr>
        <w:t>3</w:t>
      </w:r>
      <w:r>
        <w:rPr>
          <w:rFonts w:hint="eastAsia" w:ascii="仿宋_GB2312" w:hAnsi="仿宋"/>
          <w:szCs w:val="32"/>
        </w:rPr>
        <w:t>年度、202</w:t>
      </w:r>
      <w:r>
        <w:rPr>
          <w:rFonts w:hint="eastAsia" w:ascii="仿宋_GB2312" w:hAnsi="仿宋"/>
          <w:szCs w:val="32"/>
          <w:lang w:val="en-US" w:eastAsia="zh-CN"/>
        </w:rPr>
        <w:t>4</w:t>
      </w:r>
      <w:r>
        <w:rPr>
          <w:rFonts w:hint="eastAsia" w:ascii="仿宋_GB2312" w:hAnsi="仿宋"/>
          <w:szCs w:val="32"/>
        </w:rPr>
        <w:t>年度均未安排因公出国（境）计划。</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w:t>
      </w:r>
      <w:r>
        <w:rPr>
          <w:rFonts w:hint="eastAsia" w:ascii="仿宋_GB2312" w:hAnsi="仿宋"/>
          <w:szCs w:val="32"/>
          <w:lang w:eastAsia="zh-CN"/>
        </w:rPr>
        <w:t>淮南市八公山区八公山镇卫生院</w:t>
      </w:r>
      <w:r>
        <w:rPr>
          <w:rFonts w:hint="eastAsia" w:ascii="仿宋_GB2312" w:hAnsi="仿宋"/>
          <w:szCs w:val="32"/>
        </w:rPr>
        <w:t>因公出国（境）团组</w:t>
      </w:r>
      <w:r>
        <w:rPr>
          <w:rFonts w:hint="eastAsia" w:ascii="仿宋_GB2312" w:hAnsi="仿宋"/>
          <w:szCs w:val="32"/>
          <w:lang w:val="en-US" w:eastAsia="zh-CN"/>
        </w:rPr>
        <w:t>0</w:t>
      </w:r>
      <w:r>
        <w:rPr>
          <w:rFonts w:hint="eastAsia" w:ascii="仿宋_GB2312" w:hAnsi="仿宋"/>
          <w:szCs w:val="32"/>
        </w:rPr>
        <w:t>次，累计出国（境）</w:t>
      </w:r>
      <w:r>
        <w:rPr>
          <w:rFonts w:hint="eastAsia" w:ascii="仿宋_GB2312" w:hAnsi="仿宋"/>
          <w:szCs w:val="32"/>
          <w:lang w:val="en-US" w:eastAsia="zh-CN"/>
        </w:rPr>
        <w:t>0</w:t>
      </w:r>
      <w:r>
        <w:rPr>
          <w:rFonts w:hint="eastAsia" w:ascii="仿宋_GB2312" w:hAnsi="仿宋"/>
          <w:szCs w:val="32"/>
        </w:rPr>
        <w:t>人次。</w:t>
      </w:r>
    </w:p>
    <w:p w14:paraId="40111F35">
      <w:pPr>
        <w:ind w:firstLine="643" w:firstLineChars="200"/>
        <w:rPr>
          <w:rFonts w:hint="eastAsia" w:ascii="仿宋_GB2312" w:hAnsi="仿宋"/>
          <w:szCs w:val="32"/>
        </w:rPr>
      </w:pPr>
      <w:r>
        <w:rPr>
          <w:rFonts w:hint="eastAsia" w:ascii="仿宋_GB2312" w:hAnsi="仿宋"/>
          <w:b/>
          <w:bCs/>
          <w:szCs w:val="32"/>
        </w:rPr>
        <w:t>2.公务接待费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，完成预算的</w:t>
      </w:r>
      <w:r>
        <w:rPr>
          <w:rFonts w:hint="eastAsia" w:ascii="仿宋_GB2312" w:hAnsi="仿宋"/>
          <w:szCs w:val="32"/>
          <w:lang w:val="en-US" w:eastAsia="zh-CN"/>
        </w:rPr>
        <w:t>100</w:t>
      </w:r>
      <w:r>
        <w:rPr>
          <w:rFonts w:hint="eastAsia" w:ascii="仿宋_GB2312" w:hAnsi="仿宋"/>
          <w:szCs w:val="32"/>
          <w:lang w:eastAsia="zh-CN"/>
        </w:rPr>
        <w:t>%；较减少</w:t>
      </w:r>
      <w:r>
        <w:rPr>
          <w:rFonts w:hint="eastAsia" w:ascii="仿宋_GB2312" w:hAnsi="仿宋"/>
          <w:szCs w:val="32"/>
          <w:lang w:val="en-US" w:eastAsia="zh-CN"/>
        </w:rPr>
        <w:t>0</w:t>
      </w:r>
      <w:r>
        <w:rPr>
          <w:rFonts w:hint="eastAsia" w:ascii="仿宋_GB2312" w:hAnsi="仿宋"/>
          <w:szCs w:val="32"/>
        </w:rPr>
        <w:t>万元</w:t>
      </w:r>
      <w:r>
        <w:rPr>
          <w:rFonts w:hint="eastAsia" w:ascii="仿宋_GB2312" w:hAnsi="仿宋"/>
          <w:szCs w:val="32"/>
          <w:lang w:eastAsia="zh-CN"/>
        </w:rPr>
        <w:t>，下降</w:t>
      </w:r>
      <w:r>
        <w:rPr>
          <w:rFonts w:hint="eastAsia" w:ascii="仿宋_GB2312" w:hAnsi="仿宋"/>
          <w:szCs w:val="32"/>
          <w:lang w:val="en-US" w:eastAsia="zh-CN"/>
        </w:rPr>
        <w:t>0%。</w:t>
      </w:r>
      <w:r>
        <w:rPr>
          <w:rFonts w:hint="eastAsia" w:ascii="仿宋_GB2312" w:hAnsi="仿宋"/>
          <w:szCs w:val="32"/>
        </w:rPr>
        <w:t>决算数与预算数相同；原因是202</w:t>
      </w:r>
      <w:r>
        <w:rPr>
          <w:rFonts w:hint="eastAsia" w:ascii="仿宋_GB2312" w:hAnsi="仿宋"/>
          <w:szCs w:val="32"/>
          <w:lang w:val="en-US" w:eastAsia="zh-CN"/>
        </w:rPr>
        <w:t>3</w:t>
      </w:r>
      <w:r>
        <w:rPr>
          <w:rFonts w:hint="eastAsia" w:ascii="仿宋_GB2312" w:hAnsi="仿宋"/>
          <w:szCs w:val="32"/>
        </w:rPr>
        <w:t>年度、202</w:t>
      </w:r>
      <w:r>
        <w:rPr>
          <w:rFonts w:hint="eastAsia" w:ascii="仿宋_GB2312" w:hAnsi="仿宋"/>
          <w:szCs w:val="32"/>
          <w:lang w:val="en-US" w:eastAsia="zh-CN"/>
        </w:rPr>
        <w:t>4</w:t>
      </w:r>
      <w:r>
        <w:rPr>
          <w:rFonts w:hint="eastAsia" w:ascii="仿宋_GB2312" w:hAnsi="仿宋"/>
          <w:szCs w:val="32"/>
        </w:rPr>
        <w:t>年度</w:t>
      </w:r>
      <w:r>
        <w:rPr>
          <w:rFonts w:hint="eastAsia" w:ascii="仿宋_GB2312" w:hAnsi="仿宋"/>
          <w:szCs w:val="32"/>
          <w:lang w:eastAsia="zh-CN"/>
        </w:rPr>
        <w:t>未安排公务接待计划</w:t>
      </w:r>
      <w:r>
        <w:rPr>
          <w:rFonts w:hint="eastAsia" w:ascii="仿宋_GB2312" w:hAnsi="仿宋"/>
          <w:szCs w:val="32"/>
        </w:rPr>
        <w:t>。</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w:t>
      </w:r>
      <w:r>
        <w:rPr>
          <w:rFonts w:hint="eastAsia" w:ascii="仿宋_GB2312" w:hAnsi="仿宋"/>
          <w:szCs w:val="32"/>
          <w:lang w:eastAsia="zh-CN"/>
        </w:rPr>
        <w:t>淮南市八公山区八公山镇卫生院</w:t>
      </w:r>
      <w:r>
        <w:rPr>
          <w:rFonts w:hint="eastAsia" w:ascii="仿宋_GB2312" w:hAnsi="仿宋"/>
          <w:szCs w:val="32"/>
        </w:rPr>
        <w:t>国内公务接待共</w:t>
      </w:r>
      <w:r>
        <w:rPr>
          <w:rFonts w:hint="eastAsia" w:ascii="仿宋_GB2312" w:hAnsi="仿宋"/>
          <w:szCs w:val="32"/>
          <w:lang w:val="en-US" w:eastAsia="zh-CN"/>
        </w:rPr>
        <w:t>0</w:t>
      </w:r>
      <w:r>
        <w:rPr>
          <w:rFonts w:hint="eastAsia" w:ascii="仿宋_GB2312" w:hAnsi="仿宋"/>
          <w:szCs w:val="32"/>
        </w:rPr>
        <w:t>批次（其中外事接待</w:t>
      </w:r>
      <w:r>
        <w:rPr>
          <w:rFonts w:hint="eastAsia" w:ascii="仿宋_GB2312" w:hAnsi="仿宋"/>
          <w:szCs w:val="32"/>
          <w:lang w:val="en-US" w:eastAsia="zh-CN"/>
        </w:rPr>
        <w:t>0</w:t>
      </w:r>
      <w:r>
        <w:rPr>
          <w:rFonts w:hint="eastAsia" w:ascii="仿宋_GB2312" w:hAnsi="仿宋"/>
          <w:szCs w:val="32"/>
        </w:rPr>
        <w:t>批次），</w:t>
      </w:r>
      <w:r>
        <w:rPr>
          <w:rFonts w:hint="eastAsia" w:ascii="仿宋_GB2312" w:hAnsi="仿宋"/>
          <w:szCs w:val="32"/>
          <w:lang w:val="en-US" w:eastAsia="zh-CN"/>
        </w:rPr>
        <w:t>0</w:t>
      </w:r>
      <w:r>
        <w:rPr>
          <w:rFonts w:hint="eastAsia" w:ascii="仿宋_GB2312" w:hAnsi="仿宋"/>
          <w:szCs w:val="32"/>
        </w:rPr>
        <w:t>人次（其中外事接待</w:t>
      </w:r>
      <w:r>
        <w:rPr>
          <w:rFonts w:hint="eastAsia" w:ascii="仿宋_GB2312" w:hAnsi="仿宋"/>
          <w:szCs w:val="32"/>
          <w:lang w:val="en-US" w:eastAsia="zh-CN"/>
        </w:rPr>
        <w:t>0</w:t>
      </w:r>
      <w:r>
        <w:rPr>
          <w:rFonts w:hint="eastAsia" w:ascii="仿宋_GB2312" w:hAnsi="仿宋"/>
          <w:szCs w:val="32"/>
        </w:rPr>
        <w:t>人次）。经费使用贯彻中央八项规定</w:t>
      </w:r>
      <w:r>
        <w:rPr>
          <w:rFonts w:hint="eastAsia" w:ascii="仿宋_GB2312" w:hAnsi="仿宋"/>
          <w:szCs w:val="32"/>
          <w:lang w:eastAsia="zh-CN"/>
        </w:rPr>
        <w:t>精神</w:t>
      </w:r>
      <w:r>
        <w:rPr>
          <w:rFonts w:hint="eastAsia" w:ascii="仿宋_GB2312" w:hAnsi="仿宋"/>
          <w:szCs w:val="32"/>
        </w:rPr>
        <w:t>和省</w:t>
      </w:r>
      <w:r>
        <w:rPr>
          <w:rFonts w:hint="eastAsia" w:ascii="仿宋_GB2312" w:hAnsi="仿宋"/>
          <w:szCs w:val="32"/>
          <w:lang w:eastAsia="zh-CN"/>
        </w:rPr>
        <w:t>委</w:t>
      </w:r>
      <w:r>
        <w:rPr>
          <w:rFonts w:hint="eastAsia" w:ascii="仿宋_GB2312" w:hAnsi="仿宋"/>
          <w:szCs w:val="32"/>
        </w:rPr>
        <w:t>实</w:t>
      </w:r>
      <w:r>
        <w:rPr>
          <w:rFonts w:hint="eastAsia" w:ascii="仿宋_GB2312" w:hAnsi="宋体" w:cs="宋体"/>
          <w:color w:val="282828"/>
          <w:kern w:val="0"/>
          <w:szCs w:val="32"/>
        </w:rPr>
        <w:t>施细则</w:t>
      </w:r>
      <w:r>
        <w:rPr>
          <w:rFonts w:hint="eastAsia" w:ascii="仿宋_GB2312" w:hAnsi="仿宋"/>
          <w:szCs w:val="32"/>
        </w:rPr>
        <w:t>，严格执行《党政机关厉行节约反对浪费条例》、</w:t>
      </w:r>
      <w:r>
        <w:rPr>
          <w:rFonts w:hint="eastAsia" w:ascii="仿宋_GB2312" w:hAnsi="仿宋"/>
          <w:szCs w:val="32"/>
          <w:lang w:eastAsia="zh-CN"/>
        </w:rPr>
        <w:t>《安徽省财政厅关于调整省直机关公务接待费用餐标准的通知》</w:t>
      </w:r>
      <w:r>
        <w:rPr>
          <w:rFonts w:hint="eastAsia" w:ascii="仿宋_GB2312" w:hAnsi="仿宋"/>
          <w:szCs w:val="32"/>
        </w:rPr>
        <w:t>（财行〔201</w:t>
      </w:r>
      <w:r>
        <w:rPr>
          <w:rFonts w:hint="eastAsia" w:ascii="仿宋_GB2312" w:hAnsi="仿宋"/>
          <w:szCs w:val="32"/>
          <w:lang w:val="en-US" w:eastAsia="zh-CN"/>
        </w:rPr>
        <w:t>8</w:t>
      </w:r>
      <w:r>
        <w:rPr>
          <w:rFonts w:hint="eastAsia" w:ascii="仿宋_GB2312" w:hAnsi="仿宋"/>
          <w:szCs w:val="32"/>
        </w:rPr>
        <w:t>〕</w:t>
      </w:r>
      <w:r>
        <w:rPr>
          <w:rFonts w:hint="eastAsia" w:ascii="仿宋_GB2312" w:hAnsi="仿宋"/>
          <w:szCs w:val="32"/>
          <w:lang w:val="en-US" w:eastAsia="zh-CN"/>
        </w:rPr>
        <w:t>1096</w:t>
      </w:r>
      <w:r>
        <w:rPr>
          <w:rFonts w:hint="eastAsia" w:ascii="仿宋_GB2312" w:hAnsi="仿宋"/>
          <w:szCs w:val="32"/>
        </w:rPr>
        <w:t>号）</w:t>
      </w:r>
      <w:r>
        <w:rPr>
          <w:rFonts w:hint="eastAsia" w:ascii="仿宋_GB2312" w:hAnsi="仿宋"/>
          <w:szCs w:val="32"/>
          <w:lang w:eastAsia="zh-CN"/>
        </w:rPr>
        <w:t>等</w:t>
      </w:r>
      <w:r>
        <w:rPr>
          <w:rFonts w:hint="eastAsia" w:ascii="仿宋_GB2312" w:hAnsi="仿宋"/>
          <w:szCs w:val="32"/>
        </w:rPr>
        <w:t>相关规定。</w:t>
      </w:r>
    </w:p>
    <w:p w14:paraId="609440CE">
      <w:pPr>
        <w:ind w:firstLine="643" w:firstLineChars="200"/>
      </w:pPr>
      <w:r>
        <w:rPr>
          <w:rFonts w:hint="eastAsia" w:ascii="仿宋_GB2312" w:hAnsi="仿宋"/>
          <w:b/>
          <w:bCs/>
          <w:szCs w:val="32"/>
        </w:rPr>
        <w:t>3.公务用车购置及运行维护费</w:t>
      </w:r>
      <w:r>
        <w:rPr>
          <w:rFonts w:hint="eastAsia" w:ascii="仿宋_GB2312" w:hAnsi="仿宋"/>
          <w:szCs w:val="32"/>
        </w:rPr>
        <w:t>预算为0万元，支出决算为0万元，完成预算的100%；较上年减少0万元，下降0%。决算数与预算数相同；较上年减少0万元，下降0%。原因是2023年度、2024年度均未安排公务用车购置及运行维护费计划。其中，公务用车购置费预算为0万元，支出决算为0万元，完成预算的100%；决算数与预算数相同；较上年减少0万元，下降0%。原因是2023年度、2024年度均未安排公务用车购置费计划。2024年购置公务用车0辆。公务用车运行维护费预算为0万元，支出决算为0万元，完成预算的100%；决算数与预算数相同；较上年减少0万元，下降0%。原因是2023年度、2024年度均未安排公务用车运行维护</w:t>
      </w:r>
      <w:r>
        <w:rPr>
          <w:rFonts w:hint="eastAsia" w:ascii="仿宋_GB2312" w:hAnsi="仿宋"/>
          <w:color w:val="auto"/>
          <w:szCs w:val="32"/>
        </w:rPr>
        <w:t>费计划。</w:t>
      </w:r>
      <w:r>
        <w:rPr>
          <w:rFonts w:hint="eastAsia" w:ascii="仿宋_GB2312" w:hAnsi="仿宋"/>
          <w:szCs w:val="32"/>
        </w:rPr>
        <w:t>公务用车运行维护费，包括车辆燃料费、维修费、过路过桥费、保险费等支出。截至</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年12月31日，</w:t>
      </w:r>
      <w:r>
        <w:rPr>
          <w:rFonts w:hint="eastAsia" w:ascii="仿宋_GB2312" w:hAnsi="仿宋"/>
          <w:szCs w:val="32"/>
          <w:lang w:eastAsia="zh-CN"/>
        </w:rPr>
        <w:t>淮南市八公山区八公山镇卫生院</w:t>
      </w:r>
      <w:r>
        <w:rPr>
          <w:rFonts w:hint="eastAsia" w:ascii="仿宋_GB2312" w:hAnsi="仿宋"/>
          <w:szCs w:val="32"/>
        </w:rPr>
        <w:t>开支财政拨款的公务用车保有量为</w:t>
      </w:r>
      <w:r>
        <w:rPr>
          <w:rFonts w:hint="eastAsia" w:ascii="仿宋_GB2312" w:hAnsi="仿宋"/>
          <w:szCs w:val="32"/>
          <w:lang w:val="en-US" w:eastAsia="zh-CN"/>
        </w:rPr>
        <w:t>0</w:t>
      </w:r>
      <w:r>
        <w:rPr>
          <w:rFonts w:hint="eastAsia" w:ascii="仿宋_GB2312" w:hAnsi="仿宋"/>
          <w:szCs w:val="32"/>
        </w:rPr>
        <w:t>辆。</w:t>
      </w:r>
    </w:p>
    <w:p w14:paraId="00287C3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B139A"/>
    <w:rsid w:val="10C02B8A"/>
    <w:rsid w:val="18DB139A"/>
    <w:rsid w:val="1A0A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1240</Words>
  <Characters>1339</Characters>
  <Lines>0</Lines>
  <Paragraphs>0</Paragraphs>
  <TotalTime>0</TotalTime>
  <ScaleCrop>false</ScaleCrop>
  <LinksUpToDate>false</LinksUpToDate>
  <CharactersWithSpaces>1383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2025-09-23T01:22:00Z</dcterms:created>
  <dc:creator>  美妥妥滴 </dc:creator>
  <cp:lastModifiedBy>  美妥妥滴 </cp:lastModifiedBy>
  <dcterms:modified xsi:type="dcterms:W3CDTF">2025-09-23T01:30:00Z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05491516051E4D6AA08AB53D774EDB19_11</vt:lpwstr>
  </property>
  <property fmtid="{D5CDD505-2E9C-101B-9397-08002B2CF9AE}" pid="4" name="KSOTemplateDocerSaveRecord">
    <vt:lpwstr>eyJoZGlkIjoiNGM1MTZhYTVlNTFmMGMxYTg5NTRiOGRiODFlYTI4ODQiLCJ1c2VySWQiOiIyNjAwMzk0NzIifQ==</vt:lpwstr>
  </property>
</Properties>
</file>