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E19FA">
      <w:pPr>
        <w:jc w:val="both"/>
        <w:rPr>
          <w:rFonts w:hint="default" w:ascii="黑体" w:hAnsi="黑体" w:eastAsia="黑体" w:cs="黑体"/>
          <w:b w:val="0"/>
          <w:bCs/>
          <w:sz w:val="32"/>
          <w:szCs w:val="32"/>
          <w:lang w:val="en-US" w:eastAsia="zh-CN"/>
        </w:rPr>
      </w:pPr>
    </w:p>
    <w:p w14:paraId="4706B1A3">
      <w:pPr>
        <w:jc w:val="center"/>
        <w:rPr>
          <w:rFonts w:hint="eastAsia" w:ascii="宋体" w:hAnsi="宋体"/>
          <w:b/>
          <w:sz w:val="36"/>
          <w:szCs w:val="36"/>
        </w:rPr>
      </w:pPr>
      <w:r>
        <w:rPr>
          <w:rFonts w:hint="eastAsia" w:ascii="宋体" w:hAnsi="宋体"/>
          <w:b/>
          <w:sz w:val="36"/>
          <w:szCs w:val="36"/>
          <w:lang w:eastAsia="zh-CN"/>
        </w:rPr>
        <w:t>淮南市八公山区卫生健康委员会202</w:t>
      </w:r>
      <w:r>
        <w:rPr>
          <w:rFonts w:hint="eastAsia" w:ascii="宋体" w:hAnsi="宋体"/>
          <w:b/>
          <w:sz w:val="36"/>
          <w:szCs w:val="36"/>
          <w:lang w:val="en-US" w:eastAsia="zh-CN"/>
        </w:rPr>
        <w:t>4</w:t>
      </w:r>
      <w:r>
        <w:rPr>
          <w:rFonts w:ascii="宋体" w:hAnsi="宋体"/>
          <w:b/>
          <w:sz w:val="36"/>
          <w:szCs w:val="36"/>
        </w:rPr>
        <w:t>年</w:t>
      </w:r>
      <w:r>
        <w:rPr>
          <w:rFonts w:hint="eastAsia" w:ascii="宋体" w:hAnsi="宋体"/>
          <w:b/>
          <w:sz w:val="36"/>
          <w:szCs w:val="36"/>
        </w:rPr>
        <w:t>度一般公共预算财政拨款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w:t>
      </w:r>
    </w:p>
    <w:p w14:paraId="34B6989A">
      <w:pPr>
        <w:jc w:val="center"/>
        <w:rPr>
          <w:rFonts w:hint="eastAsia" w:ascii="楷体_GB2312" w:eastAsia="楷体_GB2312"/>
          <w:szCs w:val="32"/>
        </w:rPr>
      </w:pPr>
    </w:p>
    <w:p w14:paraId="618E7393">
      <w:pPr>
        <w:adjustRightInd w:val="0"/>
        <w:snapToGrid w:val="0"/>
        <w:spacing w:line="360" w:lineRule="auto"/>
        <w:jc w:val="center"/>
        <w:rPr>
          <w:rFonts w:hint="eastAsia" w:ascii="宋体" w:hAnsi="宋体"/>
          <w:sz w:val="6"/>
          <w:szCs w:val="32"/>
        </w:rPr>
      </w:pPr>
    </w:p>
    <w:p w14:paraId="1563BC89">
      <w:pPr>
        <w:ind w:firstLine="627"/>
        <w:rPr>
          <w:rFonts w:hint="eastAsia" w:ascii="黑体" w:hAnsi="黑体" w:eastAsia="黑体"/>
          <w:szCs w:val="32"/>
        </w:rPr>
      </w:pPr>
      <w:r>
        <w:rPr>
          <w:rFonts w:hint="eastAsia" w:ascii="黑体" w:hAnsi="黑体" w:eastAsia="黑体"/>
          <w:szCs w:val="32"/>
        </w:rPr>
        <w:t>一、</w:t>
      </w:r>
      <w:r>
        <w:rPr>
          <w:rFonts w:hint="eastAsia" w:ascii="黑体" w:hAnsi="黑体" w:eastAsia="黑体"/>
          <w:szCs w:val="32"/>
          <w:lang w:eastAsia="zh-CN"/>
        </w:rPr>
        <w:t>202</w:t>
      </w:r>
      <w:r>
        <w:rPr>
          <w:rFonts w:hint="eastAsia" w:ascii="黑体" w:hAnsi="黑体" w:eastAsia="黑体"/>
          <w:szCs w:val="32"/>
          <w:lang w:val="en-US" w:eastAsia="zh-CN"/>
        </w:rPr>
        <w:t>4</w:t>
      </w:r>
      <w:r>
        <w:rPr>
          <w:rFonts w:hint="eastAsia" w:ascii="黑体" w:hAnsi="黑体" w:eastAsia="黑体"/>
          <w:szCs w:val="32"/>
        </w:rPr>
        <w:t>年度一般公共预算财政拨款“三公”经费支出决算表</w:t>
      </w:r>
    </w:p>
    <w:tbl>
      <w:tblPr>
        <w:tblStyle w:val="3"/>
        <w:tblW w:w="8817" w:type="dxa"/>
        <w:tblInd w:w="0" w:type="dxa"/>
        <w:tblLayout w:type="fixed"/>
        <w:tblCellMar>
          <w:top w:w="0" w:type="dxa"/>
          <w:left w:w="0" w:type="dxa"/>
          <w:bottom w:w="0" w:type="dxa"/>
          <w:right w:w="0" w:type="dxa"/>
        </w:tblCellMar>
      </w:tblPr>
      <w:tblGrid>
        <w:gridCol w:w="597"/>
        <w:gridCol w:w="792"/>
        <w:gridCol w:w="588"/>
        <w:gridCol w:w="744"/>
        <w:gridCol w:w="960"/>
        <w:gridCol w:w="636"/>
        <w:gridCol w:w="600"/>
        <w:gridCol w:w="816"/>
        <w:gridCol w:w="696"/>
        <w:gridCol w:w="840"/>
        <w:gridCol w:w="936"/>
        <w:gridCol w:w="612"/>
      </w:tblGrid>
      <w:tr w14:paraId="155DEA43">
        <w:tblPrEx>
          <w:tblCellMar>
            <w:top w:w="0" w:type="dxa"/>
            <w:left w:w="0" w:type="dxa"/>
            <w:bottom w:w="0" w:type="dxa"/>
            <w:right w:w="0" w:type="dxa"/>
          </w:tblCellMar>
        </w:tblPrEx>
        <w:trPr>
          <w:trHeight w:val="290" w:hRule="atLeast"/>
        </w:trPr>
        <w:tc>
          <w:tcPr>
            <w:tcW w:w="597" w:type="dxa"/>
            <w:tcBorders>
              <w:top w:val="nil"/>
              <w:left w:val="nil"/>
              <w:bottom w:val="nil"/>
              <w:right w:val="nil"/>
            </w:tcBorders>
            <w:shd w:val="clear" w:color="auto" w:fill="FFFFFF"/>
            <w:noWrap/>
            <w:tcMar>
              <w:top w:w="12" w:type="dxa"/>
              <w:left w:w="12" w:type="dxa"/>
              <w:right w:w="12" w:type="dxa"/>
            </w:tcMar>
            <w:vAlign w:val="center"/>
          </w:tcPr>
          <w:p w14:paraId="346C50DF">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792" w:type="dxa"/>
            <w:tcBorders>
              <w:top w:val="nil"/>
              <w:left w:val="nil"/>
              <w:bottom w:val="nil"/>
              <w:right w:val="nil"/>
            </w:tcBorders>
            <w:shd w:val="clear" w:color="auto" w:fill="FFFFFF"/>
            <w:noWrap w:val="0"/>
            <w:tcMar>
              <w:top w:w="12" w:type="dxa"/>
              <w:left w:w="12" w:type="dxa"/>
              <w:right w:w="12" w:type="dxa"/>
            </w:tcMar>
            <w:vAlign w:val="center"/>
          </w:tcPr>
          <w:p w14:paraId="5B4A1EB3">
            <w:pPr>
              <w:rPr>
                <w:rFonts w:hint="eastAsia" w:ascii="宋体" w:hAnsi="宋体" w:eastAsia="宋体" w:cs="宋体"/>
                <w:i w:val="0"/>
                <w:color w:val="000000"/>
                <w:sz w:val="20"/>
                <w:szCs w:val="20"/>
                <w:u w:val="none"/>
              </w:rPr>
            </w:pPr>
          </w:p>
        </w:tc>
        <w:tc>
          <w:tcPr>
            <w:tcW w:w="588" w:type="dxa"/>
            <w:tcBorders>
              <w:top w:val="nil"/>
              <w:left w:val="nil"/>
              <w:bottom w:val="nil"/>
              <w:right w:val="nil"/>
            </w:tcBorders>
            <w:shd w:val="clear" w:color="auto" w:fill="FFFFFF"/>
            <w:noWrap w:val="0"/>
            <w:tcMar>
              <w:top w:w="12" w:type="dxa"/>
              <w:left w:w="12" w:type="dxa"/>
              <w:right w:w="12" w:type="dxa"/>
            </w:tcMar>
            <w:vAlign w:val="center"/>
          </w:tcPr>
          <w:p w14:paraId="2DFA14AC">
            <w:pPr>
              <w:rPr>
                <w:rFonts w:hint="eastAsia" w:ascii="宋体" w:hAnsi="宋体" w:eastAsia="宋体" w:cs="宋体"/>
                <w:i w:val="0"/>
                <w:color w:val="000000"/>
                <w:sz w:val="20"/>
                <w:szCs w:val="20"/>
                <w:u w:val="none"/>
              </w:rPr>
            </w:pPr>
          </w:p>
        </w:tc>
        <w:tc>
          <w:tcPr>
            <w:tcW w:w="744" w:type="dxa"/>
            <w:tcBorders>
              <w:top w:val="nil"/>
              <w:left w:val="nil"/>
              <w:bottom w:val="nil"/>
              <w:right w:val="nil"/>
            </w:tcBorders>
            <w:shd w:val="clear" w:color="auto" w:fill="FFFFFF"/>
            <w:noWrap w:val="0"/>
            <w:tcMar>
              <w:top w:w="12" w:type="dxa"/>
              <w:left w:w="12" w:type="dxa"/>
              <w:right w:w="12" w:type="dxa"/>
            </w:tcMar>
            <w:vAlign w:val="center"/>
          </w:tcPr>
          <w:p w14:paraId="66312384">
            <w:pPr>
              <w:rPr>
                <w:rFonts w:hint="eastAsia" w:ascii="宋体" w:hAnsi="宋体" w:eastAsia="宋体" w:cs="宋体"/>
                <w:i w:val="0"/>
                <w:color w:val="000000"/>
                <w:sz w:val="20"/>
                <w:szCs w:val="20"/>
                <w:u w:val="none"/>
              </w:rPr>
            </w:pPr>
          </w:p>
        </w:tc>
        <w:tc>
          <w:tcPr>
            <w:tcW w:w="960" w:type="dxa"/>
            <w:tcBorders>
              <w:top w:val="nil"/>
              <w:left w:val="nil"/>
              <w:bottom w:val="nil"/>
              <w:right w:val="nil"/>
            </w:tcBorders>
            <w:shd w:val="clear" w:color="auto" w:fill="FFFFFF"/>
            <w:noWrap w:val="0"/>
            <w:tcMar>
              <w:top w:w="12" w:type="dxa"/>
              <w:left w:w="12" w:type="dxa"/>
              <w:right w:w="12" w:type="dxa"/>
            </w:tcMar>
            <w:vAlign w:val="center"/>
          </w:tcPr>
          <w:p w14:paraId="4333C747">
            <w:pPr>
              <w:rPr>
                <w:rFonts w:hint="eastAsia" w:ascii="宋体" w:hAnsi="宋体" w:eastAsia="宋体" w:cs="宋体"/>
                <w:i w:val="0"/>
                <w:color w:val="000000"/>
                <w:sz w:val="20"/>
                <w:szCs w:val="20"/>
                <w:u w:val="none"/>
              </w:rPr>
            </w:pPr>
          </w:p>
        </w:tc>
        <w:tc>
          <w:tcPr>
            <w:tcW w:w="636" w:type="dxa"/>
            <w:tcBorders>
              <w:top w:val="nil"/>
              <w:left w:val="nil"/>
              <w:bottom w:val="nil"/>
              <w:right w:val="nil"/>
            </w:tcBorders>
            <w:shd w:val="clear" w:color="auto" w:fill="FFFFFF"/>
            <w:noWrap w:val="0"/>
            <w:tcMar>
              <w:top w:w="12" w:type="dxa"/>
              <w:left w:w="12" w:type="dxa"/>
              <w:right w:w="12" w:type="dxa"/>
            </w:tcMar>
            <w:vAlign w:val="center"/>
          </w:tcPr>
          <w:p w14:paraId="60F01F07">
            <w:pPr>
              <w:rPr>
                <w:rFonts w:hint="eastAsia" w:ascii="宋体" w:hAnsi="宋体" w:eastAsia="宋体" w:cs="宋体"/>
                <w:i w:val="0"/>
                <w:color w:val="000000"/>
                <w:sz w:val="20"/>
                <w:szCs w:val="20"/>
                <w:u w:val="none"/>
              </w:rPr>
            </w:pPr>
          </w:p>
        </w:tc>
        <w:tc>
          <w:tcPr>
            <w:tcW w:w="600" w:type="dxa"/>
            <w:tcBorders>
              <w:top w:val="nil"/>
              <w:left w:val="nil"/>
              <w:bottom w:val="nil"/>
              <w:right w:val="nil"/>
            </w:tcBorders>
            <w:shd w:val="clear" w:color="auto" w:fill="FFFFFF"/>
            <w:noWrap w:val="0"/>
            <w:tcMar>
              <w:top w:w="12" w:type="dxa"/>
              <w:left w:w="12" w:type="dxa"/>
              <w:right w:w="12" w:type="dxa"/>
            </w:tcMar>
            <w:vAlign w:val="center"/>
          </w:tcPr>
          <w:p w14:paraId="31446782">
            <w:pPr>
              <w:rPr>
                <w:rFonts w:hint="eastAsia" w:ascii="宋体" w:hAnsi="宋体" w:eastAsia="宋体" w:cs="宋体"/>
                <w:i w:val="0"/>
                <w:color w:val="000000"/>
                <w:sz w:val="20"/>
                <w:szCs w:val="20"/>
                <w:u w:val="none"/>
              </w:rPr>
            </w:pPr>
          </w:p>
        </w:tc>
        <w:tc>
          <w:tcPr>
            <w:tcW w:w="816" w:type="dxa"/>
            <w:tcBorders>
              <w:top w:val="nil"/>
              <w:left w:val="nil"/>
              <w:bottom w:val="nil"/>
              <w:right w:val="nil"/>
            </w:tcBorders>
            <w:shd w:val="clear" w:color="auto" w:fill="FFFFFF"/>
            <w:noWrap w:val="0"/>
            <w:tcMar>
              <w:top w:w="12" w:type="dxa"/>
              <w:left w:w="12" w:type="dxa"/>
              <w:right w:w="12" w:type="dxa"/>
            </w:tcMar>
            <w:vAlign w:val="center"/>
          </w:tcPr>
          <w:p w14:paraId="145B5D48">
            <w:pPr>
              <w:rPr>
                <w:rFonts w:hint="eastAsia" w:ascii="宋体" w:hAnsi="宋体" w:eastAsia="宋体" w:cs="宋体"/>
                <w:i w:val="0"/>
                <w:color w:val="000000"/>
                <w:sz w:val="20"/>
                <w:szCs w:val="20"/>
                <w:u w:val="none"/>
              </w:rPr>
            </w:pPr>
          </w:p>
        </w:tc>
        <w:tc>
          <w:tcPr>
            <w:tcW w:w="696" w:type="dxa"/>
            <w:tcBorders>
              <w:top w:val="nil"/>
              <w:left w:val="nil"/>
              <w:bottom w:val="nil"/>
              <w:right w:val="nil"/>
            </w:tcBorders>
            <w:shd w:val="clear" w:color="auto" w:fill="FFFFFF"/>
            <w:noWrap w:val="0"/>
            <w:tcMar>
              <w:top w:w="12" w:type="dxa"/>
              <w:left w:w="12" w:type="dxa"/>
              <w:right w:w="12" w:type="dxa"/>
            </w:tcMar>
            <w:vAlign w:val="center"/>
          </w:tcPr>
          <w:p w14:paraId="182B6767">
            <w:pPr>
              <w:rPr>
                <w:rFonts w:hint="eastAsia" w:ascii="宋体" w:hAnsi="宋体" w:eastAsia="宋体" w:cs="宋体"/>
                <w:i w:val="0"/>
                <w:color w:val="000000"/>
                <w:sz w:val="20"/>
                <w:szCs w:val="20"/>
                <w:u w:val="none"/>
              </w:rPr>
            </w:pPr>
          </w:p>
        </w:tc>
        <w:tc>
          <w:tcPr>
            <w:tcW w:w="840" w:type="dxa"/>
            <w:tcBorders>
              <w:top w:val="nil"/>
              <w:left w:val="nil"/>
              <w:bottom w:val="nil"/>
              <w:right w:val="nil"/>
            </w:tcBorders>
            <w:shd w:val="clear" w:color="auto" w:fill="FFFFFF"/>
            <w:noWrap w:val="0"/>
            <w:tcMar>
              <w:top w:w="12" w:type="dxa"/>
              <w:left w:w="12" w:type="dxa"/>
              <w:right w:w="12" w:type="dxa"/>
            </w:tcMar>
            <w:vAlign w:val="center"/>
          </w:tcPr>
          <w:p w14:paraId="383EE721">
            <w:pPr>
              <w:rPr>
                <w:rFonts w:hint="eastAsia" w:ascii="宋体" w:hAnsi="宋体" w:eastAsia="宋体" w:cs="宋体"/>
                <w:i w:val="0"/>
                <w:color w:val="000000"/>
                <w:sz w:val="20"/>
                <w:szCs w:val="20"/>
                <w:u w:val="none"/>
              </w:rPr>
            </w:pPr>
          </w:p>
        </w:tc>
        <w:tc>
          <w:tcPr>
            <w:tcW w:w="1548" w:type="dxa"/>
            <w:gridSpan w:val="2"/>
            <w:tcBorders>
              <w:top w:val="nil"/>
              <w:left w:val="nil"/>
              <w:bottom w:val="nil"/>
              <w:right w:val="nil"/>
            </w:tcBorders>
            <w:shd w:val="clear" w:color="auto" w:fill="FFFFFF"/>
            <w:noWrap w:val="0"/>
            <w:tcMar>
              <w:top w:w="12" w:type="dxa"/>
              <w:left w:w="12" w:type="dxa"/>
              <w:right w:w="12" w:type="dxa"/>
            </w:tcMar>
            <w:vAlign w:val="center"/>
          </w:tcPr>
          <w:p w14:paraId="35160E1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Arial"/>
                <w:color w:val="000000"/>
                <w:kern w:val="0"/>
                <w:sz w:val="22"/>
                <w:szCs w:val="22"/>
              </w:rPr>
              <w:t>金额单位</w:t>
            </w:r>
            <w:r>
              <w:rPr>
                <w:rFonts w:hint="eastAsia" w:ascii="宋体" w:hAnsi="宋体" w:eastAsia="宋体" w:cs="宋体"/>
                <w:i w:val="0"/>
                <w:color w:val="000000"/>
                <w:kern w:val="0"/>
                <w:sz w:val="20"/>
                <w:szCs w:val="20"/>
                <w:u w:val="none"/>
                <w:lang w:val="en-US" w:eastAsia="zh-CN" w:bidi="ar"/>
              </w:rPr>
              <w:t>：万元</w:t>
            </w:r>
          </w:p>
        </w:tc>
      </w:tr>
      <w:tr w14:paraId="0B901216">
        <w:tblPrEx>
          <w:tblCellMar>
            <w:top w:w="0" w:type="dxa"/>
            <w:left w:w="0" w:type="dxa"/>
            <w:bottom w:w="0" w:type="dxa"/>
            <w:right w:w="0" w:type="dxa"/>
          </w:tblCellMar>
        </w:tblPrEx>
        <w:trPr>
          <w:trHeight w:val="540" w:hRule="atLeast"/>
        </w:trPr>
        <w:tc>
          <w:tcPr>
            <w:tcW w:w="4317"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6DBAA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4500" w:type="dxa"/>
            <w:gridSpan w:val="6"/>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1D26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14:paraId="40A23D32">
        <w:tblPrEx>
          <w:tblCellMar>
            <w:top w:w="0" w:type="dxa"/>
            <w:left w:w="0" w:type="dxa"/>
            <w:bottom w:w="0" w:type="dxa"/>
            <w:right w:w="0" w:type="dxa"/>
          </w:tblCellMar>
        </w:tblPrEx>
        <w:trPr>
          <w:trHeight w:val="578" w:hRule="atLeast"/>
        </w:trPr>
        <w:tc>
          <w:tcPr>
            <w:tcW w:w="5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D9DB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79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3D367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29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6F6F8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公务用车购置及运行维护费</w:t>
            </w:r>
          </w:p>
        </w:tc>
        <w:tc>
          <w:tcPr>
            <w:tcW w:w="63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3E1C9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AAD76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816"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DB93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因公出国（境）费</w:t>
            </w:r>
          </w:p>
        </w:tc>
        <w:tc>
          <w:tcPr>
            <w:tcW w:w="2472"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74D78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公务用车购置及运行维护费</w:t>
            </w:r>
          </w:p>
        </w:tc>
        <w:tc>
          <w:tcPr>
            <w:tcW w:w="612"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168CE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公务接待费</w:t>
            </w:r>
          </w:p>
        </w:tc>
      </w:tr>
      <w:tr w14:paraId="57EFEE1C">
        <w:tblPrEx>
          <w:tblCellMar>
            <w:top w:w="0" w:type="dxa"/>
            <w:left w:w="0" w:type="dxa"/>
            <w:bottom w:w="0" w:type="dxa"/>
            <w:right w:w="0" w:type="dxa"/>
          </w:tblCellMar>
        </w:tblPrEx>
        <w:trPr>
          <w:trHeight w:val="578" w:hRule="atLeast"/>
        </w:trPr>
        <w:tc>
          <w:tcPr>
            <w:tcW w:w="5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1F9ABA9">
            <w:pPr>
              <w:jc w:val="center"/>
              <w:rPr>
                <w:rFonts w:hint="eastAsia" w:ascii="宋体" w:hAnsi="宋体" w:eastAsia="宋体" w:cs="宋体"/>
                <w:i w:val="0"/>
                <w:color w:val="000000"/>
                <w:sz w:val="18"/>
                <w:szCs w:val="18"/>
                <w:u w:val="none"/>
              </w:rPr>
            </w:pPr>
          </w:p>
        </w:tc>
        <w:tc>
          <w:tcPr>
            <w:tcW w:w="79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186D0A0">
            <w:pPr>
              <w:jc w:val="center"/>
              <w:rPr>
                <w:rFonts w:hint="eastAsia" w:ascii="宋体" w:hAnsi="宋体" w:eastAsia="宋体" w:cs="宋体"/>
                <w:i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A9FB1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4652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E8E64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3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71DA38E">
            <w:pPr>
              <w:jc w:val="center"/>
              <w:rPr>
                <w:rFonts w:hint="eastAsia" w:ascii="宋体" w:hAnsi="宋体" w:eastAsia="宋体" w:cs="宋体"/>
                <w:i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6FCC902">
            <w:pPr>
              <w:jc w:val="center"/>
              <w:rPr>
                <w:rFonts w:hint="eastAsia" w:ascii="宋体" w:hAnsi="宋体" w:eastAsia="宋体" w:cs="宋体"/>
                <w:i w:val="0"/>
                <w:color w:val="000000"/>
                <w:sz w:val="18"/>
                <w:szCs w:val="18"/>
                <w:u w:val="none"/>
              </w:rPr>
            </w:pPr>
          </w:p>
        </w:tc>
        <w:tc>
          <w:tcPr>
            <w:tcW w:w="816"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077CC2B">
            <w:pPr>
              <w:jc w:val="center"/>
              <w:rPr>
                <w:rFonts w:hint="eastAsia" w:ascii="宋体" w:hAnsi="宋体" w:eastAsia="宋体" w:cs="宋体"/>
                <w:i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5504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CBED6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公务用车购置费</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14F3C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公务用车运行维护费</w:t>
            </w:r>
          </w:p>
        </w:tc>
        <w:tc>
          <w:tcPr>
            <w:tcW w:w="612"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B318D6C">
            <w:pPr>
              <w:jc w:val="center"/>
              <w:rPr>
                <w:rFonts w:hint="eastAsia" w:ascii="宋体" w:hAnsi="宋体" w:eastAsia="宋体" w:cs="宋体"/>
                <w:i w:val="0"/>
                <w:color w:val="000000"/>
                <w:sz w:val="18"/>
                <w:szCs w:val="18"/>
                <w:u w:val="none"/>
              </w:rPr>
            </w:pPr>
          </w:p>
        </w:tc>
      </w:tr>
      <w:tr w14:paraId="1827E8E1">
        <w:tblPrEx>
          <w:tblCellMar>
            <w:top w:w="0" w:type="dxa"/>
            <w:left w:w="0" w:type="dxa"/>
            <w:bottom w:w="0" w:type="dxa"/>
            <w:right w:w="0" w:type="dxa"/>
          </w:tblCellMar>
        </w:tblPrEx>
        <w:trPr>
          <w:trHeight w:val="540"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8950F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0320B7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0A2E5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D176F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CC02E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5C2BA8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FA07F2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786E7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9179E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B55FF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991C26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4ED0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14:paraId="2CE03AC9">
        <w:tblPrEx>
          <w:tblCellMar>
            <w:top w:w="0" w:type="dxa"/>
            <w:left w:w="0" w:type="dxa"/>
            <w:bottom w:w="0" w:type="dxa"/>
            <w:right w:w="0" w:type="dxa"/>
          </w:tblCellMar>
        </w:tblPrEx>
        <w:trPr>
          <w:trHeight w:val="414" w:hRule="atLeast"/>
        </w:trPr>
        <w:tc>
          <w:tcPr>
            <w:tcW w:w="5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B2151C">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3.14</w:t>
            </w:r>
          </w:p>
        </w:tc>
        <w:tc>
          <w:tcPr>
            <w:tcW w:w="79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AF9C67">
            <w:pPr>
              <w:jc w:val="center"/>
              <w:rPr>
                <w:rFonts w:hint="eastAsia" w:ascii="宋体" w:hAnsi="宋体" w:eastAsia="宋体" w:cs="宋体"/>
                <w:i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B51B2D">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2.00</w:t>
            </w:r>
          </w:p>
        </w:tc>
        <w:tc>
          <w:tcPr>
            <w:tcW w:w="74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723CC3C">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DB0066A">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2.00</w:t>
            </w:r>
          </w:p>
        </w:tc>
        <w:tc>
          <w:tcPr>
            <w:tcW w:w="6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93B04C0">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1.14</w:t>
            </w:r>
          </w:p>
        </w:tc>
        <w:tc>
          <w:tcPr>
            <w:tcW w:w="6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6538579">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3.14</w:t>
            </w:r>
          </w:p>
        </w:tc>
        <w:tc>
          <w:tcPr>
            <w:tcW w:w="81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4ABC9ED">
            <w:pPr>
              <w:jc w:val="center"/>
              <w:rPr>
                <w:rFonts w:hint="eastAsia" w:ascii="宋体" w:hAnsi="宋体" w:eastAsia="宋体" w:cs="宋体"/>
                <w:i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8F0ADDE">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2.00</w:t>
            </w:r>
          </w:p>
        </w:tc>
        <w:tc>
          <w:tcPr>
            <w:tcW w:w="8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A3E43D5">
            <w:pPr>
              <w:jc w:val="center"/>
              <w:rPr>
                <w:rFonts w:hint="eastAsia" w:ascii="宋体" w:hAnsi="宋体" w:eastAsia="宋体" w:cs="宋体"/>
                <w:i w:val="0"/>
                <w:color w:val="000000"/>
                <w:sz w:val="20"/>
                <w:szCs w:val="20"/>
                <w:u w:val="none"/>
              </w:rPr>
            </w:pPr>
          </w:p>
        </w:tc>
        <w:tc>
          <w:tcPr>
            <w:tcW w:w="93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2FBA507">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2.00</w:t>
            </w:r>
          </w:p>
        </w:tc>
        <w:tc>
          <w:tcPr>
            <w:tcW w:w="61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12D9544">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1.14</w:t>
            </w:r>
          </w:p>
        </w:tc>
      </w:tr>
    </w:tbl>
    <w:p w14:paraId="7794126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黑体" w:hAnsi="黑体" w:eastAsia="黑体"/>
          <w:szCs w:val="32"/>
        </w:rPr>
      </w:pPr>
      <w:r>
        <w:rPr>
          <w:rFonts w:hint="eastAsia" w:ascii="仿宋_GB2312" w:hAnsi="仿宋"/>
          <w:sz w:val="21"/>
          <w:szCs w:val="21"/>
          <w:lang w:val="en-US" w:eastAsia="zh-CN"/>
        </w:rPr>
        <w:t>注：本表反映部门本年度一般公共预算财政拨款“三公”经费支出预决算情况。其中，预算数为“三公”经费全年预算数，反映按规定程序调整后的预算数;决算数是包括当年一般公共预算财政拨款和以前年度结转资金安排的实际支出。</w:t>
      </w:r>
      <w:r>
        <w:rPr>
          <w:rFonts w:hint="eastAsia" w:ascii="仿宋_GB2312" w:hAnsi="仿宋"/>
          <w:sz w:val="21"/>
          <w:szCs w:val="21"/>
          <w:lang w:eastAsia="zh-CN"/>
        </w:rPr>
        <w:t xml:space="preserve"> </w:t>
      </w:r>
      <w:r>
        <w:rPr>
          <w:rFonts w:hint="eastAsia" w:ascii="仿宋_GB2312" w:hAnsi="仿宋"/>
          <w:szCs w:val="32"/>
          <w:lang w:eastAsia="zh-CN"/>
        </w:rPr>
        <w:t xml:space="preserve"> </w:t>
      </w:r>
      <w:r>
        <w:rPr>
          <w:rFonts w:hint="eastAsia" w:ascii="黑体" w:hAnsi="黑体" w:eastAsia="黑体"/>
          <w:szCs w:val="32"/>
        </w:rPr>
        <w:t xml:space="preserve">                                      </w:t>
      </w:r>
    </w:p>
    <w:p w14:paraId="3DA6BC33">
      <w:pPr>
        <w:rPr>
          <w:rFonts w:hint="eastAsia" w:ascii="黑体" w:hAnsi="黑体" w:eastAsia="黑体"/>
          <w:szCs w:val="32"/>
        </w:rPr>
      </w:pPr>
      <w:r>
        <w:rPr>
          <w:rFonts w:ascii="黑体" w:hAnsi="黑体" w:eastAsia="黑体"/>
          <w:szCs w:val="32"/>
        </w:rPr>
        <w:t xml:space="preserve">    </w:t>
      </w:r>
      <w:r>
        <w:rPr>
          <w:rFonts w:hint="eastAsia" w:ascii="黑体" w:hAnsi="黑体" w:eastAsia="黑体"/>
          <w:szCs w:val="32"/>
        </w:rPr>
        <w:t>二</w:t>
      </w:r>
      <w:r>
        <w:rPr>
          <w:rFonts w:ascii="黑体" w:hAnsi="黑体" w:eastAsia="黑体"/>
          <w:szCs w:val="32"/>
        </w:rPr>
        <w:t>、</w:t>
      </w:r>
      <w:r>
        <w:rPr>
          <w:rFonts w:hint="eastAsia" w:ascii="黑体" w:hAnsi="黑体" w:eastAsia="黑体"/>
          <w:szCs w:val="32"/>
          <w:lang w:eastAsia="zh-CN"/>
        </w:rPr>
        <w:t>202</w:t>
      </w:r>
      <w:r>
        <w:rPr>
          <w:rFonts w:hint="eastAsia" w:ascii="黑体" w:hAnsi="黑体" w:eastAsia="黑体"/>
          <w:szCs w:val="32"/>
          <w:lang w:val="en-US" w:eastAsia="zh-CN"/>
        </w:rPr>
        <w:t>4</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4F3D3FA2">
      <w:pPr>
        <w:ind w:firstLine="643" w:firstLineChars="200"/>
        <w:rPr>
          <w:rFonts w:hint="eastAsia" w:ascii="仿宋_GB2312" w:hAnsi="仿宋"/>
          <w:b/>
          <w:szCs w:val="32"/>
        </w:rPr>
      </w:pPr>
      <w:r>
        <w:rPr>
          <w:rFonts w:hint="eastAsia" w:ascii="仿宋_GB2312" w:hAnsi="仿宋"/>
          <w:b/>
          <w:szCs w:val="32"/>
        </w:rPr>
        <w:t>（一）一般公共预算财政拨款“三公”经费支出决算总体情况说明。</w:t>
      </w:r>
      <w:bookmarkStart w:id="0" w:name="_GoBack"/>
      <w:bookmarkEnd w:id="0"/>
    </w:p>
    <w:p w14:paraId="4C4FD159">
      <w:pPr>
        <w:ind w:firstLine="640" w:firstLineChars="200"/>
        <w:rPr>
          <w:rFonts w:hint="eastAsia" w:ascii="仿宋_GB2312" w:hAnsi="仿宋"/>
          <w:szCs w:val="32"/>
        </w:rPr>
      </w:pPr>
      <w:r>
        <w:rPr>
          <w:rFonts w:hint="eastAsia" w:ascii="仿宋_GB2312" w:hAnsi="仿宋"/>
          <w:szCs w:val="32"/>
          <w:lang w:eastAsia="zh-CN"/>
        </w:rPr>
        <w:t>淮南市八公山区卫生健康委员会202</w:t>
      </w:r>
      <w:r>
        <w:rPr>
          <w:rFonts w:hint="eastAsia" w:ascii="仿宋_GB2312" w:hAnsi="仿宋"/>
          <w:szCs w:val="32"/>
          <w:lang w:val="en-US" w:eastAsia="zh-CN"/>
        </w:rPr>
        <w:t>4</w:t>
      </w:r>
      <w:r>
        <w:rPr>
          <w:rFonts w:hint="eastAsia" w:ascii="仿宋_GB2312" w:hAnsi="仿宋"/>
          <w:szCs w:val="32"/>
        </w:rPr>
        <w:t>年度一般公共预算财政拨款“三公”经费支出预算为</w:t>
      </w:r>
      <w:r>
        <w:rPr>
          <w:rFonts w:hint="eastAsia" w:ascii="仿宋_GB2312" w:hAnsi="仿宋"/>
          <w:szCs w:val="32"/>
          <w:lang w:val="en-US" w:eastAsia="zh-CN"/>
        </w:rPr>
        <w:t>3.14</w:t>
      </w:r>
      <w:r>
        <w:rPr>
          <w:rFonts w:hint="eastAsia" w:ascii="仿宋_GB2312" w:hAnsi="仿宋"/>
          <w:szCs w:val="32"/>
        </w:rPr>
        <w:t>万元，支出决算</w:t>
      </w:r>
      <w:r>
        <w:rPr>
          <w:rFonts w:hint="eastAsia" w:ascii="仿宋_GB2312" w:hAnsi="仿宋"/>
          <w:szCs w:val="32"/>
          <w:lang w:eastAsia="zh-CN"/>
        </w:rPr>
        <w:t>为</w:t>
      </w:r>
      <w:r>
        <w:rPr>
          <w:rFonts w:hint="eastAsia" w:ascii="仿宋_GB2312" w:hAnsi="仿宋"/>
          <w:szCs w:val="32"/>
          <w:lang w:val="en-US" w:eastAsia="zh-CN"/>
        </w:rPr>
        <w:t>3.14</w:t>
      </w:r>
      <w:r>
        <w:rPr>
          <w:rFonts w:hint="eastAsia" w:ascii="仿宋_GB2312" w:hAnsi="仿宋"/>
          <w:szCs w:val="32"/>
        </w:rPr>
        <w:t>万元，完成预算的</w:t>
      </w:r>
      <w:r>
        <w:rPr>
          <w:rFonts w:hint="eastAsia" w:ascii="仿宋_GB2312" w:hAnsi="仿宋"/>
          <w:szCs w:val="32"/>
          <w:lang w:val="en-US" w:eastAsia="zh-CN"/>
        </w:rPr>
        <w:t>100</w:t>
      </w:r>
      <w:r>
        <w:rPr>
          <w:rFonts w:hint="eastAsia" w:ascii="仿宋_GB2312" w:hAnsi="仿宋"/>
          <w:szCs w:val="32"/>
        </w:rPr>
        <w:t>%</w:t>
      </w:r>
      <w:r>
        <w:rPr>
          <w:rFonts w:hint="eastAsia" w:ascii="仿宋_GB2312" w:hAnsi="仿宋"/>
          <w:szCs w:val="32"/>
          <w:lang w:eastAsia="zh-CN"/>
        </w:rPr>
        <w:t>；较上年增加</w:t>
      </w:r>
      <w:r>
        <w:rPr>
          <w:rFonts w:hint="eastAsia" w:ascii="仿宋_GB2312" w:hAnsi="仿宋"/>
          <w:szCs w:val="32"/>
          <w:lang w:val="en-US" w:eastAsia="zh-CN"/>
        </w:rPr>
        <w:t>0.37</w:t>
      </w:r>
      <w:r>
        <w:rPr>
          <w:rFonts w:hint="eastAsia" w:ascii="仿宋_GB2312" w:hAnsi="仿宋"/>
          <w:szCs w:val="32"/>
        </w:rPr>
        <w:t>万元</w:t>
      </w:r>
      <w:r>
        <w:rPr>
          <w:rFonts w:hint="eastAsia" w:ascii="仿宋_GB2312" w:hAnsi="仿宋"/>
          <w:szCs w:val="32"/>
          <w:lang w:eastAsia="zh-CN"/>
        </w:rPr>
        <w:t>，增</w:t>
      </w:r>
      <w:r>
        <w:rPr>
          <w:rFonts w:hint="eastAsia" w:ascii="仿宋_GB2312" w:hAnsi="仿宋"/>
          <w:color w:val="auto"/>
          <w:szCs w:val="32"/>
          <w:lang w:eastAsia="zh-CN"/>
        </w:rPr>
        <w:t>长</w:t>
      </w:r>
      <w:r>
        <w:rPr>
          <w:rFonts w:hint="eastAsia" w:ascii="仿宋_GB2312" w:hAnsi="仿宋"/>
          <w:color w:val="auto"/>
          <w:szCs w:val="32"/>
          <w:lang w:val="en-US" w:eastAsia="zh-CN"/>
        </w:rPr>
        <w:t>13.36%。</w:t>
      </w:r>
      <w:r>
        <w:rPr>
          <w:rFonts w:hint="eastAsia" w:ascii="仿宋_GB2312" w:hAnsi="仿宋"/>
          <w:color w:val="auto"/>
          <w:szCs w:val="32"/>
        </w:rPr>
        <w:t>决算数与预算数相同。原因是</w:t>
      </w:r>
      <w:r>
        <w:rPr>
          <w:rFonts w:hint="eastAsia" w:ascii="仿宋_GB2312" w:hAnsi="仿宋"/>
          <w:color w:val="auto"/>
          <w:szCs w:val="32"/>
          <w:lang w:eastAsia="zh-CN"/>
        </w:rPr>
        <w:t>加班工作餐增加，公务接待费用增加</w:t>
      </w:r>
      <w:r>
        <w:rPr>
          <w:rFonts w:hint="eastAsia" w:ascii="仿宋_GB2312" w:hAnsi="仿宋"/>
          <w:color w:val="auto"/>
          <w:szCs w:val="32"/>
        </w:rPr>
        <w:t>。为全面</w:t>
      </w:r>
      <w:r>
        <w:rPr>
          <w:rFonts w:hint="eastAsia" w:ascii="仿宋_GB2312" w:hAnsi="仿宋"/>
          <w:szCs w:val="32"/>
        </w:rPr>
        <w:t>反映“三公”经费支出，本次公布的“三公”经费决算为部门汇总数，包含单位本级和</w:t>
      </w:r>
      <w:r>
        <w:rPr>
          <w:rFonts w:hint="eastAsia" w:ascii="仿宋_GB2312" w:hAnsi="仿宋"/>
          <w:szCs w:val="32"/>
          <w:lang w:eastAsia="zh-CN"/>
        </w:rPr>
        <w:t>所</w:t>
      </w:r>
      <w:r>
        <w:rPr>
          <w:rFonts w:hint="eastAsia" w:ascii="仿宋_GB2312" w:hAnsi="仿宋"/>
          <w:szCs w:val="32"/>
        </w:rPr>
        <w:t>属单位。</w:t>
      </w:r>
    </w:p>
    <w:p w14:paraId="35C51C1E">
      <w:pPr>
        <w:ind w:firstLine="643" w:firstLineChars="200"/>
        <w:rPr>
          <w:rFonts w:hint="eastAsia"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72959727">
      <w:pPr>
        <w:ind w:firstLine="640" w:firstLineChars="200"/>
        <w:rPr>
          <w:rFonts w:hint="eastAsia" w:ascii="仿宋_GB2312" w:hAnsi="仿宋"/>
          <w:szCs w:val="32"/>
        </w:rPr>
      </w:pPr>
      <w:r>
        <w:rPr>
          <w:rFonts w:hint="eastAsia" w:ascii="仿宋_GB2312" w:hAnsi="仿宋"/>
          <w:szCs w:val="32"/>
          <w:lang w:eastAsia="zh-CN"/>
        </w:rPr>
        <w:t>淮南市八公山区卫生健康委员会202</w:t>
      </w:r>
      <w:r>
        <w:rPr>
          <w:rFonts w:hint="eastAsia" w:ascii="仿宋_GB2312" w:hAnsi="仿宋"/>
          <w:szCs w:val="32"/>
          <w:lang w:val="en-US" w:eastAsia="zh-CN"/>
        </w:rPr>
        <w:t>4</w:t>
      </w:r>
      <w:r>
        <w:rPr>
          <w:rFonts w:hint="eastAsia" w:ascii="仿宋_GB2312" w:hAnsi="仿宋"/>
          <w:szCs w:val="32"/>
        </w:rPr>
        <w:t>年度一般公共预算财政拨款“三公”经费支出决算中，因公出国（境）费支出决算</w:t>
      </w:r>
      <w:r>
        <w:rPr>
          <w:rFonts w:hint="eastAsia" w:ascii="仿宋_GB2312" w:hAnsi="仿宋"/>
          <w:szCs w:val="32"/>
          <w:lang w:val="en-US" w:eastAsia="zh-CN"/>
        </w:rPr>
        <w:t>0</w:t>
      </w:r>
      <w:r>
        <w:rPr>
          <w:rFonts w:hint="eastAsia" w:ascii="仿宋_GB2312" w:hAnsi="仿宋"/>
          <w:szCs w:val="32"/>
        </w:rPr>
        <w:t>万元，占</w:t>
      </w:r>
      <w:r>
        <w:rPr>
          <w:rFonts w:hint="eastAsia" w:ascii="仿宋_GB2312" w:hAnsi="仿宋"/>
          <w:szCs w:val="32"/>
          <w:lang w:val="en-US" w:eastAsia="zh-CN"/>
        </w:rPr>
        <w:t>0</w:t>
      </w:r>
      <w:r>
        <w:rPr>
          <w:rFonts w:hint="eastAsia" w:ascii="仿宋_GB2312" w:hAnsi="仿宋"/>
          <w:szCs w:val="32"/>
        </w:rPr>
        <w:t>%;公务接待费支出决算</w:t>
      </w:r>
      <w:r>
        <w:rPr>
          <w:rFonts w:hint="eastAsia" w:ascii="仿宋_GB2312" w:hAnsi="仿宋"/>
          <w:szCs w:val="32"/>
          <w:lang w:val="en-US" w:eastAsia="zh-CN"/>
        </w:rPr>
        <w:t>1.14</w:t>
      </w:r>
      <w:r>
        <w:rPr>
          <w:rFonts w:hint="eastAsia" w:ascii="仿宋_GB2312" w:hAnsi="仿宋"/>
          <w:szCs w:val="32"/>
        </w:rPr>
        <w:t>万元，占</w:t>
      </w:r>
      <w:r>
        <w:rPr>
          <w:rFonts w:hint="eastAsia" w:ascii="仿宋_GB2312" w:hAnsi="仿宋"/>
          <w:szCs w:val="32"/>
          <w:lang w:val="en-US" w:eastAsia="zh-CN"/>
        </w:rPr>
        <w:t>36.31</w:t>
      </w:r>
      <w:r>
        <w:rPr>
          <w:rFonts w:hint="eastAsia" w:ascii="仿宋_GB2312" w:hAnsi="仿宋"/>
          <w:szCs w:val="32"/>
        </w:rPr>
        <w:t>%；公务用车购置及运行维护费支出决算</w:t>
      </w:r>
      <w:r>
        <w:rPr>
          <w:rFonts w:hint="eastAsia" w:ascii="仿宋_GB2312" w:hAnsi="仿宋"/>
          <w:szCs w:val="32"/>
          <w:lang w:val="en-US" w:eastAsia="zh-CN"/>
        </w:rPr>
        <w:t>2.00</w:t>
      </w:r>
      <w:r>
        <w:rPr>
          <w:rFonts w:hint="eastAsia" w:ascii="仿宋_GB2312" w:hAnsi="仿宋"/>
          <w:szCs w:val="32"/>
        </w:rPr>
        <w:t>万元，占</w:t>
      </w:r>
      <w:r>
        <w:rPr>
          <w:rFonts w:hint="eastAsia" w:ascii="仿宋_GB2312" w:hAnsi="仿宋"/>
          <w:szCs w:val="32"/>
          <w:lang w:val="en-US" w:eastAsia="zh-CN"/>
        </w:rPr>
        <w:t>63.67</w:t>
      </w:r>
      <w:r>
        <w:rPr>
          <w:rFonts w:hint="eastAsia" w:ascii="仿宋_GB2312" w:hAnsi="仿宋"/>
          <w:szCs w:val="32"/>
        </w:rPr>
        <w:t>%。具体情况如下：</w:t>
      </w:r>
    </w:p>
    <w:p w14:paraId="6A304236">
      <w:pPr>
        <w:ind w:firstLine="628"/>
        <w:rPr>
          <w:rFonts w:hint="eastAsia" w:ascii="仿宋_GB2312" w:hAnsi="仿宋"/>
          <w:szCs w:val="32"/>
        </w:rPr>
      </w:pPr>
      <w:r>
        <w:rPr>
          <w:rFonts w:hint="eastAsia" w:ascii="仿宋_GB2312" w:hAnsi="仿宋"/>
          <w:b/>
          <w:bCs/>
          <w:szCs w:val="32"/>
        </w:rPr>
        <w:t>1.因公出国（境）费</w:t>
      </w:r>
      <w:r>
        <w:rPr>
          <w:rFonts w:hint="eastAsia" w:ascii="仿宋_GB2312" w:hAnsi="仿宋"/>
          <w:szCs w:val="32"/>
        </w:rPr>
        <w:t>预算为0万元，支出决算为0万元，完成预算的100%；决算数与预算数相同；较上年减少0万元，下降0%。原因是2023年度、2024年度均未安排因公出国（境）计划。故2024年</w:t>
      </w:r>
      <w:r>
        <w:rPr>
          <w:rFonts w:hint="eastAsia" w:ascii="仿宋_GB2312" w:hAnsi="仿宋"/>
          <w:szCs w:val="32"/>
          <w:lang w:eastAsia="zh-CN"/>
        </w:rPr>
        <w:t>淮南市八公山区卫生健康委员会</w:t>
      </w:r>
      <w:r>
        <w:rPr>
          <w:rFonts w:hint="eastAsia" w:ascii="仿宋_GB2312" w:hAnsi="仿宋"/>
          <w:szCs w:val="32"/>
        </w:rPr>
        <w:t>因公出国（境）团组0次，累计出国（境）0人次。</w:t>
      </w:r>
    </w:p>
    <w:p w14:paraId="6BC9E65F">
      <w:pPr>
        <w:ind w:firstLine="643" w:firstLineChars="200"/>
        <w:rPr>
          <w:rFonts w:hint="eastAsia" w:ascii="仿宋_GB2312" w:hAnsi="仿宋"/>
          <w:szCs w:val="32"/>
        </w:rPr>
      </w:pPr>
      <w:r>
        <w:rPr>
          <w:rFonts w:hint="eastAsia" w:ascii="仿宋_GB2312" w:hAnsi="仿宋"/>
          <w:b/>
          <w:bCs/>
          <w:szCs w:val="32"/>
        </w:rPr>
        <w:t>2.公务接待费</w:t>
      </w:r>
      <w:r>
        <w:rPr>
          <w:rFonts w:hint="eastAsia" w:ascii="仿宋_GB2312" w:hAnsi="仿宋"/>
          <w:szCs w:val="32"/>
          <w:lang w:eastAsia="zh-CN"/>
        </w:rPr>
        <w:t>预算为</w:t>
      </w:r>
      <w:r>
        <w:rPr>
          <w:rFonts w:hint="eastAsia" w:ascii="仿宋_GB2312" w:hAnsi="仿宋"/>
          <w:szCs w:val="32"/>
          <w:lang w:val="en-US" w:eastAsia="zh-CN"/>
        </w:rPr>
        <w:t>1.14</w:t>
      </w:r>
      <w:r>
        <w:rPr>
          <w:rFonts w:hint="eastAsia" w:ascii="仿宋_GB2312" w:hAnsi="仿宋"/>
          <w:szCs w:val="32"/>
          <w:lang w:eastAsia="zh-CN"/>
        </w:rPr>
        <w:t>万元，支出决算为</w:t>
      </w:r>
      <w:r>
        <w:rPr>
          <w:rFonts w:hint="eastAsia" w:ascii="仿宋_GB2312" w:hAnsi="仿宋"/>
          <w:szCs w:val="32"/>
          <w:lang w:val="en-US" w:eastAsia="zh-CN"/>
        </w:rPr>
        <w:t>1.14万元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w:t>
      </w:r>
      <w:r>
        <w:rPr>
          <w:rFonts w:hint="eastAsia" w:ascii="仿宋_GB2312" w:hAnsi="仿宋"/>
          <w:szCs w:val="32"/>
        </w:rPr>
        <w:t>较上年增加</w:t>
      </w:r>
      <w:r>
        <w:rPr>
          <w:rFonts w:hint="eastAsia" w:ascii="仿宋_GB2312" w:hAnsi="仿宋"/>
          <w:szCs w:val="32"/>
          <w:lang w:val="en-US" w:eastAsia="zh-CN"/>
        </w:rPr>
        <w:t>0.54</w:t>
      </w:r>
      <w:r>
        <w:rPr>
          <w:rFonts w:hint="eastAsia" w:ascii="仿宋_GB2312" w:hAnsi="仿宋"/>
          <w:szCs w:val="32"/>
        </w:rPr>
        <w:t>万元，增长</w:t>
      </w:r>
      <w:r>
        <w:rPr>
          <w:rFonts w:hint="eastAsia" w:ascii="仿宋_GB2312" w:hAnsi="仿宋"/>
          <w:szCs w:val="32"/>
          <w:lang w:val="en-US" w:eastAsia="zh-CN"/>
        </w:rPr>
        <w:t>90</w:t>
      </w:r>
      <w:r>
        <w:rPr>
          <w:rFonts w:hint="eastAsia" w:ascii="仿宋_GB2312" w:hAnsi="仿宋"/>
          <w:szCs w:val="32"/>
        </w:rPr>
        <w:t>%。</w:t>
      </w:r>
      <w:r>
        <w:rPr>
          <w:rFonts w:hint="eastAsia" w:ascii="仿宋_GB2312" w:hAnsi="仿宋"/>
          <w:szCs w:val="32"/>
          <w:lang w:eastAsia="zh-CN"/>
        </w:rPr>
        <w:t>预算数和决算数相同</w:t>
      </w:r>
      <w:r>
        <w:rPr>
          <w:rFonts w:hint="eastAsia" w:ascii="仿宋_GB2312" w:hAnsi="仿宋"/>
          <w:szCs w:val="32"/>
        </w:rPr>
        <w:t>。决算数较上年增加的主要原因是</w:t>
      </w:r>
      <w:r>
        <w:rPr>
          <w:rFonts w:hint="eastAsia" w:ascii="仿宋_GB2312" w:hAnsi="仿宋"/>
          <w:szCs w:val="32"/>
          <w:lang w:eastAsia="zh-CN"/>
        </w:rPr>
        <w:t>加班工作增加，人员工作餐增加</w:t>
      </w:r>
      <w:r>
        <w:rPr>
          <w:rFonts w:hint="eastAsia" w:ascii="仿宋_GB2312" w:hAnsi="仿宋"/>
          <w:szCs w:val="32"/>
        </w:rPr>
        <w:t>。</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w:t>
      </w:r>
      <w:r>
        <w:rPr>
          <w:rFonts w:hint="eastAsia" w:ascii="仿宋_GB2312" w:hAnsi="仿宋"/>
          <w:szCs w:val="32"/>
          <w:lang w:eastAsia="zh-CN"/>
        </w:rPr>
        <w:t>淮南市八公山区卫生健康委员会</w:t>
      </w:r>
      <w:r>
        <w:rPr>
          <w:rFonts w:hint="eastAsia" w:ascii="仿宋_GB2312" w:hAnsi="仿宋"/>
          <w:szCs w:val="32"/>
        </w:rPr>
        <w:t>国内公务接待共</w:t>
      </w:r>
      <w:r>
        <w:rPr>
          <w:rFonts w:hint="eastAsia" w:ascii="仿宋_GB2312" w:hAnsi="仿宋"/>
          <w:szCs w:val="32"/>
          <w:lang w:val="en-US" w:eastAsia="zh-CN"/>
        </w:rPr>
        <w:t>24</w:t>
      </w:r>
      <w:r>
        <w:rPr>
          <w:rFonts w:hint="eastAsia" w:ascii="仿宋_GB2312" w:hAnsi="仿宋"/>
          <w:szCs w:val="32"/>
        </w:rPr>
        <w:t>批次（其中外事接待</w:t>
      </w:r>
      <w:r>
        <w:rPr>
          <w:rFonts w:hint="eastAsia" w:ascii="仿宋_GB2312" w:hAnsi="仿宋"/>
          <w:szCs w:val="32"/>
          <w:lang w:val="en-US" w:eastAsia="zh-CN"/>
        </w:rPr>
        <w:t>0</w:t>
      </w:r>
      <w:r>
        <w:rPr>
          <w:rFonts w:hint="eastAsia" w:ascii="仿宋_GB2312" w:hAnsi="仿宋"/>
          <w:szCs w:val="32"/>
        </w:rPr>
        <w:t>批次），</w:t>
      </w:r>
      <w:r>
        <w:rPr>
          <w:rFonts w:hint="eastAsia" w:ascii="仿宋_GB2312" w:hAnsi="仿宋"/>
          <w:szCs w:val="32"/>
          <w:lang w:val="en-US" w:eastAsia="zh-CN"/>
        </w:rPr>
        <w:t>386</w:t>
      </w:r>
      <w:r>
        <w:rPr>
          <w:rFonts w:hint="eastAsia" w:ascii="仿宋_GB2312" w:hAnsi="仿宋"/>
          <w:szCs w:val="32"/>
        </w:rPr>
        <w:t>人次（其中外事接待</w:t>
      </w:r>
      <w:r>
        <w:rPr>
          <w:rFonts w:hint="eastAsia" w:ascii="仿宋_GB2312" w:hAnsi="仿宋"/>
          <w:szCs w:val="32"/>
          <w:lang w:val="en-US" w:eastAsia="zh-CN"/>
        </w:rPr>
        <w:t>0</w:t>
      </w:r>
      <w:r>
        <w:rPr>
          <w:rFonts w:hint="eastAsia" w:ascii="仿宋_GB2312" w:hAnsi="仿宋"/>
          <w:szCs w:val="32"/>
        </w:rPr>
        <w:t>人次）。主要是用于</w:t>
      </w:r>
      <w:r>
        <w:rPr>
          <w:rFonts w:hint="eastAsia" w:ascii="仿宋_GB2312" w:hAnsi="仿宋"/>
          <w:szCs w:val="32"/>
          <w:lang w:eastAsia="zh-CN"/>
        </w:rPr>
        <w:t>加班工作餐</w:t>
      </w:r>
      <w:r>
        <w:rPr>
          <w:rFonts w:hint="eastAsia" w:ascii="仿宋_GB2312" w:hAnsi="仿宋"/>
          <w:szCs w:val="32"/>
        </w:rPr>
        <w:t>经费使用贯彻中央八项规定</w:t>
      </w:r>
      <w:r>
        <w:rPr>
          <w:rFonts w:hint="eastAsia" w:ascii="仿宋_GB2312" w:hAnsi="仿宋"/>
          <w:szCs w:val="32"/>
          <w:lang w:eastAsia="zh-CN"/>
        </w:rPr>
        <w:t>精神</w:t>
      </w:r>
      <w:r>
        <w:rPr>
          <w:rFonts w:hint="eastAsia" w:ascii="仿宋_GB2312" w:hAnsi="仿宋"/>
          <w:szCs w:val="32"/>
        </w:rPr>
        <w:t>和省</w:t>
      </w:r>
      <w:r>
        <w:rPr>
          <w:rFonts w:hint="eastAsia" w:ascii="仿宋_GB2312" w:hAnsi="仿宋"/>
          <w:szCs w:val="32"/>
          <w:lang w:eastAsia="zh-CN"/>
        </w:rPr>
        <w:t>委</w:t>
      </w:r>
      <w:r>
        <w:rPr>
          <w:rFonts w:hint="eastAsia" w:ascii="仿宋_GB2312" w:hAnsi="仿宋"/>
          <w:szCs w:val="32"/>
        </w:rPr>
        <w:t>实</w:t>
      </w:r>
      <w:r>
        <w:rPr>
          <w:rFonts w:hint="eastAsia" w:ascii="仿宋_GB2312" w:hAnsi="宋体" w:cs="宋体"/>
          <w:color w:val="282828"/>
          <w:kern w:val="0"/>
          <w:szCs w:val="32"/>
        </w:rPr>
        <w:t>施细则</w:t>
      </w:r>
      <w:r>
        <w:rPr>
          <w:rFonts w:hint="eastAsia" w:ascii="仿宋_GB2312" w:hAnsi="仿宋"/>
          <w:szCs w:val="32"/>
        </w:rPr>
        <w:t>，严格执行《党政机关厉行节约反对浪费条例》、</w:t>
      </w:r>
      <w:r>
        <w:rPr>
          <w:rFonts w:hint="eastAsia" w:ascii="仿宋_GB2312" w:hAnsi="仿宋"/>
          <w:szCs w:val="32"/>
          <w:lang w:eastAsia="zh-CN"/>
        </w:rPr>
        <w:t>《安徽省财政厅关于调整省直机关公务接待费用餐标准的通知》</w:t>
      </w:r>
      <w:r>
        <w:rPr>
          <w:rFonts w:hint="eastAsia" w:ascii="仿宋_GB2312" w:hAnsi="仿宋"/>
          <w:szCs w:val="32"/>
        </w:rPr>
        <w:t>（财行〔201</w:t>
      </w:r>
      <w:r>
        <w:rPr>
          <w:rFonts w:hint="eastAsia" w:ascii="仿宋_GB2312" w:hAnsi="仿宋"/>
          <w:szCs w:val="32"/>
          <w:lang w:val="en-US" w:eastAsia="zh-CN"/>
        </w:rPr>
        <w:t>8</w:t>
      </w:r>
      <w:r>
        <w:rPr>
          <w:rFonts w:hint="eastAsia" w:ascii="仿宋_GB2312" w:hAnsi="仿宋"/>
          <w:szCs w:val="32"/>
        </w:rPr>
        <w:t>〕</w:t>
      </w:r>
      <w:r>
        <w:rPr>
          <w:rFonts w:hint="eastAsia" w:ascii="仿宋_GB2312" w:hAnsi="仿宋"/>
          <w:szCs w:val="32"/>
          <w:lang w:val="en-US" w:eastAsia="zh-CN"/>
        </w:rPr>
        <w:t>1096</w:t>
      </w:r>
      <w:r>
        <w:rPr>
          <w:rFonts w:hint="eastAsia" w:ascii="仿宋_GB2312" w:hAnsi="仿宋"/>
          <w:szCs w:val="32"/>
        </w:rPr>
        <w:t>号）</w:t>
      </w:r>
      <w:r>
        <w:rPr>
          <w:rFonts w:hint="eastAsia" w:ascii="仿宋_GB2312" w:hAnsi="仿宋"/>
          <w:szCs w:val="32"/>
          <w:lang w:eastAsia="zh-CN"/>
        </w:rPr>
        <w:t>等</w:t>
      </w:r>
      <w:r>
        <w:rPr>
          <w:rFonts w:hint="eastAsia" w:ascii="仿宋_GB2312" w:hAnsi="仿宋"/>
          <w:szCs w:val="32"/>
        </w:rPr>
        <w:t>相关规定。</w:t>
      </w:r>
    </w:p>
    <w:p w14:paraId="47EF853F">
      <w:pPr>
        <w:ind w:firstLine="643" w:firstLineChars="200"/>
        <w:rPr>
          <w:rFonts w:hint="eastAsia"/>
        </w:rPr>
      </w:pPr>
      <w:r>
        <w:rPr>
          <w:rFonts w:hint="eastAsia" w:ascii="仿宋_GB2312" w:hAnsi="仿宋"/>
          <w:b/>
          <w:bCs/>
          <w:szCs w:val="32"/>
        </w:rPr>
        <w:t>3.公务用车购置及运行维护费</w:t>
      </w:r>
      <w:r>
        <w:rPr>
          <w:rFonts w:hint="eastAsia" w:ascii="仿宋_GB2312" w:hAnsi="仿宋"/>
          <w:szCs w:val="32"/>
          <w:lang w:eastAsia="zh-CN"/>
        </w:rPr>
        <w:t>预算为</w:t>
      </w:r>
      <w:r>
        <w:rPr>
          <w:rFonts w:hint="eastAsia" w:ascii="仿宋_GB2312" w:hAnsi="仿宋"/>
          <w:szCs w:val="32"/>
          <w:lang w:val="en-US" w:eastAsia="zh-CN"/>
        </w:rPr>
        <w:t>2.00</w:t>
      </w:r>
      <w:r>
        <w:rPr>
          <w:rFonts w:hint="eastAsia" w:ascii="仿宋_GB2312" w:hAnsi="仿宋"/>
          <w:szCs w:val="32"/>
          <w:lang w:eastAsia="zh-CN"/>
        </w:rPr>
        <w:t>万元，支出决算为</w:t>
      </w:r>
      <w:r>
        <w:rPr>
          <w:rFonts w:hint="eastAsia" w:ascii="仿宋_GB2312" w:hAnsi="仿宋"/>
          <w:szCs w:val="32"/>
          <w:lang w:val="en-US" w:eastAsia="zh-CN"/>
        </w:rPr>
        <w:t xml:space="preserve"> 2.00万元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%；较上年减少</w:t>
      </w:r>
      <w:r>
        <w:rPr>
          <w:rFonts w:hint="eastAsia" w:ascii="仿宋_GB2312" w:hAnsi="仿宋"/>
          <w:szCs w:val="32"/>
          <w:lang w:val="en-US" w:eastAsia="zh-CN"/>
        </w:rPr>
        <w:t>0.17</w:t>
      </w:r>
      <w:r>
        <w:rPr>
          <w:rFonts w:hint="eastAsia" w:ascii="仿宋_GB2312" w:hAnsi="仿宋"/>
          <w:szCs w:val="32"/>
          <w:lang w:eastAsia="zh-CN"/>
        </w:rPr>
        <w:t>万元，下降</w:t>
      </w:r>
      <w:r>
        <w:rPr>
          <w:rFonts w:hint="eastAsia" w:ascii="仿宋_GB2312" w:hAnsi="仿宋"/>
          <w:szCs w:val="32"/>
          <w:lang w:val="en-US" w:eastAsia="zh-CN"/>
        </w:rPr>
        <w:t>7.83%。</w:t>
      </w:r>
      <w:r>
        <w:rPr>
          <w:rFonts w:hint="eastAsia" w:ascii="仿宋_GB2312" w:hAnsi="仿宋"/>
          <w:szCs w:val="32"/>
          <w:lang w:eastAsia="zh-CN"/>
        </w:rPr>
        <w:t>预算数和决算数相同</w:t>
      </w:r>
      <w:r>
        <w:rPr>
          <w:rFonts w:hint="eastAsia" w:ascii="仿宋_GB2312" w:hAnsi="仿宋"/>
          <w:szCs w:val="32"/>
        </w:rPr>
        <w:t>。</w:t>
      </w:r>
      <w:r>
        <w:rPr>
          <w:rFonts w:hint="eastAsia" w:ascii="仿宋_GB2312" w:hAnsi="仿宋"/>
          <w:szCs w:val="32"/>
          <w:lang w:eastAsia="zh-CN"/>
        </w:rPr>
        <w:t>决算数较上年减少的主要原因是厉行节约，缩减支出。</w:t>
      </w:r>
      <w:r>
        <w:rPr>
          <w:rFonts w:hint="eastAsia" w:ascii="仿宋_GB2312" w:hAnsi="仿宋"/>
          <w:szCs w:val="32"/>
        </w:rPr>
        <w:t>其中，公务用车购置费</w:t>
      </w:r>
      <w:r>
        <w:rPr>
          <w:rFonts w:hint="eastAsia" w:ascii="仿宋_GB2312" w:hAnsi="仿宋"/>
          <w:szCs w:val="32"/>
          <w:lang w:eastAsia="zh-CN"/>
        </w:rPr>
        <w:t>预算为</w:t>
      </w:r>
      <w:r>
        <w:rPr>
          <w:rFonts w:hint="eastAsia" w:ascii="仿宋_GB2312" w:hAnsi="仿宋"/>
          <w:szCs w:val="32"/>
          <w:lang w:val="en-US" w:eastAsia="zh-CN"/>
        </w:rPr>
        <w:t>0</w:t>
      </w:r>
      <w:r>
        <w:rPr>
          <w:rFonts w:hint="eastAsia" w:ascii="仿宋_GB2312" w:hAnsi="仿宋"/>
          <w:szCs w:val="32"/>
          <w:lang w:eastAsia="zh-CN"/>
        </w:rPr>
        <w:t>万元，支出决算为</w:t>
      </w:r>
      <w:r>
        <w:rPr>
          <w:rFonts w:hint="eastAsia" w:ascii="仿宋_GB2312" w:hAnsi="仿宋"/>
          <w:szCs w:val="32"/>
          <w:lang w:val="en-US" w:eastAsia="zh-CN"/>
        </w:rPr>
        <w:t>0万元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%；较上年减少</w:t>
      </w:r>
      <w:r>
        <w:rPr>
          <w:rFonts w:hint="eastAsia" w:ascii="仿宋_GB2312" w:hAnsi="仿宋"/>
          <w:szCs w:val="32"/>
          <w:lang w:val="en-US" w:eastAsia="zh-CN"/>
        </w:rPr>
        <w:t>0</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0%。</w:t>
      </w:r>
      <w:r>
        <w:rPr>
          <w:rFonts w:hint="eastAsia" w:ascii="仿宋_GB2312" w:hAnsi="仿宋"/>
          <w:szCs w:val="32"/>
          <w:lang w:eastAsia="zh-CN"/>
        </w:rPr>
        <w:t>预算数和决算数相同</w:t>
      </w:r>
      <w:r>
        <w:rPr>
          <w:rFonts w:hint="eastAsia" w:ascii="仿宋_GB2312" w:hAnsi="仿宋"/>
          <w:szCs w:val="32"/>
        </w:rPr>
        <w:t>。原因是2023年度、2024年度均未安排公务用车购置费计划。</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年没有安排公务用车购置费</w:t>
      </w:r>
      <w:r>
        <w:rPr>
          <w:rFonts w:hint="eastAsia" w:ascii="仿宋_GB2312" w:hAnsi="仿宋"/>
          <w:szCs w:val="32"/>
          <w:lang w:eastAsia="zh-CN"/>
        </w:rPr>
        <w:t>。</w:t>
      </w:r>
      <w:r>
        <w:rPr>
          <w:rFonts w:hint="eastAsia" w:ascii="仿宋_GB2312" w:hAnsi="仿宋"/>
          <w:szCs w:val="32"/>
        </w:rPr>
        <w:t>公务用车运行维护费</w:t>
      </w:r>
      <w:r>
        <w:rPr>
          <w:rFonts w:hint="eastAsia" w:ascii="仿宋_GB2312" w:hAnsi="仿宋"/>
          <w:szCs w:val="32"/>
          <w:lang w:eastAsia="zh-CN"/>
        </w:rPr>
        <w:t>预算为</w:t>
      </w:r>
      <w:r>
        <w:rPr>
          <w:rFonts w:hint="eastAsia" w:ascii="仿宋_GB2312" w:hAnsi="仿宋"/>
          <w:szCs w:val="32"/>
          <w:lang w:val="en-US" w:eastAsia="zh-CN"/>
        </w:rPr>
        <w:t>2.00</w:t>
      </w:r>
      <w:r>
        <w:rPr>
          <w:rFonts w:hint="eastAsia" w:ascii="仿宋_GB2312" w:hAnsi="仿宋"/>
          <w:szCs w:val="32"/>
          <w:lang w:eastAsia="zh-CN"/>
        </w:rPr>
        <w:t>万元，支出决算为</w:t>
      </w:r>
      <w:r>
        <w:rPr>
          <w:rFonts w:hint="eastAsia" w:ascii="仿宋_GB2312" w:hAnsi="仿宋"/>
          <w:szCs w:val="32"/>
          <w:lang w:val="en-US" w:eastAsia="zh-CN"/>
        </w:rPr>
        <w:t>2.00万元</w:t>
      </w:r>
      <w:r>
        <w:rPr>
          <w:rFonts w:hint="eastAsia" w:ascii="仿宋_GB2312" w:hAnsi="仿宋"/>
          <w:szCs w:val="32"/>
          <w:lang w:eastAsia="zh-CN"/>
        </w:rPr>
        <w:t>，完成预算的</w:t>
      </w:r>
      <w:r>
        <w:rPr>
          <w:rFonts w:hint="eastAsia" w:ascii="仿宋_GB2312" w:hAnsi="仿宋"/>
          <w:szCs w:val="32"/>
          <w:lang w:val="en-US" w:eastAsia="zh-CN"/>
        </w:rPr>
        <w:t>100</w:t>
      </w:r>
      <w:r>
        <w:rPr>
          <w:rFonts w:hint="eastAsia" w:ascii="仿宋_GB2312" w:hAnsi="仿宋"/>
          <w:szCs w:val="32"/>
          <w:lang w:eastAsia="zh-CN"/>
        </w:rPr>
        <w:t>%；较上年减少</w:t>
      </w:r>
      <w:r>
        <w:rPr>
          <w:rFonts w:hint="eastAsia" w:ascii="仿宋_GB2312" w:hAnsi="仿宋"/>
          <w:szCs w:val="32"/>
          <w:lang w:val="en-US" w:eastAsia="zh-CN"/>
        </w:rPr>
        <w:t>0.17</w:t>
      </w:r>
      <w:r>
        <w:rPr>
          <w:rFonts w:hint="eastAsia" w:ascii="仿宋_GB2312" w:hAnsi="仿宋"/>
          <w:szCs w:val="32"/>
        </w:rPr>
        <w:t>万元</w:t>
      </w:r>
      <w:r>
        <w:rPr>
          <w:rFonts w:hint="eastAsia" w:ascii="仿宋_GB2312" w:hAnsi="仿宋"/>
          <w:szCs w:val="32"/>
          <w:lang w:eastAsia="zh-CN"/>
        </w:rPr>
        <w:t>，下降</w:t>
      </w:r>
      <w:r>
        <w:rPr>
          <w:rFonts w:hint="eastAsia" w:ascii="仿宋_GB2312" w:hAnsi="仿宋"/>
          <w:szCs w:val="32"/>
          <w:lang w:val="en-US" w:eastAsia="zh-CN"/>
        </w:rPr>
        <w:t>7.83%。</w:t>
      </w:r>
      <w:r>
        <w:rPr>
          <w:rFonts w:hint="eastAsia" w:ascii="仿宋_GB2312" w:hAnsi="仿宋"/>
          <w:szCs w:val="32"/>
          <w:lang w:eastAsia="zh-CN"/>
        </w:rPr>
        <w:t>决算数和预算数相同</w:t>
      </w:r>
      <w:r>
        <w:rPr>
          <w:rFonts w:hint="eastAsia" w:ascii="仿宋_GB2312" w:hAnsi="仿宋"/>
          <w:szCs w:val="32"/>
        </w:rPr>
        <w:t>。决算数</w:t>
      </w:r>
      <w:r>
        <w:rPr>
          <w:rFonts w:hint="eastAsia" w:ascii="仿宋_GB2312" w:hAnsi="仿宋"/>
          <w:szCs w:val="32"/>
          <w:lang w:eastAsia="zh-CN"/>
        </w:rPr>
        <w:t>较上年减少</w:t>
      </w:r>
      <w:r>
        <w:rPr>
          <w:rFonts w:hint="eastAsia" w:ascii="仿宋_GB2312" w:hAnsi="仿宋"/>
          <w:szCs w:val="32"/>
        </w:rPr>
        <w:t>的主要原因是</w:t>
      </w:r>
      <w:r>
        <w:rPr>
          <w:rFonts w:hint="eastAsia" w:ascii="TimesNewRoman" w:hAnsi="TimesNewRoman" w:cs="TimesNewRoman"/>
          <w:szCs w:val="32"/>
        </w:rPr>
        <w:t>坚持厉行节约，认真执行中央、省和市有关公务用车配备使用管理制度规定，严格控制车辆经费使用。</w:t>
      </w:r>
      <w:r>
        <w:rPr>
          <w:rFonts w:hint="eastAsia" w:ascii="仿宋_GB2312" w:hAnsi="仿宋"/>
          <w:szCs w:val="32"/>
        </w:rPr>
        <w:t>公务用车运行维护费，包括车辆燃料费、维修费、过路过桥费、保险费等支出，主要用于本部门卫生健康行政执法检查、疫情防控疫苗运输。截至</w:t>
      </w:r>
      <w:r>
        <w:rPr>
          <w:rFonts w:hint="eastAsia" w:ascii="仿宋_GB2312" w:hAnsi="仿宋"/>
          <w:szCs w:val="32"/>
          <w:lang w:eastAsia="zh-CN"/>
        </w:rPr>
        <w:t>202</w:t>
      </w:r>
      <w:r>
        <w:rPr>
          <w:rFonts w:hint="eastAsia" w:ascii="仿宋_GB2312" w:hAnsi="仿宋"/>
          <w:szCs w:val="32"/>
          <w:lang w:val="en-US" w:eastAsia="zh-CN"/>
        </w:rPr>
        <w:t>4</w:t>
      </w:r>
      <w:r>
        <w:rPr>
          <w:rFonts w:hint="eastAsia" w:ascii="仿宋_GB2312" w:hAnsi="仿宋"/>
          <w:szCs w:val="32"/>
        </w:rPr>
        <w:t>年12月31日，淮南市八公山区卫生健康委员会（部门）机关及所属单位开支财政拨款的公务用车保有量为</w:t>
      </w:r>
      <w:r>
        <w:rPr>
          <w:rFonts w:hint="eastAsia" w:ascii="仿宋_GB2312" w:hAnsi="仿宋"/>
          <w:szCs w:val="32"/>
          <w:lang w:val="en-US" w:eastAsia="zh-CN"/>
        </w:rPr>
        <w:t>2</w:t>
      </w:r>
      <w:r>
        <w:rPr>
          <w:rFonts w:hint="eastAsia" w:ascii="仿宋_GB2312" w:hAnsi="仿宋"/>
          <w:szCs w:val="32"/>
        </w:rPr>
        <w:t>辆。</w:t>
      </w:r>
    </w:p>
    <w:p w14:paraId="7613D3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
    <w:altName w:val="Times New Roman"/>
    <w:panose1 w:val="02020603050405020304"/>
    <w:charset w:val="00"/>
    <w:family w:val="auto"/>
    <w:pitch w:val="default"/>
    <w:sig w:usb0="00000000" w:usb1="00000000" w:usb2="00000029" w:usb3="00000000" w:csb0="6000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83299"/>
    <w:rsid w:val="2F417517"/>
    <w:rsid w:val="50CD1DC4"/>
    <w:rsid w:val="5EF83299"/>
    <w:rsid w:val="5F7D0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1377</Words>
  <Characters>1547</Characters>
  <Lines>0</Lines>
  <Paragraphs>0</Paragraphs>
  <TotalTime>3</TotalTime>
  <ScaleCrop>false</ScaleCrop>
  <LinksUpToDate>false</LinksUpToDate>
  <CharactersWithSpaces>1592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2025-09-24T08:53:00Z</dcterms:created>
  <dc:creator>  美妥妥滴 </dc:creator>
  <cp:lastModifiedBy>  美妥妥滴 </cp:lastModifiedBy>
  <dcterms:modified xsi:type="dcterms:W3CDTF">2025-10-14T01:18:35Z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4CACD0782CBD4624843E49704DD87158_11</vt:lpwstr>
  </property>
  <property fmtid="{D5CDD505-2E9C-101B-9397-08002B2CF9AE}" pid="4" name="KSOTemplateDocerSaveRecord">
    <vt:lpwstr>eyJoZGlkIjoiNGM1MTZhYTVlNTFmMGMxYTg5NTRiOGRiODFlYTI4ODQiLCJ1c2VySWQiOiIyNjAwMzk0NzIifQ==</vt:lpwstr>
  </property>
</Properties>
</file>