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7F667C">
      <w:pPr>
        <w:keepNext w:val="0"/>
        <w:keepLines w:val="0"/>
        <w:pageBreakBefore w:val="0"/>
        <w:widowControl w:val="0"/>
        <w:kinsoku/>
        <w:wordWrap/>
        <w:overflowPunct/>
        <w:autoSpaceDE/>
        <w:autoSpaceDN/>
        <w:bidi w:val="0"/>
        <w:spacing w:line="560" w:lineRule="exact"/>
        <w:jc w:val="center"/>
        <w:textAlignment w:val="auto"/>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八公山区202</w:t>
      </w:r>
      <w:r>
        <w:rPr>
          <w:rFonts w:hint="eastAsia" w:ascii="方正小标宋_GBK" w:hAnsi="方正小标宋_GBK" w:eastAsia="方正小标宋_GBK" w:cs="方正小标宋_GBK"/>
          <w:color w:val="auto"/>
          <w:sz w:val="44"/>
          <w:szCs w:val="44"/>
          <w:lang w:val="en-US" w:eastAsia="zh-CN"/>
        </w:rPr>
        <w:t>4</w:t>
      </w:r>
      <w:r>
        <w:rPr>
          <w:rFonts w:hint="eastAsia" w:ascii="方正小标宋_GBK" w:hAnsi="方正小标宋_GBK" w:eastAsia="方正小标宋_GBK" w:cs="方正小标宋_GBK"/>
          <w:color w:val="auto"/>
          <w:sz w:val="44"/>
          <w:szCs w:val="44"/>
        </w:rPr>
        <w:t>年财政决算草案和202</w:t>
      </w:r>
      <w:r>
        <w:rPr>
          <w:rFonts w:hint="eastAsia" w:ascii="方正小标宋_GBK" w:hAnsi="方正小标宋_GBK" w:eastAsia="方正小标宋_GBK" w:cs="方正小标宋_GBK"/>
          <w:color w:val="auto"/>
          <w:sz w:val="44"/>
          <w:szCs w:val="44"/>
          <w:lang w:val="en-US" w:eastAsia="zh-CN"/>
        </w:rPr>
        <w:t>5</w:t>
      </w:r>
      <w:r>
        <w:rPr>
          <w:rFonts w:hint="eastAsia" w:ascii="方正小标宋_GBK" w:hAnsi="方正小标宋_GBK" w:eastAsia="方正小标宋_GBK" w:cs="方正小标宋_GBK"/>
          <w:color w:val="auto"/>
          <w:sz w:val="44"/>
          <w:szCs w:val="44"/>
        </w:rPr>
        <w:t>年上半年财政预算执行情况的报告</w:t>
      </w:r>
    </w:p>
    <w:p w14:paraId="6DB57CE1">
      <w:pPr>
        <w:keepNext w:val="0"/>
        <w:keepLines w:val="0"/>
        <w:pageBreakBefore w:val="0"/>
        <w:widowControl w:val="0"/>
        <w:kinsoku/>
        <w:wordWrap/>
        <w:overflowPunct/>
        <w:autoSpaceDE/>
        <w:autoSpaceDN/>
        <w:bidi w:val="0"/>
        <w:spacing w:line="560" w:lineRule="exact"/>
        <w:ind w:left="3200" w:hanging="2800" w:hangingChars="1000"/>
        <w:jc w:val="center"/>
        <w:textAlignment w:val="auto"/>
        <w:rPr>
          <w:rFonts w:hint="eastAsia" w:hAnsi="楷体"/>
          <w:color w:val="auto"/>
          <w:spacing w:val="-20"/>
          <w:sz w:val="32"/>
          <w:szCs w:val="32"/>
          <w:highlight w:val="none"/>
          <w:lang w:eastAsia="zh-CN"/>
        </w:rPr>
      </w:pPr>
    </w:p>
    <w:p w14:paraId="1B352098">
      <w:pPr>
        <w:keepNext w:val="0"/>
        <w:keepLines w:val="0"/>
        <w:pageBreakBefore w:val="0"/>
        <w:widowControl w:val="0"/>
        <w:kinsoku/>
        <w:wordWrap/>
        <w:overflowPunct/>
        <w:autoSpaceDE/>
        <w:autoSpaceDN/>
        <w:bidi w:val="0"/>
        <w:spacing w:line="560" w:lineRule="exact"/>
        <w:ind w:left="3200" w:hanging="2800" w:hangingChars="1000"/>
        <w:jc w:val="center"/>
        <w:textAlignment w:val="auto"/>
        <w:rPr>
          <w:rFonts w:hint="eastAsia" w:hAnsi="楷体"/>
          <w:color w:val="auto"/>
          <w:spacing w:val="-20"/>
          <w:sz w:val="32"/>
          <w:szCs w:val="32"/>
          <w:highlight w:val="none"/>
          <w:lang w:val="en-US" w:eastAsia="zh-CN"/>
        </w:rPr>
      </w:pPr>
      <w:r>
        <w:rPr>
          <w:rFonts w:hint="eastAsia" w:hAnsi="楷体"/>
          <w:color w:val="auto"/>
          <w:spacing w:val="-20"/>
          <w:sz w:val="32"/>
          <w:szCs w:val="32"/>
          <w:highlight w:val="none"/>
          <w:lang w:eastAsia="zh-CN"/>
        </w:rPr>
        <w:t>——</w:t>
      </w:r>
      <w:r>
        <w:rPr>
          <w:rFonts w:hAnsi="楷体"/>
          <w:color w:val="auto"/>
          <w:spacing w:val="-20"/>
          <w:sz w:val="32"/>
          <w:szCs w:val="32"/>
          <w:highlight w:val="none"/>
        </w:rPr>
        <w:t>202</w:t>
      </w:r>
      <w:r>
        <w:rPr>
          <w:rFonts w:hint="eastAsia" w:hAnsi="楷体"/>
          <w:color w:val="auto"/>
          <w:spacing w:val="-20"/>
          <w:sz w:val="32"/>
          <w:szCs w:val="32"/>
          <w:highlight w:val="none"/>
          <w:lang w:val="en-US" w:eastAsia="zh-CN"/>
        </w:rPr>
        <w:t>5</w:t>
      </w:r>
      <w:r>
        <w:rPr>
          <w:rFonts w:hint="eastAsia" w:hAnsi="楷体"/>
          <w:color w:val="auto"/>
          <w:spacing w:val="-20"/>
          <w:sz w:val="32"/>
          <w:szCs w:val="32"/>
          <w:highlight w:val="none"/>
        </w:rPr>
        <w:t>年</w:t>
      </w:r>
      <w:r>
        <w:rPr>
          <w:rFonts w:hint="eastAsia" w:hAnsi="楷体"/>
          <w:color w:val="auto"/>
          <w:spacing w:val="-20"/>
          <w:sz w:val="32"/>
          <w:szCs w:val="32"/>
          <w:highlight w:val="none"/>
          <w:lang w:val="en-US" w:eastAsia="zh-CN"/>
        </w:rPr>
        <w:t>8</w:t>
      </w:r>
      <w:r>
        <w:rPr>
          <w:rFonts w:hint="eastAsia" w:hAnsi="楷体"/>
          <w:color w:val="auto"/>
          <w:spacing w:val="-20"/>
          <w:sz w:val="32"/>
          <w:szCs w:val="32"/>
          <w:highlight w:val="none"/>
        </w:rPr>
        <w:t>月</w:t>
      </w:r>
      <w:r>
        <w:rPr>
          <w:rFonts w:hint="eastAsia" w:hAnsi="楷体"/>
          <w:color w:val="auto"/>
          <w:spacing w:val="-20"/>
          <w:sz w:val="32"/>
          <w:szCs w:val="32"/>
          <w:highlight w:val="none"/>
          <w:lang w:val="en-US" w:eastAsia="zh-CN"/>
        </w:rPr>
        <w:t>29</w:t>
      </w:r>
      <w:r>
        <w:rPr>
          <w:rFonts w:hint="eastAsia" w:hAnsi="楷体"/>
          <w:color w:val="auto"/>
          <w:spacing w:val="-20"/>
          <w:sz w:val="32"/>
          <w:szCs w:val="32"/>
          <w:highlight w:val="none"/>
        </w:rPr>
        <w:t>日在八公</w:t>
      </w:r>
      <w:r>
        <w:rPr>
          <w:rFonts w:hint="eastAsia" w:hAnsi="楷体"/>
          <w:color w:val="auto"/>
          <w:spacing w:val="-20"/>
          <w:sz w:val="32"/>
          <w:szCs w:val="32"/>
          <w:highlight w:val="none"/>
          <w:lang w:eastAsia="zh-CN"/>
        </w:rPr>
        <w:t>山区第十八届人大常委会第</w:t>
      </w:r>
      <w:r>
        <w:rPr>
          <w:rFonts w:hint="eastAsia" w:hAnsi="楷体"/>
          <w:color w:val="auto"/>
          <w:spacing w:val="-20"/>
          <w:sz w:val="32"/>
          <w:szCs w:val="32"/>
          <w:highlight w:val="none"/>
          <w:lang w:val="en-US" w:eastAsia="zh-CN"/>
        </w:rPr>
        <w:t>二十八</w:t>
      </w:r>
      <w:r>
        <w:rPr>
          <w:rFonts w:hint="eastAsia" w:hAnsi="楷体"/>
          <w:color w:val="auto"/>
          <w:spacing w:val="-20"/>
          <w:sz w:val="32"/>
          <w:szCs w:val="32"/>
          <w:highlight w:val="none"/>
          <w:lang w:eastAsia="zh-CN"/>
        </w:rPr>
        <w:t>次会议上</w:t>
      </w:r>
    </w:p>
    <w:p w14:paraId="2DF302B2">
      <w:pPr>
        <w:keepNext w:val="0"/>
        <w:keepLines w:val="0"/>
        <w:pageBreakBefore w:val="0"/>
        <w:widowControl w:val="0"/>
        <w:kinsoku/>
        <w:wordWrap/>
        <w:overflowPunct/>
        <w:autoSpaceDE/>
        <w:autoSpaceDN/>
        <w:bidi w:val="0"/>
        <w:spacing w:line="560" w:lineRule="exact"/>
        <w:ind w:left="3200" w:hanging="3200" w:hangingChars="1000"/>
        <w:jc w:val="center"/>
        <w:textAlignment w:val="auto"/>
        <w:rPr>
          <w:rFonts w:hint="default" w:hAnsi="楷体" w:eastAsia="楷体_GB2312"/>
          <w:b w:val="0"/>
          <w:bCs w:val="0"/>
          <w:color w:val="auto"/>
          <w:sz w:val="32"/>
          <w:szCs w:val="32"/>
          <w:lang w:val="en-US" w:eastAsia="zh-CN"/>
        </w:rPr>
      </w:pPr>
      <w:r>
        <w:rPr>
          <w:rFonts w:hint="eastAsia" w:hAnsi="楷体"/>
          <w:b w:val="0"/>
          <w:bCs w:val="0"/>
          <w:color w:val="auto"/>
          <w:sz w:val="32"/>
          <w:szCs w:val="32"/>
        </w:rPr>
        <w:t>区财政局</w:t>
      </w:r>
      <w:bookmarkStart w:id="0" w:name="_GoBack"/>
      <w:bookmarkEnd w:id="0"/>
    </w:p>
    <w:p w14:paraId="0C9A4EF9">
      <w:pPr>
        <w:keepNext w:val="0"/>
        <w:keepLines w:val="0"/>
        <w:pageBreakBefore w:val="0"/>
        <w:widowControl w:val="0"/>
        <w:kinsoku/>
        <w:wordWrap/>
        <w:overflowPunct/>
        <w:autoSpaceDE/>
        <w:autoSpaceDN/>
        <w:bidi w:val="0"/>
        <w:spacing w:line="560" w:lineRule="exact"/>
        <w:textAlignment w:val="auto"/>
        <w:rPr>
          <w:rFonts w:hint="eastAsia" w:ascii="仿宋_GB2312" w:eastAsia="仿宋_GB2312"/>
          <w:color w:val="auto"/>
          <w:sz w:val="32"/>
          <w:szCs w:val="32"/>
        </w:rPr>
      </w:pPr>
    </w:p>
    <w:p w14:paraId="4A1F08FA">
      <w:pPr>
        <w:spacing w:line="560" w:lineRule="exact"/>
        <w:rPr>
          <w:rFonts w:hint="eastAsia" w:ascii="仿宋_GB2312" w:hAnsi="仿宋" w:eastAsia="仿宋_GB2312" w:cs="Times New Roman"/>
          <w:sz w:val="32"/>
          <w:szCs w:val="32"/>
        </w:rPr>
      </w:pPr>
      <w:r>
        <w:rPr>
          <w:rFonts w:hint="eastAsia" w:ascii="仿宋_GB2312" w:hAnsi="仿宋" w:eastAsia="仿宋_GB2312" w:cs="Times New Roman"/>
          <w:sz w:val="32"/>
          <w:szCs w:val="32"/>
        </w:rPr>
        <w:t>主任、各位副主任、各位委员：</w:t>
      </w:r>
    </w:p>
    <w:p w14:paraId="2F46490B">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受区人民政府委托，我向区十八届人大常委会会议作关于202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年财政决算草案和202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年上半年财政预算执行情况的</w:t>
      </w:r>
      <w:r>
        <w:rPr>
          <w:rFonts w:hint="eastAsia" w:ascii="Times New Roman" w:hAnsi="Times New Roman" w:eastAsia="仿宋_GB2312" w:cs="Times New Roman"/>
          <w:sz w:val="32"/>
          <w:szCs w:val="32"/>
          <w:lang w:eastAsia="zh-CN"/>
        </w:rPr>
        <w:t>报告</w:t>
      </w:r>
      <w:r>
        <w:rPr>
          <w:rFonts w:hint="eastAsia" w:ascii="Times New Roman" w:hAnsi="Times New Roman" w:eastAsia="仿宋_GB2312" w:cs="Times New Roman"/>
          <w:sz w:val="32"/>
          <w:szCs w:val="32"/>
        </w:rPr>
        <w:t>，请予以审议，并请列席会议的同志提出宝贵意见。</w:t>
      </w:r>
    </w:p>
    <w:p w14:paraId="606A07AF">
      <w:pPr>
        <w:spacing w:line="560" w:lineRule="exact"/>
        <w:ind w:firstLine="640" w:firstLineChars="200"/>
        <w:rPr>
          <w:rFonts w:ascii="黑体" w:hAnsi="黑体" w:eastAsia="黑体" w:cs="Times New Roman"/>
          <w:bCs/>
          <w:sz w:val="32"/>
          <w:szCs w:val="32"/>
        </w:rPr>
      </w:pPr>
      <w:r>
        <w:rPr>
          <w:rFonts w:hint="eastAsia" w:ascii="黑体" w:hAnsi="黑体" w:eastAsia="黑体" w:cs="Times New Roman"/>
          <w:bCs/>
          <w:sz w:val="32"/>
          <w:szCs w:val="32"/>
        </w:rPr>
        <w:t>一、</w:t>
      </w:r>
      <w:r>
        <w:rPr>
          <w:rFonts w:ascii="黑体" w:hAnsi="黑体" w:eastAsia="黑体" w:cs="Times New Roman"/>
          <w:bCs/>
          <w:sz w:val="32"/>
          <w:szCs w:val="32"/>
        </w:rPr>
        <w:t>20</w:t>
      </w:r>
      <w:r>
        <w:rPr>
          <w:rFonts w:hint="eastAsia" w:ascii="黑体" w:hAnsi="黑体" w:eastAsia="黑体" w:cs="Times New Roman"/>
          <w:bCs/>
          <w:sz w:val="32"/>
          <w:szCs w:val="32"/>
        </w:rPr>
        <w:t>24</w:t>
      </w:r>
      <w:r>
        <w:rPr>
          <w:rFonts w:ascii="黑体" w:hAnsi="黑体" w:eastAsia="黑体" w:cs="Times New Roman"/>
          <w:bCs/>
          <w:sz w:val="32"/>
          <w:szCs w:val="32"/>
        </w:rPr>
        <w:t>年</w:t>
      </w:r>
      <w:r>
        <w:rPr>
          <w:rFonts w:hint="eastAsia" w:ascii="黑体" w:hAnsi="黑体" w:eastAsia="黑体" w:cs="Times New Roman"/>
          <w:bCs/>
          <w:sz w:val="32"/>
          <w:szCs w:val="32"/>
        </w:rPr>
        <w:t>决算草案情况</w:t>
      </w:r>
    </w:p>
    <w:p w14:paraId="6B21505A">
      <w:pPr>
        <w:spacing w:line="560" w:lineRule="exact"/>
        <w:ind w:firstLine="640" w:firstLineChars="200"/>
        <w:rPr>
          <w:rFonts w:ascii="仿宋_GB2312" w:hAnsi="仿宋" w:eastAsia="仿宋_GB2312" w:cs="宋体"/>
          <w:kern w:val="0"/>
          <w:sz w:val="32"/>
          <w:szCs w:val="32"/>
        </w:rPr>
      </w:pPr>
      <w:r>
        <w:rPr>
          <w:rFonts w:ascii="Times New Roman" w:hAnsi="Times New Roman" w:eastAsia="仿宋_GB2312" w:cs="Times New Roman"/>
          <w:snapToGrid w:val="0"/>
          <w:kern w:val="0"/>
          <w:sz w:val="32"/>
          <w:szCs w:val="32"/>
        </w:rPr>
        <w:t>2024年，是实现“十四五”规划目标任务的关键一年。面对外部压力加大、内部困难增多的复杂严峻形势和转型发展艰巨任务，</w:t>
      </w:r>
      <w:r>
        <w:rPr>
          <w:rFonts w:hint="eastAsia" w:ascii="Times New Roman" w:hAnsi="Times New Roman" w:eastAsia="仿宋_GB2312" w:cs="Times New Roman"/>
          <w:snapToGrid w:val="0"/>
          <w:kern w:val="0"/>
          <w:sz w:val="32"/>
          <w:szCs w:val="32"/>
        </w:rPr>
        <w:t>区财政部门</w:t>
      </w:r>
      <w:r>
        <w:rPr>
          <w:rFonts w:ascii="Times New Roman" w:hAnsi="Times New Roman" w:eastAsia="仿宋_GB2312" w:cs="Times New Roman"/>
          <w:snapToGrid w:val="0"/>
          <w:kern w:val="0"/>
          <w:sz w:val="32"/>
          <w:szCs w:val="32"/>
        </w:rPr>
        <w:t>坚持以习近平新时代中国特色社会主义思想为指导，深入学习贯彻党的二十大和二十届二中、三中全会精神，全面落实习近平总书记考察安徽重要讲话精神，认真落实</w:t>
      </w:r>
      <w:r>
        <w:rPr>
          <w:rFonts w:hint="eastAsia" w:ascii="Times New Roman" w:hAnsi="Times New Roman" w:eastAsia="仿宋_GB2312" w:cs="Times New Roman"/>
          <w:snapToGrid w:val="0"/>
          <w:kern w:val="0"/>
          <w:sz w:val="32"/>
          <w:szCs w:val="32"/>
        </w:rPr>
        <w:t>区</w:t>
      </w:r>
      <w:r>
        <w:rPr>
          <w:rFonts w:ascii="Times New Roman" w:hAnsi="Times New Roman" w:eastAsia="仿宋_GB2312" w:cs="Times New Roman"/>
          <w:snapToGrid w:val="0"/>
          <w:kern w:val="0"/>
          <w:sz w:val="32"/>
          <w:szCs w:val="32"/>
        </w:rPr>
        <w:t>委、</w:t>
      </w:r>
      <w:r>
        <w:rPr>
          <w:rFonts w:hint="eastAsia" w:ascii="Times New Roman" w:hAnsi="Times New Roman" w:eastAsia="仿宋_GB2312" w:cs="Times New Roman"/>
          <w:snapToGrid w:val="0"/>
          <w:kern w:val="0"/>
          <w:sz w:val="32"/>
          <w:szCs w:val="32"/>
        </w:rPr>
        <w:t>区</w:t>
      </w:r>
      <w:r>
        <w:rPr>
          <w:rFonts w:ascii="Times New Roman" w:hAnsi="Times New Roman" w:eastAsia="仿宋_GB2312" w:cs="Times New Roman"/>
          <w:snapToGrid w:val="0"/>
          <w:kern w:val="0"/>
          <w:sz w:val="32"/>
          <w:szCs w:val="32"/>
        </w:rPr>
        <w:t>政府决策部署，统筹发展和安全，</w:t>
      </w:r>
      <w:r>
        <w:rPr>
          <w:rFonts w:hint="eastAsia" w:ascii="Times New Roman" w:hAnsi="Times New Roman" w:eastAsia="仿宋_GB2312" w:cs="Times New Roman"/>
          <w:snapToGrid w:val="0"/>
          <w:kern w:val="0"/>
          <w:sz w:val="32"/>
          <w:szCs w:val="32"/>
        </w:rPr>
        <w:t>坚持稳中求进工作总基调，沉着应变，综合施策，攻坚克难，负重突破，财政运行情况总体平稳。</w:t>
      </w:r>
    </w:p>
    <w:p w14:paraId="6BFE81CA">
      <w:pPr>
        <w:spacing w:line="560" w:lineRule="exact"/>
        <w:ind w:firstLine="640" w:firstLineChars="200"/>
        <w:rPr>
          <w:rFonts w:ascii="楷体_GB2312" w:hAnsi="宋体" w:eastAsia="楷体_GB2312" w:cs="Times New Roman"/>
          <w:sz w:val="32"/>
          <w:szCs w:val="32"/>
        </w:rPr>
      </w:pPr>
      <w:r>
        <w:rPr>
          <w:rFonts w:hint="eastAsia" w:ascii="楷体_GB2312" w:hAnsi="宋体" w:eastAsia="楷体_GB2312" w:cs="Times New Roman"/>
          <w:sz w:val="32"/>
          <w:szCs w:val="32"/>
        </w:rPr>
        <w:t>（一）2024年一般公共预算收支决算情况</w:t>
      </w:r>
    </w:p>
    <w:p w14:paraId="55E208E9">
      <w:pPr>
        <w:spacing w:line="560" w:lineRule="exact"/>
        <w:ind w:firstLine="643" w:firstLineChars="200"/>
        <w:rPr>
          <w:rFonts w:ascii="Times New Roman" w:hAnsi="Times New Roman" w:eastAsia="仿宋_GB2312" w:cs="宋体"/>
          <w:kern w:val="0"/>
          <w:sz w:val="32"/>
          <w:szCs w:val="32"/>
        </w:rPr>
      </w:pPr>
      <w:r>
        <w:rPr>
          <w:rFonts w:hint="eastAsia" w:ascii="仿宋_GB2312" w:hAnsi="仿宋" w:eastAsia="仿宋_GB2312" w:cs="宋体"/>
          <w:b/>
          <w:kern w:val="0"/>
          <w:sz w:val="32"/>
          <w:szCs w:val="32"/>
        </w:rPr>
        <w:t>1.一般</w:t>
      </w:r>
      <w:r>
        <w:rPr>
          <w:rFonts w:hint="eastAsia" w:ascii="仿宋_GB2312" w:hAnsi="仿宋" w:eastAsia="仿宋_GB2312" w:cs="Times New Roman"/>
          <w:b/>
          <w:sz w:val="32"/>
          <w:szCs w:val="32"/>
        </w:rPr>
        <w:t>公共预算收入情况。</w:t>
      </w: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rPr>
        <w:t>4年八公山区一般公共预算收入完成23173万元，完成年调整预算的</w:t>
      </w:r>
      <w:r>
        <w:rPr>
          <w:rFonts w:hint="eastAsia" w:ascii="Times New Roman" w:hAnsi="Times New Roman" w:eastAsia="仿宋_GB2312" w:cs="Times New Roman"/>
          <w:kern w:val="0"/>
          <w:sz w:val="32"/>
          <w:szCs w:val="32"/>
        </w:rPr>
        <w:t>100.4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，其中：税收收入8482万元，为地方财政收入的37</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；非税收入14691万元，为地方财政收入的63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。税收收入中，增值税4133万元，企业所得税1477万元，个人所得税352万元，城市维护建设税469万元，房产税518万元，印花税171万元，城镇土地使用税1130万元，土地增值税46万元，车船税186万元。</w:t>
      </w:r>
    </w:p>
    <w:p w14:paraId="1721A7EB">
      <w:pPr>
        <w:spacing w:line="560" w:lineRule="exact"/>
        <w:ind w:firstLine="643" w:firstLineChars="200"/>
        <w:rPr>
          <w:rFonts w:ascii="Times New Roman" w:hAnsi="Times New Roman" w:eastAsia="仿宋_GB2312" w:cs="Times New Roman"/>
          <w:sz w:val="32"/>
          <w:szCs w:val="32"/>
        </w:rPr>
      </w:pPr>
      <w:r>
        <w:rPr>
          <w:rFonts w:ascii="仿宋_GB2312" w:hAnsi="仿宋" w:eastAsia="仿宋_GB2312" w:cs="宋体"/>
          <w:b/>
          <w:kern w:val="0"/>
          <w:sz w:val="32"/>
          <w:szCs w:val="32"/>
        </w:rPr>
        <w:t>2</w:t>
      </w:r>
      <w:r>
        <w:rPr>
          <w:rFonts w:hint="eastAsia" w:ascii="仿宋_GB2312" w:hAnsi="仿宋" w:eastAsia="仿宋_GB2312" w:cs="宋体"/>
          <w:b/>
          <w:kern w:val="0"/>
          <w:sz w:val="32"/>
          <w:szCs w:val="32"/>
        </w:rPr>
        <w:t>.一般</w:t>
      </w:r>
      <w:r>
        <w:rPr>
          <w:rFonts w:ascii="仿宋_GB2312" w:hAnsi="仿宋" w:eastAsia="仿宋_GB2312" w:cs="宋体"/>
          <w:b/>
          <w:kern w:val="0"/>
          <w:sz w:val="32"/>
          <w:szCs w:val="32"/>
        </w:rPr>
        <w:t>公共预算支出情况。</w:t>
      </w:r>
      <w:r>
        <w:rPr>
          <w:rFonts w:hint="eastAsia" w:ascii="Times New Roman" w:hAnsi="Times New Roman" w:eastAsia="仿宋_GB2312" w:cs="Times New Roman"/>
          <w:sz w:val="32"/>
          <w:szCs w:val="32"/>
        </w:rPr>
        <w:t>2024年八公山区一般公共预算支出完成55418万元，完成年调整预算的99.2%，同比下降6.1%。民生类支出49244万元，占财政支出的88.9%。其中：一般公共服务支出4005万元，为年预算的100.1%；国防支出121万元，为年预算的80.7%；公共安全391万元，为年预算的108.6%；教育支出12477万元，为年调整预算的102.1%；科学技术支出440万元，为年预算的108.6%；文化旅游体育与传媒支出662万元，为年调整预算的103.4%；社会保障和就业支出16944万元，为年预算的100%；卫生健康支出4506万元，为年调整预算的103.3%；节能环保支出1542万元，为年调整预算的110.1%；城乡社区支出5096万元，为年调整预算的99%；农林水支出3966万元，为年预算的103%；交通运输支出184万元，为年调整预算的55.8%；资源勘探工业信息等支出213万元，为年调整预算的101.4%；商业服务业等支出142万元，为年调整预算的101.4%；自然资源海洋气象等支出390万元，为年调整预算的42.4%；住房保障支出2895万元，为年调整预算的102.7%；灾害防治及应急管理支出846万元，为年预算的105.8%；债务付息支出593万元，为年预算的100%；债务发行费用5万元。</w:t>
      </w:r>
    </w:p>
    <w:p w14:paraId="776FD7F2">
      <w:pPr>
        <w:spacing w:line="560" w:lineRule="exact"/>
        <w:ind w:firstLine="643" w:firstLineChars="200"/>
        <w:rPr>
          <w:rFonts w:hint="eastAsia" w:ascii="Times New Roman" w:hAnsi="Times New Roman" w:eastAsia="仿宋_GB2312" w:cs="Times New Roman"/>
          <w:sz w:val="32"/>
          <w:szCs w:val="32"/>
        </w:rPr>
      </w:pPr>
      <w:r>
        <w:rPr>
          <w:rFonts w:hint="eastAsia" w:ascii="仿宋_GB2312" w:hAnsi="仿宋" w:eastAsia="仿宋_GB2312" w:cs="Times New Roman"/>
          <w:b/>
          <w:bCs/>
          <w:sz w:val="32"/>
          <w:szCs w:val="32"/>
        </w:rPr>
        <w:t>3.财政收支平衡情况。</w:t>
      </w:r>
      <w:r>
        <w:rPr>
          <w:rFonts w:hint="eastAsia" w:ascii="Times New Roman" w:hAnsi="Times New Roman" w:eastAsia="仿宋_GB2312" w:cs="Times New Roman"/>
          <w:sz w:val="32"/>
          <w:szCs w:val="32"/>
        </w:rPr>
        <w:t>按现行财政体制计算，2024年地方财政收入23173万元，上级补助收入39542万元，加调入资金4869万元，债务转贷收入5765万元，全区可用财力为73349万元，减上解支出8014万元，减一般公共预算支出55418万元，减债务还本支出5273万元，减安排预算稳定调节基金93万元，减</w:t>
      </w:r>
      <w:r>
        <w:rPr>
          <w:rFonts w:hint="eastAsia" w:ascii="Times New Roman" w:hAnsi="Times New Roman" w:eastAsia="仿宋_GB2312" w:cs="Times New Roman"/>
          <w:sz w:val="32"/>
          <w:szCs w:val="32"/>
          <w:lang w:val="en-US" w:eastAsia="zh-CN"/>
        </w:rPr>
        <w:t>消化市对区往来等</w:t>
      </w:r>
      <w:r>
        <w:rPr>
          <w:rFonts w:hint="eastAsia" w:ascii="Times New Roman" w:hAnsi="Times New Roman" w:eastAsia="仿宋_GB2312" w:cs="Times New Roman"/>
          <w:sz w:val="32"/>
          <w:szCs w:val="32"/>
        </w:rPr>
        <w:t>资金4551万元，收支平衡。</w:t>
      </w:r>
    </w:p>
    <w:p w14:paraId="309FCE3E">
      <w:pPr>
        <w:spacing w:line="560" w:lineRule="exact"/>
        <w:ind w:firstLine="640" w:firstLineChars="200"/>
        <w:rPr>
          <w:rFonts w:ascii="仿宋_GB2312" w:hAnsi="仿宋" w:eastAsia="仿宋_GB2312" w:cs="Times New Roman"/>
          <w:sz w:val="32"/>
          <w:szCs w:val="32"/>
        </w:rPr>
      </w:pPr>
      <w:r>
        <w:rPr>
          <w:rFonts w:hint="eastAsia" w:ascii="楷体_GB2312" w:hAnsi="宋体" w:eastAsia="楷体_GB2312" w:cs="Times New Roman"/>
          <w:sz w:val="32"/>
          <w:szCs w:val="32"/>
        </w:rPr>
        <w:t>（二）政府性基金预算收支决算情况</w:t>
      </w:r>
    </w:p>
    <w:p w14:paraId="6CC12928">
      <w:pPr>
        <w:spacing w:line="560" w:lineRule="exact"/>
        <w:ind w:firstLine="643" w:firstLineChars="200"/>
        <w:rPr>
          <w:rFonts w:hint="eastAsia" w:ascii="Times New Roman" w:hAnsi="Times New Roman" w:eastAsia="仿宋_GB2312" w:cs="Times New Roman"/>
          <w:sz w:val="32"/>
          <w:szCs w:val="32"/>
        </w:rPr>
      </w:pPr>
      <w:r>
        <w:rPr>
          <w:rFonts w:hint="eastAsia" w:ascii="仿宋_GB2312" w:hAnsi="仿宋" w:eastAsia="仿宋_GB2312" w:cs="宋体"/>
          <w:b/>
          <w:kern w:val="0"/>
          <w:sz w:val="32"/>
          <w:szCs w:val="32"/>
        </w:rPr>
        <w:t>1.政府性基金预算收入情况。</w:t>
      </w:r>
      <w:r>
        <w:rPr>
          <w:rFonts w:hint="eastAsia" w:ascii="Times New Roman" w:hAnsi="Times New Roman" w:eastAsia="仿宋_GB2312" w:cs="Times New Roman"/>
          <w:sz w:val="32"/>
          <w:szCs w:val="32"/>
        </w:rPr>
        <w:t>2024年政府性基金收入共13316万元，其中：上级补助政府性基金收入2978万元，债务转贷收入10338万元。</w:t>
      </w:r>
    </w:p>
    <w:p w14:paraId="4822C1F9">
      <w:pPr>
        <w:spacing w:line="560" w:lineRule="exact"/>
        <w:ind w:firstLine="643" w:firstLineChars="200"/>
        <w:rPr>
          <w:rFonts w:hint="eastAsia" w:ascii="Times New Roman" w:hAnsi="Times New Roman" w:eastAsia="仿宋_GB2312" w:cs="Times New Roman"/>
          <w:sz w:val="32"/>
          <w:szCs w:val="32"/>
        </w:rPr>
      </w:pPr>
      <w:r>
        <w:rPr>
          <w:rFonts w:hint="eastAsia" w:ascii="仿宋_GB2312" w:hAnsi="仿宋" w:eastAsia="仿宋_GB2312" w:cs="宋体"/>
          <w:b/>
          <w:kern w:val="0"/>
          <w:sz w:val="32"/>
          <w:szCs w:val="32"/>
        </w:rPr>
        <w:t>2.政府性基金预算支出情况。</w:t>
      </w:r>
      <w:r>
        <w:rPr>
          <w:rFonts w:hint="eastAsia" w:ascii="Times New Roman" w:hAnsi="Times New Roman" w:eastAsia="仿宋_GB2312" w:cs="Times New Roman"/>
          <w:sz w:val="32"/>
          <w:szCs w:val="32"/>
        </w:rPr>
        <w:t>2024年政府性基金支出完成8875万元，其中：专项债券用于八公山风景区建设提升项目2300万元、豆腐产业园及基础设施建设项目1300万元，劳动村二期、瓷器新村棚改项目2200万元；上级补助基金用于彩票公益金支持社会福利、体育事业、残疾人事业140万元，水库移民扶持基金2万元，征地和拆迁补偿等城乡支出1286万元，专项债券利息及发行费用支出1647万元。</w:t>
      </w:r>
    </w:p>
    <w:p w14:paraId="0758DEDF">
      <w:pPr>
        <w:spacing w:line="560" w:lineRule="exact"/>
        <w:ind w:firstLine="643" w:firstLineChars="200"/>
        <w:rPr>
          <w:rFonts w:hint="eastAsia" w:ascii="Times New Roman" w:hAnsi="Times New Roman" w:eastAsia="仿宋_GB2312" w:cs="Times New Roman"/>
          <w:sz w:val="32"/>
          <w:szCs w:val="32"/>
        </w:rPr>
      </w:pPr>
      <w:r>
        <w:rPr>
          <w:rFonts w:hint="eastAsia" w:ascii="仿宋_GB2312" w:hAnsi="仿宋" w:eastAsia="仿宋_GB2312" w:cs="宋体"/>
          <w:b/>
          <w:kern w:val="0"/>
          <w:sz w:val="32"/>
          <w:szCs w:val="32"/>
        </w:rPr>
        <w:t>3.政府性基金预算平衡情况。</w:t>
      </w:r>
      <w:r>
        <w:rPr>
          <w:rFonts w:hint="eastAsia" w:ascii="Times New Roman" w:hAnsi="Times New Roman" w:eastAsia="仿宋_GB2312" w:cs="Times New Roman"/>
          <w:sz w:val="32"/>
          <w:szCs w:val="32"/>
        </w:rPr>
        <w:t>2024年政府性基金收入13316万元，加调入资金1146万元，上年结余1895万元，共计16357万元，减政府性基金支出8875万元，减债务还本支出4538万元，结余2944万元。</w:t>
      </w:r>
    </w:p>
    <w:p w14:paraId="0CC0355C">
      <w:pPr>
        <w:spacing w:line="560" w:lineRule="exact"/>
        <w:ind w:firstLine="640" w:firstLineChars="200"/>
        <w:rPr>
          <w:rFonts w:ascii="仿宋_GB2312" w:hAnsi="仿宋" w:eastAsia="仿宋_GB2312" w:cs="Times New Roman"/>
          <w:sz w:val="32"/>
          <w:szCs w:val="32"/>
        </w:rPr>
      </w:pPr>
      <w:r>
        <w:rPr>
          <w:rFonts w:hint="eastAsia" w:ascii="楷体_GB2312" w:hAnsi="宋体" w:eastAsia="楷体_GB2312" w:cs="Times New Roman"/>
          <w:sz w:val="32"/>
          <w:szCs w:val="32"/>
        </w:rPr>
        <w:t>（三）国有资本经营预算收支决算情况</w:t>
      </w:r>
    </w:p>
    <w:p w14:paraId="5570D770">
      <w:pPr>
        <w:spacing w:line="560" w:lineRule="exact"/>
        <w:ind w:firstLine="640" w:firstLineChars="200"/>
        <w:rPr>
          <w:rFonts w:ascii="楷体_GB2312" w:hAnsi="宋体" w:eastAsia="仿宋_GB2312" w:cs="Times New Roman"/>
          <w:sz w:val="32"/>
          <w:szCs w:val="32"/>
        </w:rPr>
      </w:pPr>
      <w:r>
        <w:rPr>
          <w:rFonts w:hint="eastAsia" w:ascii="Times New Roman" w:hAnsi="Times New Roman" w:eastAsia="仿宋_GB2312" w:cs="Times New Roman"/>
          <w:sz w:val="32"/>
          <w:szCs w:val="32"/>
        </w:rPr>
        <w:t>2024年国有资本经营预算收入共142万元，其中：上级补助国有资本经营预算收入142万元，减调入一般公共预算支出142万元，收支平衡。</w:t>
      </w:r>
    </w:p>
    <w:p w14:paraId="6BF04634">
      <w:pPr>
        <w:spacing w:line="560" w:lineRule="exact"/>
        <w:ind w:firstLine="640" w:firstLineChars="200"/>
        <w:rPr>
          <w:rFonts w:ascii="楷体_GB2312" w:hAnsi="宋体" w:eastAsia="楷体_GB2312" w:cs="Times New Roman"/>
          <w:sz w:val="32"/>
          <w:szCs w:val="32"/>
        </w:rPr>
      </w:pPr>
      <w:r>
        <w:rPr>
          <w:rFonts w:hint="eastAsia" w:ascii="楷体_GB2312" w:hAnsi="宋体" w:eastAsia="楷体_GB2312" w:cs="Times New Roman"/>
          <w:sz w:val="32"/>
          <w:szCs w:val="32"/>
        </w:rPr>
        <w:t>（四）地方政府债务情况</w:t>
      </w:r>
    </w:p>
    <w:p w14:paraId="00AB972D">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2024年初政府债务余额62736万元，新增专项债券额度5800万元（其中，八公山风景区建设提升项目2300万，八公山豆腐产业园及基础设施建设项目1300万元，八公山区劳动村二期棚户区改造项目1400万元，瓷器新村（小刘庄家属区）项目800万元）；新增一般债券额度1000万元（八公山区山王镇林场村精品示范村1000万元），再融资专项债券额度4538万元（市徽银产业引导基金项目4538万元）；再融资一般债券额度4765万元（八公山公安分局业务技术用房及战训基地项目201万元，偿还2017年到期一般债务4564万元）。2024年到期一般债券5072万元，已通过2024年再融资债券偿还4564万元，自有资金偿还508万元；2024年债务余额73767万元，在省核定的年度地方政府债务限额管控范围。</w:t>
      </w:r>
    </w:p>
    <w:p w14:paraId="5A0A24B1">
      <w:pPr>
        <w:spacing w:line="560" w:lineRule="exact"/>
        <w:ind w:firstLine="640" w:firstLineChars="200"/>
        <w:rPr>
          <w:rFonts w:ascii="Times New Roman" w:hAnsi="Times New Roman" w:eastAsia="仿宋_GB2312" w:cs="Times New Roman"/>
          <w:snapToGrid w:val="0"/>
          <w:kern w:val="0"/>
          <w:sz w:val="32"/>
          <w:szCs w:val="32"/>
        </w:rPr>
      </w:pPr>
      <w:r>
        <w:rPr>
          <w:rFonts w:hint="eastAsia" w:ascii="楷体_GB2312" w:hAnsi="宋体" w:eastAsia="楷体_GB2312" w:cs="Times New Roman"/>
          <w:sz w:val="32"/>
          <w:szCs w:val="32"/>
        </w:rPr>
        <w:t>（五）2024年全</w:t>
      </w:r>
      <w:r>
        <w:rPr>
          <w:rFonts w:ascii="楷体_GB2312" w:hAnsi="宋体" w:eastAsia="楷体_GB2312" w:cs="Times New Roman"/>
          <w:sz w:val="32"/>
          <w:szCs w:val="32"/>
        </w:rPr>
        <w:t>区</w:t>
      </w:r>
      <w:r>
        <w:rPr>
          <w:rFonts w:hint="eastAsia" w:ascii="楷体_GB2312" w:hAnsi="宋体" w:eastAsia="楷体_GB2312" w:cs="Times New Roman"/>
          <w:sz w:val="32"/>
          <w:szCs w:val="32"/>
        </w:rPr>
        <w:t>预算执行效果</w:t>
      </w:r>
    </w:p>
    <w:p w14:paraId="47E844E2">
      <w:pPr>
        <w:numPr>
          <w:ilvl w:val="0"/>
          <w:numId w:val="0"/>
        </w:numPr>
        <w:autoSpaceDE w:val="0"/>
        <w:autoSpaceDN w:val="0"/>
        <w:adjustRightInd w:val="0"/>
        <w:snapToGrid w:val="0"/>
        <w:spacing w:line="560" w:lineRule="exact"/>
        <w:ind w:firstLine="643"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b/>
          <w:bCs/>
          <w:sz w:val="32"/>
          <w:szCs w:val="32"/>
          <w:lang w:val="en-US" w:eastAsia="zh-CN"/>
        </w:rPr>
        <w:t>1.</w:t>
      </w:r>
      <w:r>
        <w:rPr>
          <w:rFonts w:ascii="Times New Roman" w:hAnsi="Times New Roman" w:eastAsia="仿宋_GB2312" w:cs="Times New Roman"/>
          <w:b/>
          <w:bCs/>
          <w:sz w:val="32"/>
          <w:szCs w:val="32"/>
        </w:rPr>
        <w:t>守稳“运行基本盘”</w:t>
      </w:r>
      <w:r>
        <w:rPr>
          <w:rFonts w:hint="eastAsia" w:ascii="Times New Roman" w:hAnsi="Times New Roman" w:eastAsia="仿宋_GB2312" w:cs="Times New Roman"/>
          <w:b/>
          <w:bCs/>
          <w:sz w:val="32"/>
          <w:szCs w:val="32"/>
        </w:rPr>
        <w:t>，</w:t>
      </w:r>
      <w:r>
        <w:rPr>
          <w:rFonts w:ascii="Times New Roman" w:hAnsi="Times New Roman" w:eastAsia="仿宋_GB2312" w:cs="Times New Roman"/>
          <w:b/>
          <w:bCs/>
          <w:sz w:val="32"/>
          <w:szCs w:val="32"/>
        </w:rPr>
        <w:t>构建收入增长新格局。</w:t>
      </w:r>
      <w:r>
        <w:rPr>
          <w:rFonts w:hint="eastAsia" w:ascii="Times New Roman" w:hAnsi="Times New Roman" w:eastAsia="仿宋_GB2312" w:cs="Times New Roman"/>
          <w:sz w:val="32"/>
          <w:szCs w:val="32"/>
        </w:rPr>
        <w:t>创新构建财税协同共治体系。</w:t>
      </w:r>
      <w:r>
        <w:rPr>
          <w:rFonts w:hint="eastAsia" w:ascii="Times New Roman" w:hAnsi="Times New Roman" w:eastAsia="仿宋_GB2312" w:cs="Times New Roman"/>
          <w:b/>
          <w:bCs/>
          <w:sz w:val="32"/>
          <w:szCs w:val="32"/>
        </w:rPr>
        <w:t>一是深化</w:t>
      </w:r>
      <w:r>
        <w:rPr>
          <w:rFonts w:hint="eastAsia" w:ascii="Times New Roman" w:hAnsi="Times New Roman" w:eastAsia="仿宋_GB2312" w:cs="Times New Roman"/>
          <w:b/>
          <w:bCs/>
          <w:sz w:val="32"/>
          <w:szCs w:val="32"/>
          <w:lang w:eastAsia="zh-CN"/>
        </w:rPr>
        <w:t>基层税费协同共治</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常态化组织财税部门召开联席会议，深入研判税源结构、税收入库情况，努力挖掘税收增收潜力；健全完善镇（街道）财政管理体制，实行“划分收支、核定基数、定额补助、超收分成、短收自补”的激励</w:t>
      </w:r>
      <w:r>
        <w:rPr>
          <w:rFonts w:ascii="Times New Roman" w:hAnsi="Times New Roman" w:eastAsia="仿宋_GB2312" w:cs="Times New Roman"/>
          <w:sz w:val="32"/>
          <w:szCs w:val="32"/>
        </w:rPr>
        <w:t>机制，</w:t>
      </w:r>
      <w:r>
        <w:rPr>
          <w:rFonts w:hint="eastAsia" w:ascii="Times New Roman" w:hAnsi="Times New Roman" w:eastAsia="仿宋_GB2312" w:cs="Times New Roman"/>
          <w:sz w:val="32"/>
          <w:szCs w:val="32"/>
        </w:rPr>
        <w:t>2024年镇、街道新增纳税企业150余家，新增税收收入125万元</w:t>
      </w:r>
      <w:r>
        <w:rPr>
          <w:rFonts w:ascii="Times New Roman" w:hAnsi="Times New Roman" w:eastAsia="仿宋_GB2312" w:cs="Times New Roman"/>
          <w:sz w:val="32"/>
          <w:szCs w:val="32"/>
        </w:rPr>
        <w:t>。</w:t>
      </w:r>
      <w:r>
        <w:rPr>
          <w:rFonts w:hint="eastAsia" w:ascii="Times New Roman" w:hAnsi="Times New Roman" w:eastAsia="仿宋_GB2312" w:cs="Times New Roman"/>
          <w:b/>
          <w:bCs/>
          <w:sz w:val="32"/>
          <w:szCs w:val="32"/>
        </w:rPr>
        <w:t>二是</w:t>
      </w:r>
      <w:r>
        <w:rPr>
          <w:rFonts w:ascii="Times New Roman" w:hAnsi="Times New Roman" w:eastAsia="仿宋_GB2312" w:cs="Times New Roman"/>
          <w:b/>
          <w:bCs/>
          <w:sz w:val="32"/>
          <w:szCs w:val="32"/>
        </w:rPr>
        <w:t>强化</w:t>
      </w:r>
      <w:r>
        <w:rPr>
          <w:rFonts w:hint="eastAsia" w:ascii="Times New Roman" w:hAnsi="Times New Roman" w:eastAsia="仿宋_GB2312" w:cs="Times New Roman"/>
          <w:b/>
          <w:bCs/>
          <w:sz w:val="32"/>
          <w:szCs w:val="32"/>
        </w:rPr>
        <w:t>非税收入征缴</w:t>
      </w:r>
      <w:r>
        <w:rPr>
          <w:rFonts w:ascii="Times New Roman" w:hAnsi="Times New Roman" w:eastAsia="仿宋_GB2312" w:cs="Times New Roman"/>
          <w:b/>
          <w:bCs/>
          <w:sz w:val="32"/>
          <w:szCs w:val="32"/>
        </w:rPr>
        <w:t>力度</w:t>
      </w:r>
      <w:r>
        <w:rPr>
          <w:rFonts w:hint="eastAsia" w:ascii="Times New Roman" w:hAnsi="Times New Roman" w:eastAsia="仿宋_GB2312" w:cs="Times New Roman"/>
          <w:b/>
          <w:bCs/>
          <w:sz w:val="32"/>
          <w:szCs w:val="32"/>
        </w:rPr>
        <w:t>。</w:t>
      </w:r>
      <w:r>
        <w:rPr>
          <w:rFonts w:ascii="Times New Roman" w:hAnsi="Times New Roman" w:eastAsia="仿宋_GB2312" w:cs="Times New Roman"/>
          <w:sz w:val="32"/>
          <w:szCs w:val="32"/>
        </w:rPr>
        <w:t>开展</w:t>
      </w:r>
      <w:r>
        <w:rPr>
          <w:rFonts w:hint="eastAsia" w:ascii="Times New Roman" w:hAnsi="Times New Roman" w:eastAsia="仿宋_GB2312" w:cs="Times New Roman"/>
          <w:sz w:val="32"/>
          <w:szCs w:val="32"/>
        </w:rPr>
        <w:t>非税收入专项清理工作，规范收缴行政事业性收费、罚没收入等，确保非税收入依法征收、应收尽收。通过实施生态修复，处置国有资产（资源）等，全年</w:t>
      </w:r>
      <w:r>
        <w:rPr>
          <w:rFonts w:ascii="Times New Roman" w:hAnsi="Times New Roman" w:eastAsia="仿宋_GB2312" w:cs="Times New Roman"/>
          <w:sz w:val="32"/>
          <w:szCs w:val="32"/>
        </w:rPr>
        <w:t>新增</w:t>
      </w:r>
      <w:r>
        <w:rPr>
          <w:rFonts w:hint="eastAsia" w:ascii="Times New Roman" w:hAnsi="Times New Roman" w:eastAsia="仿宋_GB2312" w:cs="Times New Roman"/>
          <w:sz w:val="32"/>
          <w:szCs w:val="32"/>
        </w:rPr>
        <w:t>非税收入8652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，进一步增加可用财力，提升财政保障水平</w:t>
      </w:r>
      <w:r>
        <w:rPr>
          <w:rFonts w:ascii="Times New Roman" w:hAnsi="Times New Roman" w:eastAsia="仿宋_GB2312" w:cs="Times New Roman"/>
          <w:sz w:val="32"/>
          <w:szCs w:val="32"/>
        </w:rPr>
        <w:t>。</w:t>
      </w:r>
      <w:r>
        <w:rPr>
          <w:rFonts w:hint="eastAsia" w:ascii="Times New Roman" w:hAnsi="Times New Roman" w:eastAsia="仿宋_GB2312" w:cs="Times New Roman"/>
          <w:b/>
          <w:bCs/>
          <w:sz w:val="32"/>
          <w:szCs w:val="32"/>
        </w:rPr>
        <w:t>三是积极向上争取政策支持。</w:t>
      </w:r>
      <w:r>
        <w:rPr>
          <w:rFonts w:hint="eastAsia" w:ascii="Times New Roman" w:hAnsi="Times New Roman" w:eastAsia="仿宋_GB2312" w:cs="Times New Roman"/>
          <w:sz w:val="32"/>
          <w:szCs w:val="32"/>
        </w:rPr>
        <w:t>聚焦用足用好政策，全年争取上级转移支付</w:t>
      </w:r>
      <w:r>
        <w:rPr>
          <w:rFonts w:ascii="Times New Roman" w:hAnsi="Times New Roman" w:eastAsia="仿宋_GB2312" w:cs="Times New Roman"/>
          <w:sz w:val="32"/>
          <w:szCs w:val="32"/>
        </w:rPr>
        <w:t>42662万元</w:t>
      </w:r>
      <w:r>
        <w:rPr>
          <w:rFonts w:hint="eastAsia" w:ascii="Times New Roman" w:hAnsi="Times New Roman" w:eastAsia="仿宋_GB2312" w:cs="Times New Roman"/>
          <w:sz w:val="32"/>
          <w:szCs w:val="32"/>
        </w:rPr>
        <w:t>，同比增长7.8%。争取债券金额16103万元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其中专项债券金额5800万元，一般债券金额1000万元，再融资债券金额9303万元</w:t>
      </w:r>
      <w:r>
        <w:rPr>
          <w:rFonts w:hint="eastAsia" w:ascii="Times New Roman" w:hAnsi="Times New Roman" w:eastAsia="仿宋_GB2312" w:cs="Times New Roman"/>
          <w:sz w:val="32"/>
          <w:szCs w:val="32"/>
        </w:rPr>
        <w:t>。</w:t>
      </w:r>
    </w:p>
    <w:p w14:paraId="01CC937D">
      <w:pPr>
        <w:numPr>
          <w:ilvl w:val="0"/>
          <w:numId w:val="0"/>
        </w:numPr>
        <w:autoSpaceDE w:val="0"/>
        <w:autoSpaceDN w:val="0"/>
        <w:adjustRightInd w:val="0"/>
        <w:snapToGrid w:val="0"/>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2.</w:t>
      </w:r>
      <w:r>
        <w:rPr>
          <w:rFonts w:ascii="Times New Roman" w:hAnsi="Times New Roman" w:eastAsia="仿宋_GB2312" w:cs="Times New Roman"/>
          <w:b/>
          <w:bCs/>
          <w:sz w:val="32"/>
          <w:szCs w:val="32"/>
        </w:rPr>
        <w:t>助推“新质生产力”，厚植产业发展新优势</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深入贯彻落实新发展理念，聚焦培育新质生产力，不断优化产业生态，为经济高质量发展注入新动能。</w:t>
      </w:r>
      <w:r>
        <w:rPr>
          <w:rFonts w:hint="eastAsia" w:ascii="Times New Roman" w:hAnsi="Times New Roman" w:eastAsia="仿宋_GB2312" w:cs="Times New Roman"/>
          <w:b/>
          <w:bCs/>
          <w:sz w:val="32"/>
          <w:szCs w:val="32"/>
        </w:rPr>
        <w:t>一是精准落实税费支持政策。</w:t>
      </w:r>
      <w:r>
        <w:rPr>
          <w:rFonts w:hint="eastAsia" w:ascii="Times New Roman" w:hAnsi="Times New Roman" w:eastAsia="仿宋_GB2312" w:cs="Times New Roman"/>
          <w:sz w:val="32"/>
          <w:szCs w:val="32"/>
        </w:rPr>
        <w:t>严格执行国家延续和优化实施的结构性减税降费政策，全年累计退税1452万元，不断激发市场活力。</w:t>
      </w:r>
      <w:r>
        <w:rPr>
          <w:rFonts w:hint="eastAsia" w:ascii="Times New Roman" w:hAnsi="Times New Roman" w:eastAsia="仿宋_GB2312" w:cs="Times New Roman"/>
          <w:b/>
          <w:bCs/>
          <w:sz w:val="32"/>
          <w:szCs w:val="32"/>
        </w:rPr>
        <w:t>二是财政金融协同服务发展。</w:t>
      </w:r>
      <w:r>
        <w:rPr>
          <w:rFonts w:hint="eastAsia" w:ascii="Times New Roman" w:hAnsi="Times New Roman" w:eastAsia="仿宋_GB2312" w:cs="Times New Roman"/>
          <w:sz w:val="32"/>
          <w:szCs w:val="32"/>
        </w:rPr>
        <w:t>优化政银企</w:t>
      </w:r>
      <w:r>
        <w:rPr>
          <w:rFonts w:hint="eastAsia" w:ascii="Times New Roman" w:hAnsi="Times New Roman" w:eastAsia="仿宋_GB2312" w:cs="Times New Roman"/>
          <w:sz w:val="32"/>
          <w:szCs w:val="32"/>
          <w:lang w:eastAsia="zh-CN"/>
        </w:rPr>
        <w:t>对接</w:t>
      </w:r>
      <w:r>
        <w:rPr>
          <w:rFonts w:hint="eastAsia" w:ascii="Times New Roman" w:hAnsi="Times New Roman" w:eastAsia="仿宋_GB2312" w:cs="Times New Roman"/>
          <w:sz w:val="32"/>
          <w:szCs w:val="32"/>
        </w:rPr>
        <w:t>机制，充分发挥“财政+金融”协同效应，全年开展政银企对接活动5次，对接银行和相关企业60余次；用好各类融资对接平台，通过淮南市中小微企业融资平台累计帮助企业解决884笔贷款融资需求，贷款总额34亿元，打通小微企业融资的“最后一公里”。</w:t>
      </w:r>
      <w:r>
        <w:rPr>
          <w:rFonts w:hint="eastAsia" w:ascii="Times New Roman" w:hAnsi="Times New Roman" w:eastAsia="仿宋_GB2312" w:cs="Times New Roman"/>
          <w:b/>
          <w:bCs/>
          <w:sz w:val="32"/>
          <w:szCs w:val="32"/>
        </w:rPr>
        <w:t>三是培育优质产业生态圈。</w:t>
      </w:r>
      <w:r>
        <w:rPr>
          <w:rFonts w:hint="eastAsia" w:ascii="Times New Roman" w:hAnsi="Times New Roman" w:eastAsia="仿宋_GB2312" w:cs="Times New Roman"/>
          <w:sz w:val="32"/>
          <w:szCs w:val="32"/>
        </w:rPr>
        <w:t>加大惠企政策兑现资金保障力度，全年拨付涉企奖补资金</w:t>
      </w:r>
      <w:r>
        <w:rPr>
          <w:rFonts w:ascii="Times New Roman" w:hAnsi="Times New Roman" w:eastAsia="仿宋_GB2312" w:cs="Times New Roman"/>
          <w:kern w:val="0"/>
          <w:sz w:val="32"/>
          <w:szCs w:val="32"/>
        </w:rPr>
        <w:t>343</w:t>
      </w:r>
      <w:r>
        <w:rPr>
          <w:rFonts w:hint="eastAsia" w:ascii="Times New Roman" w:hAnsi="Times New Roman" w:eastAsia="仿宋_GB2312" w:cs="Times New Roman"/>
          <w:sz w:val="32"/>
          <w:szCs w:val="32"/>
        </w:rPr>
        <w:t>万元；助推区域特色产业发展，投入区级资金</w:t>
      </w:r>
      <w:r>
        <w:rPr>
          <w:rFonts w:hint="eastAsia" w:ascii="Times New Roman" w:hAnsi="Times New Roman" w:eastAsia="仿宋_GB2312" w:cs="Times New Roman"/>
          <w:sz w:val="32"/>
          <w:szCs w:val="32"/>
          <w:lang w:val="en-US" w:eastAsia="zh-CN"/>
        </w:rPr>
        <w:t>1409</w:t>
      </w:r>
      <w:r>
        <w:rPr>
          <w:rFonts w:hint="eastAsia" w:ascii="Times New Roman" w:hAnsi="Times New Roman" w:eastAsia="仿宋_GB2312" w:cs="Times New Roman"/>
          <w:sz w:val="32"/>
          <w:szCs w:val="32"/>
        </w:rPr>
        <w:t>万元、争取债券资金</w:t>
      </w:r>
      <w:r>
        <w:rPr>
          <w:rFonts w:hint="eastAsia" w:ascii="Times New Roman" w:hAnsi="Times New Roman" w:eastAsia="仿宋_GB2312" w:cs="Times New Roman"/>
          <w:sz w:val="32"/>
          <w:szCs w:val="32"/>
          <w:lang w:val="en-US" w:eastAsia="zh-CN"/>
        </w:rPr>
        <w:t>36</w:t>
      </w:r>
      <w:r>
        <w:rPr>
          <w:rFonts w:hint="eastAsia" w:ascii="Times New Roman" w:hAnsi="Times New Roman" w:eastAsia="仿宋_GB2312" w:cs="Times New Roman"/>
          <w:sz w:val="32"/>
          <w:szCs w:val="32"/>
        </w:rPr>
        <w:t>00万元，推动牛肉汤产业园、豆腐产业园</w:t>
      </w:r>
      <w:r>
        <w:rPr>
          <w:rFonts w:hint="eastAsia" w:ascii="Times New Roman" w:hAnsi="Times New Roman" w:eastAsia="仿宋_GB2312" w:cs="Times New Roman"/>
          <w:sz w:val="32"/>
          <w:szCs w:val="32"/>
          <w:lang w:eastAsia="zh-CN"/>
        </w:rPr>
        <w:t>、</w:t>
      </w:r>
      <w:r>
        <w:rPr>
          <w:rFonts w:hint="eastAsia" w:ascii="仿宋_GB2312" w:hAnsi="仿宋" w:eastAsia="仿宋_GB2312" w:cs="Times New Roman"/>
          <w:sz w:val="32"/>
          <w:szCs w:val="32"/>
        </w:rPr>
        <w:t>风景区建设提升</w:t>
      </w:r>
      <w:r>
        <w:rPr>
          <w:rFonts w:hint="eastAsia" w:ascii="Times New Roman" w:hAnsi="Times New Roman" w:eastAsia="仿宋_GB2312" w:cs="Times New Roman"/>
          <w:sz w:val="32"/>
          <w:szCs w:val="32"/>
        </w:rPr>
        <w:t>项目建设，助力产业发展新动能。</w:t>
      </w:r>
    </w:p>
    <w:p w14:paraId="01E403CC">
      <w:pPr>
        <w:autoSpaceDE w:val="0"/>
        <w:autoSpaceDN w:val="0"/>
        <w:adjustRightInd w:val="0"/>
        <w:snapToGrid w:val="0"/>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3.</w:t>
      </w:r>
      <w:r>
        <w:rPr>
          <w:rFonts w:ascii="Times New Roman" w:hAnsi="Times New Roman" w:eastAsia="仿宋_GB2312" w:cs="Times New Roman"/>
          <w:b/>
          <w:bCs/>
          <w:sz w:val="32"/>
          <w:szCs w:val="32"/>
        </w:rPr>
        <w:t>增进“人民幸福感”，书写惠民利民新答卷</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坚持以人民为中心的发展思想，持续优化支出结构，加大民生领域投入，全年民生支出占比达88.9%，较上年提高0.4个百分点，推动惠民政策落地见效。</w:t>
      </w:r>
      <w:r>
        <w:rPr>
          <w:rFonts w:hint="eastAsia" w:ascii="Times New Roman" w:hAnsi="Times New Roman" w:eastAsia="仿宋_GB2312" w:cs="Times New Roman"/>
          <w:b/>
          <w:bCs/>
          <w:sz w:val="32"/>
          <w:szCs w:val="32"/>
        </w:rPr>
        <w:t>一是兜牢基本民生底线。</w:t>
      </w:r>
      <w:r>
        <w:rPr>
          <w:rFonts w:hint="eastAsia" w:ascii="Times New Roman" w:hAnsi="Times New Roman" w:eastAsia="仿宋_GB2312" w:cs="Times New Roman"/>
          <w:sz w:val="32"/>
          <w:szCs w:val="32"/>
        </w:rPr>
        <w:t>强化社会救助保障，落实困难群众救助补助资金2055万元，惠及低保、特困、孤儿等群体0.29万人次；完善医疗保障体系，拨付城乡医疗救助资金570万元、城乡居民基本医疗保险财政补助资金390万元；优化养老服务供给，发放高龄津贴及百岁老人保健费211万元，惠及老年人0.65万人次。</w:t>
      </w:r>
      <w:r>
        <w:rPr>
          <w:rFonts w:hint="eastAsia" w:ascii="Times New Roman" w:hAnsi="Times New Roman" w:eastAsia="仿宋_GB2312" w:cs="Times New Roman"/>
          <w:b/>
          <w:bCs/>
          <w:sz w:val="32"/>
          <w:szCs w:val="32"/>
        </w:rPr>
        <w:t>二是优化公共服务供给。</w:t>
      </w:r>
      <w:r>
        <w:rPr>
          <w:rFonts w:hint="eastAsia" w:ascii="Times New Roman" w:hAnsi="Times New Roman" w:eastAsia="仿宋_GB2312" w:cs="Times New Roman"/>
          <w:sz w:val="32"/>
          <w:szCs w:val="32"/>
        </w:rPr>
        <w:t>促进教育优质均衡，拨付义务教育薄弱环节改善补助资金437万元、教育附加费372万元，支持</w:t>
      </w:r>
      <w:r>
        <w:rPr>
          <w:rFonts w:ascii="Times New Roman" w:hAnsi="Times New Roman" w:eastAsia="仿宋_GB2312" w:cs="Times New Roman"/>
          <w:sz w:val="32"/>
          <w:szCs w:val="32"/>
        </w:rPr>
        <w:t>一中新建综合楼</w:t>
      </w:r>
      <w:r>
        <w:rPr>
          <w:rFonts w:hint="eastAsia" w:ascii="Times New Roman" w:hAnsi="Times New Roman" w:eastAsia="仿宋_GB2312" w:cs="Times New Roman"/>
          <w:sz w:val="32"/>
          <w:szCs w:val="32"/>
        </w:rPr>
        <w:t>建设、校园基础设施修缮、</w:t>
      </w:r>
      <w:r>
        <w:rPr>
          <w:rFonts w:ascii="Times New Roman" w:hAnsi="Times New Roman" w:eastAsia="仿宋_GB2312" w:cs="Times New Roman"/>
          <w:sz w:val="32"/>
          <w:szCs w:val="32"/>
        </w:rPr>
        <w:t>智慧黑板</w:t>
      </w:r>
      <w:r>
        <w:rPr>
          <w:rFonts w:hint="eastAsia" w:ascii="Times New Roman" w:hAnsi="Times New Roman" w:eastAsia="仿宋_GB2312" w:cs="Times New Roman"/>
          <w:sz w:val="32"/>
          <w:szCs w:val="32"/>
        </w:rPr>
        <w:t>采购等；落实“双减”政策，保障课后服务经费335万元；提升医疗卫生服务，拨付基本公共卫生服务资金1298万元、支持村卫生室标准化改造16万元；落实就业优先政策，拨付就业补助资金368万元，开展职业技能培训946人次。</w:t>
      </w:r>
      <w:r>
        <w:rPr>
          <w:rFonts w:hint="eastAsia" w:ascii="Times New Roman" w:hAnsi="Times New Roman" w:eastAsia="仿宋_GB2312" w:cs="Times New Roman"/>
          <w:b/>
          <w:bCs/>
          <w:sz w:val="32"/>
          <w:szCs w:val="32"/>
        </w:rPr>
        <w:t>三是持续改善城乡人居环境。</w:t>
      </w:r>
      <w:r>
        <w:rPr>
          <w:rFonts w:hint="eastAsia" w:ascii="Times New Roman" w:hAnsi="Times New Roman" w:eastAsia="仿宋_GB2312" w:cs="Times New Roman"/>
          <w:sz w:val="32"/>
          <w:szCs w:val="32"/>
        </w:rPr>
        <w:t>推进美丽乡村建设，落实乡村振兴衔接资金250万元、农村公益事业财政奖补资金450万元、和美乡村建设资金1020万元，推动</w:t>
      </w:r>
      <w:r>
        <w:rPr>
          <w:rFonts w:ascii="Times New Roman" w:hAnsi="Times New Roman" w:eastAsia="仿宋_GB2312" w:cs="Times New Roman"/>
          <w:sz w:val="32"/>
          <w:szCs w:val="32"/>
        </w:rPr>
        <w:t>闪冲村和美乡村示范村</w:t>
      </w:r>
      <w:r>
        <w:rPr>
          <w:rFonts w:hint="eastAsia" w:ascii="Times New Roman" w:hAnsi="Times New Roman" w:eastAsia="仿宋_GB2312" w:cs="Times New Roman"/>
          <w:sz w:val="32"/>
          <w:szCs w:val="32"/>
        </w:rPr>
        <w:t>建设、</w:t>
      </w:r>
      <w:r>
        <w:rPr>
          <w:rFonts w:ascii="Times New Roman" w:hAnsi="Times New Roman" w:eastAsia="仿宋_GB2312" w:cs="Times New Roman"/>
          <w:sz w:val="32"/>
          <w:szCs w:val="32"/>
        </w:rPr>
        <w:t>妙山村“研学游”品质提升</w:t>
      </w:r>
      <w:r>
        <w:rPr>
          <w:rFonts w:hint="eastAsia" w:ascii="Times New Roman" w:hAnsi="Times New Roman" w:eastAsia="仿宋_GB2312" w:cs="Times New Roman"/>
          <w:sz w:val="32"/>
          <w:szCs w:val="32"/>
        </w:rPr>
        <w:t>、农村</w:t>
      </w:r>
      <w:r>
        <w:rPr>
          <w:rFonts w:ascii="Times New Roman" w:hAnsi="Times New Roman" w:eastAsia="仿宋_GB2312" w:cs="Times New Roman"/>
          <w:sz w:val="32"/>
          <w:szCs w:val="32"/>
        </w:rPr>
        <w:t>道路提升</w:t>
      </w:r>
      <w:r>
        <w:rPr>
          <w:rFonts w:hint="eastAsia" w:ascii="Times New Roman" w:hAnsi="Times New Roman" w:eastAsia="仿宋_GB2312" w:cs="Times New Roman"/>
          <w:sz w:val="32"/>
          <w:szCs w:val="32"/>
        </w:rPr>
        <w:t>等项目建设；提升城市功能品质，拨付资金3325万元，建设八公山体育公园、劳动村二期、瓷器新村及团结新村棚改等项目，让城市更宜居、更便民；支持做好生态保护修复工作，统筹拨付6123万元用于</w:t>
      </w:r>
      <w:r>
        <w:rPr>
          <w:rFonts w:hint="eastAsia" w:ascii="仿宋_GB2312" w:hAnsi="仿宋_GB2312" w:eastAsia="仿宋_GB2312" w:cs="仿宋_GB2312"/>
          <w:sz w:val="32"/>
          <w:szCs w:val="32"/>
        </w:rPr>
        <w:t>废弃矿山生态修复和山水林田湖草沙一体化保护</w:t>
      </w:r>
      <w:r>
        <w:rPr>
          <w:rFonts w:hint="eastAsia" w:ascii="仿宋_GB2312" w:hAnsi="仿宋_GB2312" w:eastAsia="仿宋_GB2312" w:cs="仿宋_GB2312"/>
          <w:sz w:val="32"/>
          <w:szCs w:val="32"/>
          <w:lang w:eastAsia="zh-CN"/>
        </w:rPr>
        <w:t>项目</w:t>
      </w:r>
      <w:r>
        <w:rPr>
          <w:rFonts w:hint="eastAsia" w:ascii="Times New Roman" w:hAnsi="Times New Roman" w:eastAsia="仿宋_GB2312" w:cs="Times New Roman"/>
          <w:sz w:val="32"/>
          <w:szCs w:val="32"/>
        </w:rPr>
        <w:t>，推进美丽八公山建设。</w:t>
      </w:r>
    </w:p>
    <w:p w14:paraId="325C3931">
      <w:pPr>
        <w:autoSpaceDE w:val="0"/>
        <w:autoSpaceDN w:val="0"/>
        <w:adjustRightInd w:val="0"/>
        <w:snapToGrid w:val="0"/>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4.</w:t>
      </w:r>
      <w:r>
        <w:rPr>
          <w:rFonts w:ascii="Times New Roman" w:hAnsi="Times New Roman" w:eastAsia="仿宋_GB2312" w:cs="Times New Roman"/>
          <w:b/>
          <w:bCs/>
          <w:sz w:val="32"/>
          <w:szCs w:val="32"/>
        </w:rPr>
        <w:t>聚焦“</w:t>
      </w:r>
      <w:r>
        <w:rPr>
          <w:rFonts w:hint="eastAsia" w:ascii="Times New Roman" w:hAnsi="Times New Roman" w:eastAsia="仿宋_GB2312" w:cs="Times New Roman"/>
          <w:b/>
          <w:bCs/>
          <w:sz w:val="32"/>
          <w:szCs w:val="32"/>
        </w:rPr>
        <w:t>管理</w:t>
      </w:r>
      <w:r>
        <w:rPr>
          <w:rFonts w:ascii="Times New Roman" w:hAnsi="Times New Roman" w:eastAsia="仿宋_GB2312" w:cs="Times New Roman"/>
          <w:b/>
          <w:bCs/>
          <w:sz w:val="32"/>
          <w:szCs w:val="32"/>
        </w:rPr>
        <w:t>高质量”，提升财政运行新效能</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bCs/>
          <w:kern w:val="36"/>
          <w:sz w:val="32"/>
          <w:szCs w:val="32"/>
        </w:rPr>
        <w:t>坚持向管理要动力，向改革要潜力，向创新要活力。</w:t>
      </w:r>
      <w:r>
        <w:rPr>
          <w:rFonts w:hint="eastAsia" w:ascii="Times New Roman" w:hAnsi="Times New Roman" w:eastAsia="仿宋_GB2312" w:cs="Times New Roman"/>
          <w:b/>
          <w:kern w:val="36"/>
          <w:sz w:val="32"/>
          <w:szCs w:val="32"/>
        </w:rPr>
        <w:t>一是零基预算推深走实。</w:t>
      </w:r>
      <w:r>
        <w:rPr>
          <w:rFonts w:hint="eastAsia" w:ascii="Times New Roman" w:hAnsi="Times New Roman" w:eastAsia="仿宋_GB2312" w:cs="Times New Roman"/>
          <w:bCs/>
          <w:kern w:val="36"/>
          <w:sz w:val="32"/>
          <w:szCs w:val="32"/>
        </w:rPr>
        <w:t>打破"基数+增长"传统模式，对全区72个单位、380个项目进行梳理，参考上年预算执行情况及项目必要性，持续压减非刚性支出，兜牢“三保”底线，统筹规划好政府预留资金。</w:t>
      </w:r>
      <w:r>
        <w:rPr>
          <w:rFonts w:hint="eastAsia" w:ascii="Times New Roman" w:hAnsi="Times New Roman" w:eastAsia="仿宋_GB2312" w:cs="Times New Roman"/>
          <w:b/>
          <w:kern w:val="36"/>
          <w:sz w:val="32"/>
          <w:szCs w:val="32"/>
        </w:rPr>
        <w:t>二是绩效管理扩围提效。</w:t>
      </w:r>
      <w:r>
        <w:rPr>
          <w:rFonts w:hint="eastAsia" w:ascii="Times New Roman" w:hAnsi="Times New Roman" w:eastAsia="仿宋_GB2312" w:cs="Times New Roman"/>
          <w:bCs/>
          <w:kern w:val="36"/>
          <w:sz w:val="32"/>
          <w:szCs w:val="32"/>
        </w:rPr>
        <w:t>构建"预算编制有目标、执行过程有监控、完成结果有评价、评价结果有应用"的全链条绩效管理体系，对10个公共服务类民生项目开展重点绩效评价，涉及资金1.24亿元。</w:t>
      </w:r>
      <w:r>
        <w:rPr>
          <w:rFonts w:hint="eastAsia" w:ascii="Times New Roman" w:hAnsi="Times New Roman" w:eastAsia="仿宋_GB2312" w:cs="Times New Roman"/>
          <w:b/>
          <w:kern w:val="36"/>
          <w:sz w:val="32"/>
          <w:szCs w:val="32"/>
        </w:rPr>
        <w:t>三是风险防控筑牢底线。</w:t>
      </w:r>
      <w:r>
        <w:rPr>
          <w:rFonts w:hint="eastAsia" w:ascii="Times New Roman" w:hAnsi="Times New Roman" w:eastAsia="仿宋_GB2312" w:cs="Times New Roman"/>
          <w:bCs/>
          <w:kern w:val="36"/>
          <w:sz w:val="32"/>
          <w:szCs w:val="32"/>
        </w:rPr>
        <w:t>兜牢兜实“三保”底线，将“三保”摆在财政工作最优先位置，强化预算刚性约束，确保财政平稳运行。加大财会监督力度，开展预算执行监管和重点民生资金专项整治行动，切实严肃财经纪律。吃干榨尽置换债务政策红利，做好政府债券管理使用工作，加快债券资金支出，加强债务监测工作，坚决遏制化债不实和新增隐性债务。</w:t>
      </w:r>
    </w:p>
    <w:p w14:paraId="5B1B30A3">
      <w:pPr>
        <w:spacing w:line="560" w:lineRule="exact"/>
        <w:ind w:firstLine="640" w:firstLineChars="200"/>
        <w:rPr>
          <w:rFonts w:ascii="仿宋_GB2312" w:hAnsi="仿宋" w:eastAsia="仿宋_GB2312" w:cs="Times New Roman"/>
          <w:bCs/>
          <w:sz w:val="32"/>
          <w:szCs w:val="32"/>
        </w:rPr>
      </w:pPr>
      <w:r>
        <w:rPr>
          <w:rFonts w:hint="eastAsia" w:ascii="黑体" w:hAnsi="黑体" w:eastAsia="黑体" w:cs="Times New Roman"/>
          <w:bCs/>
          <w:sz w:val="32"/>
          <w:szCs w:val="32"/>
        </w:rPr>
        <w:t>二、2025年上半年财政预算执行情况</w:t>
      </w:r>
    </w:p>
    <w:p w14:paraId="144993C3">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今年以来，财政部门坚持以习近平新时代中国特色社会主义思想为指导，全面贯彻落实党的二十大和二十届二中、三中全会精神，</w:t>
      </w:r>
      <w:r>
        <w:rPr>
          <w:rFonts w:ascii="Times New Roman" w:hAnsi="Times New Roman" w:eastAsia="仿宋_GB2312" w:cs="Times New Roman"/>
          <w:sz w:val="32"/>
          <w:szCs w:val="32"/>
        </w:rPr>
        <w:t>深入贯彻落实习近平总书记视察安徽等系列重要讲话指示</w:t>
      </w:r>
      <w:r>
        <w:rPr>
          <w:rFonts w:hint="eastAsia" w:ascii="Times New Roman" w:hAnsi="Times New Roman" w:eastAsia="仿宋_GB2312" w:cs="Times New Roman"/>
          <w:sz w:val="32"/>
          <w:szCs w:val="32"/>
        </w:rPr>
        <w:t>精神</w:t>
      </w:r>
      <w:r>
        <w:rPr>
          <w:rFonts w:ascii="Times New Roman" w:hAnsi="Times New Roman" w:eastAsia="仿宋_GB2312" w:cs="Times New Roman"/>
          <w:sz w:val="32"/>
          <w:szCs w:val="32"/>
        </w:rPr>
        <w:t>，坚持稳中求进工作总基调，立足财政职能进一步强化财力保障、深化财政改革、优化财政管理、推动国企提升、防控财政风险，推动积极的财政政策加力提效。</w:t>
      </w:r>
    </w:p>
    <w:p w14:paraId="68E97F5B">
      <w:pPr>
        <w:spacing w:line="560" w:lineRule="exact"/>
        <w:ind w:firstLine="640" w:firstLineChars="200"/>
        <w:rPr>
          <w:rFonts w:ascii="楷体_GB2312" w:hAnsi="宋体" w:eastAsia="楷体_GB2312" w:cs="Times New Roman"/>
          <w:sz w:val="32"/>
          <w:szCs w:val="32"/>
        </w:rPr>
      </w:pPr>
      <w:r>
        <w:rPr>
          <w:rFonts w:hint="eastAsia" w:ascii="楷体_GB2312" w:hAnsi="宋体" w:eastAsia="楷体_GB2312" w:cs="Times New Roman"/>
          <w:sz w:val="32"/>
          <w:szCs w:val="32"/>
        </w:rPr>
        <w:t>（一）上半年一般公共预算收支预算执行情况</w:t>
      </w:r>
    </w:p>
    <w:p w14:paraId="200A065D">
      <w:pPr>
        <w:spacing w:line="560" w:lineRule="exact"/>
        <w:ind w:firstLine="643"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b/>
          <w:sz w:val="32"/>
          <w:szCs w:val="32"/>
        </w:rPr>
        <w:t>1.上半年一般公共预算收入执行情况。</w:t>
      </w:r>
      <w:r>
        <w:rPr>
          <w:rFonts w:hint="eastAsia" w:ascii="Times New Roman" w:hAnsi="Times New Roman" w:eastAsia="仿宋_GB2312" w:cs="Times New Roman"/>
          <w:color w:val="000000"/>
          <w:sz w:val="32"/>
          <w:szCs w:val="32"/>
        </w:rPr>
        <w:t>2025年1-6月全区一般公共预算地方财政收入完成10228万元，完成年预算42.2%。其中:税收收入完成4276万元，非税收入完成5952万元。税收收入中，增值税2230万元，企业所得税300万元，个人所得税329万元，城市维护建设税273万元，房产税231万元，印花税84万元，城镇土地使用税731万元，土地增值税5万元，车船税93万元。</w:t>
      </w:r>
    </w:p>
    <w:p w14:paraId="780CF8E2">
      <w:pPr>
        <w:spacing w:line="560" w:lineRule="exact"/>
        <w:ind w:firstLine="643" w:firstLineChars="200"/>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b/>
          <w:sz w:val="32"/>
          <w:szCs w:val="32"/>
        </w:rPr>
        <w:t>2.上半年一般公共预算支出执行情况。</w:t>
      </w:r>
      <w:r>
        <w:rPr>
          <w:rFonts w:hint="eastAsia" w:ascii="Times New Roman" w:hAnsi="Times New Roman" w:eastAsia="仿宋_GB2312" w:cs="Times New Roman"/>
          <w:color w:val="000000"/>
          <w:sz w:val="32"/>
          <w:szCs w:val="32"/>
        </w:rPr>
        <w:t>2025年1-6月全区一般公共预算支出完成28580万元，完成年预算50.6%。其中：一般公共服务支出2095万元，国防支出43万元，公共安全支出182万元，教育支出6172万元，科学技术支出352万元，文化旅游体育与传媒支出292万元，社会保障和就业支出8811万元，卫生健康支出1357万元，节能环保支出1197万元，城乡社区支出1834万元，农林水支出2496万元，交通运输支出204万元，资源勘探工业信息等支出157万元，商业服务业等支出58万元，自然资源海洋气象等支出830万元，住房保障支出1893万元，灾害防治及应急管理支出356万元，债务付息支出251万元。</w:t>
      </w:r>
    </w:p>
    <w:p w14:paraId="6CE76976">
      <w:pPr>
        <w:spacing w:line="560" w:lineRule="exact"/>
        <w:ind w:firstLine="640" w:firstLineChars="200"/>
        <w:rPr>
          <w:rFonts w:ascii="楷体_GB2312" w:hAnsi="宋体" w:eastAsia="楷体_GB2312" w:cs="Times New Roman"/>
          <w:sz w:val="32"/>
          <w:szCs w:val="32"/>
        </w:rPr>
      </w:pPr>
      <w:r>
        <w:rPr>
          <w:rFonts w:hint="eastAsia" w:ascii="楷体_GB2312" w:hAnsi="宋体" w:eastAsia="楷体_GB2312" w:cs="Times New Roman"/>
          <w:sz w:val="32"/>
          <w:szCs w:val="32"/>
        </w:rPr>
        <w:t>（二）上半年政府性基金预算收支执行情况</w:t>
      </w:r>
    </w:p>
    <w:p w14:paraId="482644FC">
      <w:pPr>
        <w:spacing w:line="560" w:lineRule="exact"/>
        <w:ind w:firstLine="640" w:firstLineChars="200"/>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2025年1-6月政府性基金支出完成4940万元，其中：专项债券用于八公山风景区建设提升项目2500万元、瓷器新村棚改项目1200万元；上级补助基金用于彩票公益金支持社会福利、体育事业、残疾人事业39万元，农业农村生态环境等城乡社区支出331万元，水库移民扶持基金2万元，专项债券利息支出868万元。</w:t>
      </w:r>
    </w:p>
    <w:p w14:paraId="1D376A30">
      <w:pPr>
        <w:spacing w:line="560" w:lineRule="exact"/>
        <w:ind w:firstLine="640" w:firstLineChars="200"/>
        <w:rPr>
          <w:rFonts w:ascii="楷体_GB2312" w:hAnsi="宋体" w:eastAsia="楷体_GB2312" w:cs="Times New Roman"/>
          <w:sz w:val="32"/>
          <w:szCs w:val="32"/>
        </w:rPr>
      </w:pPr>
      <w:r>
        <w:rPr>
          <w:rFonts w:hint="eastAsia" w:ascii="楷体_GB2312" w:hAnsi="宋体" w:eastAsia="楷体_GB2312" w:cs="Times New Roman"/>
          <w:sz w:val="32"/>
          <w:szCs w:val="32"/>
        </w:rPr>
        <w:t>（三）上半年财政预算执行的主要特点及重点工作</w:t>
      </w:r>
    </w:p>
    <w:p w14:paraId="0C3FC4F0">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1.强征管提质量，</w:t>
      </w:r>
      <w:r>
        <w:rPr>
          <w:rFonts w:ascii="Times New Roman" w:hAnsi="Times New Roman" w:eastAsia="仿宋_GB2312" w:cs="Times New Roman"/>
          <w:b/>
          <w:bCs/>
          <w:sz w:val="32"/>
          <w:szCs w:val="32"/>
        </w:rPr>
        <w:t>全力抓好组织收入。</w:t>
      </w:r>
      <w:r>
        <w:rPr>
          <w:rFonts w:hint="eastAsia" w:ascii="Times New Roman" w:hAnsi="Times New Roman" w:eastAsia="仿宋_GB2312" w:cs="Times New Roman"/>
          <w:b/>
          <w:bCs/>
          <w:sz w:val="32"/>
          <w:szCs w:val="32"/>
        </w:rPr>
        <w:t>一是</w:t>
      </w:r>
      <w:r>
        <w:rPr>
          <w:rFonts w:ascii="Times New Roman" w:hAnsi="Times New Roman" w:eastAsia="仿宋_GB2312" w:cs="Times New Roman"/>
          <w:b/>
          <w:bCs/>
          <w:sz w:val="32"/>
          <w:szCs w:val="32"/>
        </w:rPr>
        <w:t>税源培育成效显著</w:t>
      </w:r>
      <w:r>
        <w:rPr>
          <w:rFonts w:hint="eastAsia" w:ascii="Times New Roman" w:hAnsi="Times New Roman" w:eastAsia="仿宋_GB2312" w:cs="Times New Roman"/>
          <w:b/>
          <w:bCs/>
          <w:sz w:val="32"/>
          <w:szCs w:val="32"/>
        </w:rPr>
        <w:t>。</w:t>
      </w:r>
      <w:r>
        <w:rPr>
          <w:rFonts w:ascii="Times New Roman" w:hAnsi="Times New Roman" w:eastAsia="仿宋_GB2312" w:cs="Times New Roman"/>
          <w:sz w:val="32"/>
          <w:szCs w:val="32"/>
        </w:rPr>
        <w:t>建立重点税源动态监测</w:t>
      </w:r>
      <w:r>
        <w:rPr>
          <w:rFonts w:hint="eastAsia" w:ascii="Times New Roman" w:hAnsi="Times New Roman" w:eastAsia="仿宋_GB2312" w:cs="Times New Roman"/>
          <w:sz w:val="32"/>
          <w:szCs w:val="32"/>
        </w:rPr>
        <w:t>机制</w:t>
      </w:r>
      <w:r>
        <w:rPr>
          <w:rFonts w:ascii="Times New Roman" w:hAnsi="Times New Roman" w:eastAsia="仿宋_GB2312" w:cs="Times New Roman"/>
          <w:sz w:val="32"/>
          <w:szCs w:val="32"/>
        </w:rPr>
        <w:t>，推动房产税、城镇土地使用税同比增长</w:t>
      </w:r>
      <w:r>
        <w:rPr>
          <w:rFonts w:hint="eastAsia" w:ascii="Times New Roman" w:hAnsi="Times New Roman" w:eastAsia="仿宋_GB2312" w:cs="Times New Roman"/>
          <w:sz w:val="32"/>
          <w:szCs w:val="32"/>
        </w:rPr>
        <w:t>17.3</w:t>
      </w:r>
      <w:r>
        <w:rPr>
          <w:rFonts w:ascii="Times New Roman" w:hAnsi="Times New Roman" w:eastAsia="仿宋_GB2312" w:cs="Times New Roman"/>
          <w:sz w:val="32"/>
          <w:szCs w:val="32"/>
        </w:rPr>
        <w:t>%和</w:t>
      </w:r>
      <w:r>
        <w:rPr>
          <w:rFonts w:hint="eastAsia" w:ascii="Times New Roman" w:hAnsi="Times New Roman" w:eastAsia="仿宋_GB2312" w:cs="Times New Roman"/>
          <w:sz w:val="32"/>
          <w:szCs w:val="32"/>
        </w:rPr>
        <w:t>17.2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深化镇</w:t>
      </w:r>
      <w:r>
        <w:rPr>
          <w:rFonts w:hint="eastAsia" w:ascii="Times New Roman" w:hAnsi="Times New Roman" w:eastAsia="仿宋_GB2312" w:cs="Times New Roman"/>
          <w:sz w:val="32"/>
          <w:szCs w:val="32"/>
        </w:rPr>
        <w:t>（街道）</w:t>
      </w:r>
      <w:r>
        <w:rPr>
          <w:rFonts w:ascii="Times New Roman" w:hAnsi="Times New Roman" w:eastAsia="仿宋_GB2312" w:cs="Times New Roman"/>
          <w:sz w:val="32"/>
          <w:szCs w:val="32"/>
        </w:rPr>
        <w:t>财税体制改革，建立税收增长激励机制，新增纳税企业89家，有效拓宽增量财源增长空间。</w:t>
      </w:r>
      <w:r>
        <w:rPr>
          <w:rFonts w:ascii="Times New Roman" w:hAnsi="Times New Roman" w:eastAsia="仿宋_GB2312" w:cs="Times New Roman"/>
          <w:b/>
          <w:bCs/>
          <w:sz w:val="32"/>
          <w:szCs w:val="32"/>
        </w:rPr>
        <w:t>二是资金统筹力度加大</w:t>
      </w:r>
      <w:r>
        <w:rPr>
          <w:rFonts w:hint="eastAsia" w:ascii="Times New Roman" w:hAnsi="Times New Roman" w:eastAsia="仿宋_GB2312" w:cs="Times New Roman"/>
          <w:b/>
          <w:bCs/>
          <w:sz w:val="32"/>
          <w:szCs w:val="32"/>
        </w:rPr>
        <w:t>。</w:t>
      </w:r>
      <w:r>
        <w:rPr>
          <w:rFonts w:ascii="Times New Roman" w:hAnsi="Times New Roman" w:eastAsia="仿宋_GB2312" w:cs="Times New Roman"/>
          <w:sz w:val="32"/>
          <w:szCs w:val="32"/>
        </w:rPr>
        <w:t>建立"定期清理+动态回收"机制，对项目结余资金、超期结转资金、低效无效资金等一律清理收回，上半年盘活各类闲置资金1000万元，</w:t>
      </w:r>
      <w:r>
        <w:rPr>
          <w:rFonts w:hint="eastAsia" w:ascii="Times New Roman" w:hAnsi="Times New Roman" w:eastAsia="仿宋_GB2312" w:cs="Times New Roman"/>
          <w:sz w:val="32"/>
          <w:szCs w:val="32"/>
        </w:rPr>
        <w:t>提高</w:t>
      </w:r>
      <w:r>
        <w:rPr>
          <w:rFonts w:ascii="Times New Roman" w:hAnsi="Times New Roman" w:eastAsia="仿宋_GB2312" w:cs="Times New Roman"/>
          <w:sz w:val="32"/>
          <w:szCs w:val="32"/>
        </w:rPr>
        <w:t>资金周转效率。</w:t>
      </w:r>
      <w:r>
        <w:rPr>
          <w:rFonts w:ascii="Times New Roman" w:hAnsi="Times New Roman" w:eastAsia="仿宋_GB2312" w:cs="Times New Roman"/>
          <w:b/>
          <w:bCs/>
          <w:sz w:val="32"/>
          <w:szCs w:val="32"/>
        </w:rPr>
        <w:t>三是对上争取成果丰硕。</w:t>
      </w:r>
      <w:r>
        <w:rPr>
          <w:rFonts w:ascii="Times New Roman" w:hAnsi="Times New Roman" w:eastAsia="仿宋_GB2312" w:cs="Times New Roman"/>
          <w:sz w:val="32"/>
          <w:szCs w:val="32"/>
        </w:rPr>
        <w:t>上半年申报中央预算内投资项目3个资金需求2.68亿元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申报地方政府专项债项目5个</w:t>
      </w:r>
      <w:r>
        <w:rPr>
          <w:rFonts w:hint="eastAsia" w:ascii="Times New Roman" w:hAnsi="Times New Roman" w:eastAsia="仿宋_GB2312" w:cs="Times New Roman"/>
          <w:sz w:val="32"/>
          <w:szCs w:val="32"/>
        </w:rPr>
        <w:t>年度</w:t>
      </w:r>
      <w:r>
        <w:rPr>
          <w:rFonts w:ascii="Times New Roman" w:hAnsi="Times New Roman" w:eastAsia="仿宋_GB2312" w:cs="Times New Roman"/>
          <w:sz w:val="32"/>
          <w:szCs w:val="32"/>
        </w:rPr>
        <w:t>需求2.75亿元，申报超长期特别国债项目4个资金需求1.58亿元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累计争取财力性转移支付5018万元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发行专项债券4300万元、再融资债券11867万元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有</w:t>
      </w:r>
      <w:r>
        <w:rPr>
          <w:rFonts w:hint="eastAsia" w:ascii="Times New Roman" w:hAnsi="Times New Roman" w:eastAsia="仿宋_GB2312" w:cs="Times New Roman"/>
          <w:sz w:val="32"/>
          <w:szCs w:val="32"/>
        </w:rPr>
        <w:t>力保障了项目建设落地</w:t>
      </w:r>
      <w:r>
        <w:rPr>
          <w:rFonts w:ascii="Times New Roman" w:hAnsi="Times New Roman" w:eastAsia="仿宋_GB2312" w:cs="Times New Roman"/>
          <w:sz w:val="32"/>
          <w:szCs w:val="32"/>
        </w:rPr>
        <w:t>。</w:t>
      </w:r>
    </w:p>
    <w:p w14:paraId="3F3EAAD6">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2.强保障提温度，民生福祉持续改善</w:t>
      </w:r>
      <w:r>
        <w:rPr>
          <w:rFonts w:ascii="Times New Roman" w:hAnsi="Times New Roman" w:eastAsia="仿宋_GB2312" w:cs="Times New Roman"/>
          <w:b/>
          <w:bCs/>
          <w:sz w:val="32"/>
          <w:szCs w:val="32"/>
        </w:rPr>
        <w:t>。</w:t>
      </w:r>
      <w:r>
        <w:rPr>
          <w:rFonts w:ascii="Times New Roman" w:hAnsi="Times New Roman" w:eastAsia="仿宋_GB2312" w:cs="Times New Roman"/>
          <w:sz w:val="32"/>
          <w:szCs w:val="32"/>
        </w:rPr>
        <w:t>坚持尽力而为、量力而行，</w:t>
      </w:r>
      <w:r>
        <w:rPr>
          <w:rFonts w:hint="eastAsia" w:ascii="Times New Roman" w:hAnsi="Times New Roman" w:eastAsia="仿宋_GB2312" w:cs="Times New Roman"/>
          <w:sz w:val="32"/>
          <w:szCs w:val="32"/>
        </w:rPr>
        <w:t>上半年民生类支出25496万元，占</w:t>
      </w:r>
      <w:r>
        <w:rPr>
          <w:rFonts w:ascii="Times New Roman" w:hAnsi="Times New Roman" w:eastAsia="仿宋_GB2312" w:cs="Times New Roman"/>
          <w:sz w:val="32"/>
          <w:szCs w:val="32"/>
        </w:rPr>
        <w:t>一般公共预算支出</w:t>
      </w:r>
      <w:r>
        <w:rPr>
          <w:rFonts w:hint="eastAsia" w:ascii="Times New Roman" w:hAnsi="Times New Roman" w:eastAsia="仿宋_GB2312" w:cs="Times New Roman"/>
          <w:sz w:val="32"/>
          <w:szCs w:val="32"/>
        </w:rPr>
        <w:t>89.2%</w:t>
      </w:r>
      <w:r>
        <w:rPr>
          <w:rFonts w:ascii="Times New Roman" w:hAnsi="Times New Roman" w:eastAsia="仿宋_GB2312" w:cs="Times New Roman"/>
          <w:sz w:val="32"/>
          <w:szCs w:val="32"/>
        </w:rPr>
        <w:t>。</w:t>
      </w:r>
      <w:r>
        <w:rPr>
          <w:rFonts w:ascii="Times New Roman" w:hAnsi="Times New Roman" w:eastAsia="仿宋_GB2312" w:cs="Times New Roman"/>
          <w:b/>
          <w:bCs/>
          <w:sz w:val="32"/>
          <w:szCs w:val="32"/>
        </w:rPr>
        <w:t>一是"三保"支出优先保障。</w:t>
      </w:r>
      <w:r>
        <w:rPr>
          <w:rFonts w:hint="eastAsia" w:ascii="Times New Roman" w:hAnsi="Times New Roman" w:eastAsia="仿宋_GB2312" w:cs="Times New Roman"/>
          <w:sz w:val="32"/>
          <w:szCs w:val="32"/>
        </w:rPr>
        <w:t>1-6月份累计拨付“三保”资金1.93亿元，其中保基本民生5533万元，重点保障低保、特困等困难群体补助发放。二</w:t>
      </w:r>
      <w:r>
        <w:rPr>
          <w:rFonts w:ascii="Times New Roman" w:hAnsi="Times New Roman" w:eastAsia="仿宋_GB2312" w:cs="Times New Roman"/>
          <w:b/>
          <w:bCs/>
          <w:sz w:val="32"/>
          <w:szCs w:val="32"/>
        </w:rPr>
        <w:t>是公共服务优质均衡。</w:t>
      </w:r>
      <w:r>
        <w:rPr>
          <w:rFonts w:ascii="Times New Roman" w:hAnsi="Times New Roman" w:eastAsia="仿宋_GB2312" w:cs="Times New Roman"/>
          <w:sz w:val="32"/>
          <w:szCs w:val="32"/>
        </w:rPr>
        <w:t>教育投入持续加力</w:t>
      </w:r>
      <w:r>
        <w:rPr>
          <w:rFonts w:hint="eastAsia" w:ascii="Times New Roman" w:hAnsi="Times New Roman" w:eastAsia="仿宋_GB2312" w:cs="Times New Roman"/>
          <w:sz w:val="32"/>
          <w:szCs w:val="32"/>
        </w:rPr>
        <w:t>，严格落实"两个只增不减"要求，上半年教育支出6172万元，</w:t>
      </w:r>
      <w:r>
        <w:rPr>
          <w:rFonts w:ascii="Times New Roman" w:hAnsi="Times New Roman" w:eastAsia="仿宋_GB2312" w:cs="Times New Roman"/>
          <w:sz w:val="32"/>
          <w:szCs w:val="32"/>
        </w:rPr>
        <w:t>同比增长0.</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推进就业、养老、医疗等基本民生建设，支持企业稳岗扩岗，落实城乡居民基础养老金、城乡居民医保财政补助标准等政策，</w:t>
      </w:r>
      <w:r>
        <w:rPr>
          <w:rFonts w:hint="eastAsia" w:ascii="Times New Roman" w:hAnsi="Times New Roman" w:eastAsia="仿宋_GB2312" w:cs="Times New Roman"/>
          <w:sz w:val="32"/>
          <w:szCs w:val="32"/>
        </w:rPr>
        <w:t>1-6月份</w:t>
      </w:r>
      <w:r>
        <w:rPr>
          <w:rFonts w:ascii="Times New Roman" w:hAnsi="Times New Roman" w:eastAsia="仿宋_GB2312" w:cs="Times New Roman"/>
          <w:sz w:val="32"/>
          <w:szCs w:val="32"/>
        </w:rPr>
        <w:t>社会保障</w:t>
      </w:r>
      <w:r>
        <w:rPr>
          <w:rFonts w:hint="eastAsia" w:ascii="Times New Roman" w:hAnsi="Times New Roman" w:eastAsia="仿宋_GB2312" w:cs="Times New Roman"/>
          <w:sz w:val="32"/>
          <w:szCs w:val="32"/>
        </w:rPr>
        <w:t>资金支出</w:t>
      </w: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811</w:t>
      </w:r>
      <w:r>
        <w:rPr>
          <w:rFonts w:ascii="Times New Roman" w:hAnsi="Times New Roman" w:eastAsia="仿宋_GB2312" w:cs="Times New Roman"/>
          <w:sz w:val="32"/>
          <w:szCs w:val="32"/>
        </w:rPr>
        <w:t>万元，同比增长</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.8%。</w:t>
      </w:r>
      <w:r>
        <w:rPr>
          <w:rFonts w:hint="eastAsia" w:ascii="Times New Roman" w:hAnsi="Times New Roman" w:eastAsia="仿宋_GB2312" w:cs="Times New Roman"/>
          <w:b/>
          <w:bCs/>
          <w:sz w:val="32"/>
          <w:szCs w:val="32"/>
        </w:rPr>
        <w:t>三是民生工程扎实推进。</w:t>
      </w:r>
      <w:r>
        <w:rPr>
          <w:rFonts w:hint="eastAsia" w:ascii="Times New Roman" w:hAnsi="Times New Roman" w:eastAsia="仿宋_GB2312" w:cs="Times New Roman"/>
          <w:sz w:val="32"/>
          <w:szCs w:val="32"/>
        </w:rPr>
        <w:t>统筹区级资金171万元，实施5项民生实事工程。拨付城市危旧房改造资金3977万元、棚户区改造资金2362万元，支持</w:t>
      </w:r>
      <w:r>
        <w:rPr>
          <w:rFonts w:ascii="Times New Roman" w:hAnsi="Times New Roman" w:eastAsia="仿宋_GB2312" w:cs="Times New Roman"/>
          <w:sz w:val="32"/>
          <w:szCs w:val="32"/>
        </w:rPr>
        <w:t>瓷器新村</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团结新村（一期）棚改</w:t>
      </w:r>
      <w:r>
        <w:rPr>
          <w:rFonts w:hint="eastAsia" w:ascii="Times New Roman" w:hAnsi="Times New Roman" w:eastAsia="仿宋_GB2312" w:cs="Times New Roman"/>
          <w:sz w:val="32"/>
          <w:szCs w:val="32"/>
        </w:rPr>
        <w:t>项目建设；拨付农村公路建设资金42万元，推进</w:t>
      </w:r>
      <w:r>
        <w:rPr>
          <w:rFonts w:ascii="Times New Roman" w:hAnsi="Times New Roman" w:eastAsia="仿宋_GB2312" w:cs="Times New Roman"/>
          <w:sz w:val="32"/>
          <w:szCs w:val="32"/>
        </w:rPr>
        <w:t>南塘路工程</w:t>
      </w:r>
      <w:r>
        <w:rPr>
          <w:rFonts w:hint="eastAsia" w:ascii="Times New Roman" w:hAnsi="Times New Roman" w:eastAsia="仿宋_GB2312" w:cs="Times New Roman"/>
          <w:sz w:val="32"/>
          <w:szCs w:val="32"/>
        </w:rPr>
        <w:t xml:space="preserve">建设。                              </w:t>
      </w:r>
    </w:p>
    <w:p w14:paraId="36974C38">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3.</w:t>
      </w:r>
      <w:r>
        <w:rPr>
          <w:rFonts w:ascii="Times New Roman" w:hAnsi="Times New Roman" w:eastAsia="仿宋_GB2312" w:cs="Times New Roman"/>
          <w:b/>
          <w:bCs/>
          <w:sz w:val="32"/>
          <w:szCs w:val="32"/>
        </w:rPr>
        <w:t>强改革提效能，管理创新纵深推进。一是预算改革持续深化。</w:t>
      </w:r>
      <w:r>
        <w:rPr>
          <w:rFonts w:ascii="Times New Roman" w:hAnsi="Times New Roman" w:eastAsia="仿宋_GB2312" w:cs="Times New Roman"/>
          <w:sz w:val="32"/>
          <w:szCs w:val="32"/>
        </w:rPr>
        <w:t>全面实施零基预算，严把政策、项目、资金关口，推动部门做实做细项目储备，编制年度重点保障事项清单。</w:t>
      </w:r>
      <w:r>
        <w:rPr>
          <w:rFonts w:hint="eastAsia" w:ascii="仿宋_GB2312" w:hAnsi="仿宋_GB2312" w:eastAsia="仿宋_GB2312" w:cs="仿宋_GB2312"/>
          <w:kern w:val="0"/>
          <w:sz w:val="32"/>
          <w:szCs w:val="32"/>
        </w:rPr>
        <w:t>按照财政科学化、精细化管理的要求，继续深化预算管理、国库管理、和政府采购管理制度改革，促进资金节约，提高使用效益</w:t>
      </w:r>
      <w:r>
        <w:rPr>
          <w:rFonts w:ascii="Times New Roman" w:hAnsi="Times New Roman" w:eastAsia="仿宋_GB2312" w:cs="Times New Roman"/>
          <w:sz w:val="32"/>
          <w:szCs w:val="32"/>
        </w:rPr>
        <w:t>。</w:t>
      </w:r>
      <w:r>
        <w:rPr>
          <w:rFonts w:ascii="Times New Roman" w:hAnsi="Times New Roman" w:eastAsia="仿宋_GB2312" w:cs="Times New Roman"/>
          <w:b/>
          <w:bCs/>
          <w:sz w:val="32"/>
          <w:szCs w:val="32"/>
        </w:rPr>
        <w:t>二是过“紧日子”</w:t>
      </w:r>
      <w:r>
        <w:rPr>
          <w:rFonts w:hint="eastAsia" w:ascii="Times New Roman" w:hAnsi="Times New Roman" w:eastAsia="仿宋_GB2312" w:cs="Times New Roman"/>
          <w:b/>
          <w:bCs/>
          <w:sz w:val="32"/>
          <w:szCs w:val="32"/>
        </w:rPr>
        <w:t>要求深入人心。</w:t>
      </w:r>
      <w:r>
        <w:rPr>
          <w:rFonts w:ascii="Times New Roman" w:hAnsi="Times New Roman" w:eastAsia="仿宋_GB2312" w:cs="Times New Roman"/>
          <w:sz w:val="32"/>
          <w:szCs w:val="32"/>
        </w:rPr>
        <w:t>严格落实《淮南市人民政府办公室关于印发进一步厉行节约过紧日子的若干举措的通知》要求，重点从压减编外人员、严控政府购买服务、严控“三公”经费等方面细化9条具体举措，切实降低机关运行成本</w:t>
      </w:r>
      <w:r>
        <w:rPr>
          <w:rFonts w:hint="eastAsia" w:ascii="Times New Roman" w:hAnsi="Times New Roman" w:eastAsia="仿宋_GB2312" w:cs="Times New Roman"/>
          <w:sz w:val="32"/>
          <w:szCs w:val="32"/>
        </w:rPr>
        <w:t>，今年上半年全区“三公”经费下降11.9%</w:t>
      </w:r>
      <w:r>
        <w:rPr>
          <w:rFonts w:ascii="Times New Roman" w:hAnsi="Times New Roman" w:eastAsia="仿宋_GB2312" w:cs="Times New Roman"/>
          <w:sz w:val="32"/>
          <w:szCs w:val="32"/>
        </w:rPr>
        <w:t>。</w:t>
      </w:r>
      <w:r>
        <w:rPr>
          <w:rFonts w:ascii="Times New Roman" w:hAnsi="Times New Roman" w:eastAsia="仿宋_GB2312" w:cs="Times New Roman"/>
          <w:b/>
          <w:bCs/>
          <w:sz w:val="32"/>
          <w:szCs w:val="32"/>
        </w:rPr>
        <w:t>三是绩效管理全面加强。</w:t>
      </w:r>
      <w:r>
        <w:rPr>
          <w:rFonts w:ascii="Times New Roman" w:hAnsi="Times New Roman" w:eastAsia="仿宋_GB2312" w:cs="Times New Roman"/>
          <w:sz w:val="32"/>
          <w:szCs w:val="32"/>
        </w:rPr>
        <w:t>坚持完善全方位、全过程、全覆盖的预算绩效管理体系，</w:t>
      </w:r>
      <w:r>
        <w:rPr>
          <w:rFonts w:hint="eastAsia" w:ascii="Times New Roman" w:hAnsi="Times New Roman" w:eastAsia="仿宋_GB2312" w:cs="Times New Roman"/>
          <w:sz w:val="32"/>
          <w:szCs w:val="32"/>
        </w:rPr>
        <w:t>今年以来</w:t>
      </w:r>
      <w:r>
        <w:rPr>
          <w:rFonts w:ascii="Times New Roman" w:hAnsi="Times New Roman" w:eastAsia="仿宋_GB2312" w:cs="Times New Roman"/>
          <w:sz w:val="32"/>
          <w:szCs w:val="32"/>
        </w:rPr>
        <w:t>开展财政重点绩效评价项目6个涉及财政资金5227万元，</w:t>
      </w:r>
      <w:r>
        <w:rPr>
          <w:rFonts w:hint="eastAsia" w:ascii="Times New Roman" w:hAnsi="Times New Roman" w:eastAsia="仿宋_GB2312" w:cs="Times New Roman"/>
          <w:sz w:val="32"/>
          <w:szCs w:val="32"/>
        </w:rPr>
        <w:t>强化</w:t>
      </w:r>
      <w:r>
        <w:rPr>
          <w:rFonts w:ascii="Times New Roman" w:hAnsi="Times New Roman" w:eastAsia="仿宋_GB2312" w:cs="Times New Roman"/>
          <w:sz w:val="32"/>
          <w:szCs w:val="32"/>
        </w:rPr>
        <w:t>绩效结果</w:t>
      </w:r>
      <w:r>
        <w:rPr>
          <w:rFonts w:hint="eastAsia" w:ascii="Times New Roman" w:hAnsi="Times New Roman" w:eastAsia="仿宋_GB2312" w:cs="Times New Roman"/>
          <w:sz w:val="32"/>
          <w:szCs w:val="32"/>
        </w:rPr>
        <w:t>运用</w:t>
      </w:r>
      <w:r>
        <w:rPr>
          <w:rFonts w:ascii="Times New Roman" w:hAnsi="Times New Roman" w:eastAsia="仿宋_GB2312" w:cs="Times New Roman"/>
          <w:sz w:val="32"/>
          <w:szCs w:val="32"/>
        </w:rPr>
        <w:t>，不断提高资金配置效率和使用效益。</w:t>
      </w:r>
    </w:p>
    <w:p w14:paraId="6EAA77CE">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4.</w:t>
      </w:r>
      <w:r>
        <w:rPr>
          <w:rFonts w:ascii="Times New Roman" w:hAnsi="Times New Roman" w:eastAsia="仿宋_GB2312" w:cs="Times New Roman"/>
          <w:b/>
          <w:bCs/>
          <w:sz w:val="32"/>
          <w:szCs w:val="32"/>
        </w:rPr>
        <w:t>强监管提活力，国资运营成效凸显。一是国企改革持续深入。</w:t>
      </w:r>
      <w:r>
        <w:rPr>
          <w:rFonts w:ascii="Times New Roman" w:hAnsi="Times New Roman" w:eastAsia="仿宋_GB2312" w:cs="Times New Roman"/>
          <w:sz w:val="32"/>
          <w:szCs w:val="32"/>
        </w:rPr>
        <w:t>加快国有经济布局优化和结构调整，健全以管资本为主的国资监管体系，推动国有企业战略性重组和专业化整合</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推进重点项目建设。今年以来，</w:t>
      </w:r>
      <w:r>
        <w:rPr>
          <w:rFonts w:hint="eastAsia" w:ascii="Times New Roman" w:hAnsi="Times New Roman" w:eastAsia="仿宋_GB2312" w:cs="Times New Roman"/>
          <w:sz w:val="32"/>
          <w:szCs w:val="32"/>
        </w:rPr>
        <w:t>区属国有企业推进实施绿色发展产业园、牛肉汤产业园、益民阳光二期保障性租赁住房、八公山新村二期棚改等区级重点项目，</w:t>
      </w:r>
      <w:r>
        <w:rPr>
          <w:rFonts w:ascii="Times New Roman" w:hAnsi="Times New Roman" w:eastAsia="仿宋_GB2312" w:cs="Times New Roman"/>
          <w:sz w:val="32"/>
          <w:szCs w:val="32"/>
        </w:rPr>
        <w:t>新增银行授信4.9亿元。</w:t>
      </w:r>
      <w:r>
        <w:rPr>
          <w:rFonts w:ascii="Times New Roman" w:hAnsi="Times New Roman" w:eastAsia="仿宋_GB2312" w:cs="Times New Roman"/>
          <w:b/>
          <w:bCs/>
          <w:sz w:val="32"/>
          <w:szCs w:val="32"/>
        </w:rPr>
        <w:t>二是经营业绩考核</w:t>
      </w:r>
      <w:r>
        <w:rPr>
          <w:rFonts w:hint="eastAsia" w:ascii="Times New Roman" w:hAnsi="Times New Roman" w:eastAsia="仿宋_GB2312" w:cs="Times New Roman"/>
          <w:b/>
          <w:bCs/>
          <w:sz w:val="32"/>
          <w:szCs w:val="32"/>
        </w:rPr>
        <w:t>逐步完善</w:t>
      </w:r>
      <w:r>
        <w:rPr>
          <w:rFonts w:ascii="Times New Roman" w:hAnsi="Times New Roman" w:eastAsia="仿宋_GB2312" w:cs="Times New Roman"/>
          <w:b/>
          <w:bCs/>
          <w:sz w:val="32"/>
          <w:szCs w:val="32"/>
        </w:rPr>
        <w:t>。</w:t>
      </w:r>
      <w:r>
        <w:rPr>
          <w:rFonts w:ascii="Times New Roman" w:hAnsi="Times New Roman" w:eastAsia="仿宋_GB2312" w:cs="Times New Roman"/>
          <w:sz w:val="32"/>
          <w:szCs w:val="32"/>
        </w:rPr>
        <w:t>完善经营业绩考核体系，将考核结果与薪酬分配直接挂钩，合理确定2025年经营业绩考核目标，签订目标责任书，激发企业内生动力。</w:t>
      </w:r>
      <w:r>
        <w:rPr>
          <w:rFonts w:ascii="Times New Roman" w:hAnsi="Times New Roman" w:eastAsia="仿宋_GB2312" w:cs="Times New Roman"/>
          <w:b/>
          <w:bCs/>
          <w:sz w:val="32"/>
          <w:szCs w:val="32"/>
        </w:rPr>
        <w:t>三是资产盘活步伐加快。</w:t>
      </w:r>
      <w:r>
        <w:rPr>
          <w:rFonts w:ascii="Times New Roman" w:hAnsi="Times New Roman" w:eastAsia="仿宋_GB2312" w:cs="Times New Roman"/>
          <w:sz w:val="32"/>
          <w:szCs w:val="32"/>
        </w:rPr>
        <w:t>持续加强政府公物仓建设，规范行政事业单位资产配置、使用</w:t>
      </w:r>
      <w:r>
        <w:rPr>
          <w:rFonts w:hint="eastAsia" w:ascii="Times New Roman" w:hAnsi="Times New Roman" w:eastAsia="仿宋_GB2312" w:cs="Times New Roman"/>
          <w:sz w:val="32"/>
          <w:szCs w:val="32"/>
        </w:rPr>
        <w:t>及</w:t>
      </w:r>
      <w:r>
        <w:rPr>
          <w:rFonts w:ascii="Times New Roman" w:hAnsi="Times New Roman" w:eastAsia="仿宋_GB2312" w:cs="Times New Roman"/>
          <w:sz w:val="32"/>
          <w:szCs w:val="32"/>
        </w:rPr>
        <w:t>处置。推行"统一管理+专业运营"模式，梳理统计全区各行政事业单位房屋等不动产</w:t>
      </w:r>
      <w:r>
        <w:rPr>
          <w:rFonts w:hint="eastAsia" w:ascii="Times New Roman" w:hAnsi="Times New Roman" w:eastAsia="仿宋_GB2312" w:cs="Times New Roman"/>
          <w:sz w:val="32"/>
          <w:szCs w:val="32"/>
        </w:rPr>
        <w:t>情况，</w:t>
      </w:r>
      <w:r>
        <w:rPr>
          <w:rFonts w:ascii="Times New Roman" w:hAnsi="Times New Roman" w:eastAsia="仿宋_GB2312" w:cs="Times New Roman"/>
          <w:sz w:val="32"/>
          <w:szCs w:val="32"/>
        </w:rPr>
        <w:t>交由区属国有企业统一管理运营</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首批</w:t>
      </w:r>
      <w:r>
        <w:rPr>
          <w:rFonts w:hint="eastAsia" w:ascii="Times New Roman" w:hAnsi="Times New Roman" w:eastAsia="仿宋_GB2312" w:cs="Times New Roman"/>
          <w:sz w:val="32"/>
          <w:szCs w:val="32"/>
        </w:rPr>
        <w:t>行政事业单位所属的</w:t>
      </w:r>
      <w:r>
        <w:rPr>
          <w:rFonts w:ascii="Times New Roman" w:hAnsi="Times New Roman" w:eastAsia="仿宋_GB2312" w:cs="Times New Roman"/>
          <w:sz w:val="32"/>
          <w:szCs w:val="32"/>
        </w:rPr>
        <w:t>门面房及不动产69处</w:t>
      </w:r>
      <w:r>
        <w:rPr>
          <w:rFonts w:hint="eastAsia" w:ascii="Times New Roman" w:hAnsi="Times New Roman" w:eastAsia="仿宋_GB2312" w:cs="Times New Roman"/>
          <w:sz w:val="32"/>
          <w:szCs w:val="32"/>
        </w:rPr>
        <w:t>已</w:t>
      </w:r>
      <w:r>
        <w:rPr>
          <w:rFonts w:ascii="Times New Roman" w:hAnsi="Times New Roman" w:eastAsia="仿宋_GB2312" w:cs="Times New Roman"/>
          <w:sz w:val="32"/>
          <w:szCs w:val="32"/>
        </w:rPr>
        <w:t>交由楚汉科技公司管理运营。</w:t>
      </w:r>
    </w:p>
    <w:p w14:paraId="21159200">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5.</w:t>
      </w:r>
      <w:r>
        <w:rPr>
          <w:rFonts w:ascii="Times New Roman" w:hAnsi="Times New Roman" w:eastAsia="仿宋_GB2312" w:cs="Times New Roman"/>
          <w:b/>
          <w:bCs/>
          <w:sz w:val="32"/>
          <w:szCs w:val="32"/>
        </w:rPr>
        <w:t>强服务提信心，金融支持精准有效。一是做好企业上市（挂牌）服务工作</w:t>
      </w:r>
      <w:r>
        <w:rPr>
          <w:rFonts w:hint="eastAsia" w:ascii="Times New Roman" w:hAnsi="Times New Roman" w:eastAsia="仿宋_GB2312" w:cs="Times New Roman"/>
          <w:b/>
          <w:bCs/>
          <w:sz w:val="32"/>
          <w:szCs w:val="32"/>
        </w:rPr>
        <w:t>。</w:t>
      </w:r>
      <w:r>
        <w:rPr>
          <w:rFonts w:hint="eastAsia" w:ascii="Times New Roman" w:hAnsi="Times New Roman" w:eastAsia="仿宋_GB2312" w:cs="Times New Roman"/>
          <w:sz w:val="32"/>
          <w:szCs w:val="32"/>
        </w:rPr>
        <w:t>继续深入开展百家企业资本市场业务培训专项行动，全面提升企业利用资本市场的意识和能力。广泛摸排企业上市资源，实施企业股改规范工程，健全企业上市绿色服务通道机制，动态性协调解决制约企业上市因素，加大对我区2家上市后备企业安徽精益源科技有限公司、畅九衢环保科技有限公司培育力度。</w:t>
      </w:r>
      <w:r>
        <w:rPr>
          <w:rFonts w:hint="eastAsia" w:ascii="Times New Roman" w:hAnsi="Times New Roman" w:eastAsia="仿宋_GB2312" w:cs="Times New Roman"/>
          <w:b/>
          <w:bCs/>
          <w:sz w:val="32"/>
          <w:szCs w:val="32"/>
        </w:rPr>
        <w:t>二是融资对接成效显著。</w:t>
      </w:r>
      <w:r>
        <w:rPr>
          <w:rFonts w:ascii="Times New Roman" w:hAnsi="Times New Roman" w:eastAsia="仿宋_GB2312" w:cs="Times New Roman"/>
          <w:sz w:val="32"/>
          <w:szCs w:val="32"/>
        </w:rPr>
        <w:t>常态化、制度化举办政银企对接活动，帮助企业解决融资需求。截止目前，开展政银企对接活动3次，开展“一对一”银企对接活动，对接银行和相关企业</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0余次，直接解决企业发展难题，有效做到助企纾困。</w:t>
      </w:r>
    </w:p>
    <w:p w14:paraId="71979884">
      <w:pPr>
        <w:spacing w:line="560" w:lineRule="exact"/>
        <w:ind w:firstLine="640" w:firstLineChars="200"/>
        <w:rPr>
          <w:rFonts w:ascii="楷体_GB2312" w:hAnsi="宋体" w:eastAsia="楷体_GB2312" w:cs="Times New Roman"/>
          <w:sz w:val="32"/>
          <w:szCs w:val="32"/>
        </w:rPr>
      </w:pPr>
      <w:r>
        <w:rPr>
          <w:rFonts w:hint="eastAsia" w:ascii="楷体_GB2312" w:hAnsi="宋体" w:eastAsia="楷体_GB2312" w:cs="Times New Roman"/>
          <w:sz w:val="32"/>
          <w:szCs w:val="32"/>
        </w:rPr>
        <w:t>（四）下半年财政工作重点</w:t>
      </w:r>
    </w:p>
    <w:p w14:paraId="2F71D66D">
      <w:pPr>
        <w:widowControl/>
        <w:spacing w:line="560" w:lineRule="exact"/>
        <w:ind w:firstLine="640" w:firstLineChars="200"/>
        <w:rPr>
          <w:rFonts w:ascii="宋体" w:hAnsi="宋体" w:eastAsia="宋体" w:cs="宋体"/>
          <w:kern w:val="0"/>
          <w:sz w:val="32"/>
          <w:szCs w:val="32"/>
        </w:rPr>
      </w:pPr>
      <w:r>
        <w:rPr>
          <w:rFonts w:hint="eastAsia" w:ascii="仿宋_GB2312" w:hAnsi="仿宋_GB2312" w:eastAsia="仿宋_GB2312" w:cs="仿宋_GB2312"/>
          <w:sz w:val="32"/>
          <w:szCs w:val="32"/>
        </w:rPr>
        <w:t>上半年来，财政部门持续在抓收入、控支出、防风险上下大功夫，财政总体运行平稳，但也面临着前所未有的严峻挑战，主要是“三保”及刚性支出保障压力巨大、惠民政策和基础设施建设区级财力投入不断加大，收支矛盾持续突出且短时间内难以缓解。下半年，我们将继续落实积极的财政政策，着力提升政策效能和资金效益，研判形势、坚定信心、超前谋划，切实发挥财政职能效应，全面推进各项财政工作，确保完成全年工作目标。</w:t>
      </w:r>
    </w:p>
    <w:p w14:paraId="7BF6203A">
      <w:pPr>
        <w:widowControl/>
        <w:numPr>
          <w:ilvl w:val="0"/>
          <w:numId w:val="1"/>
        </w:num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紧盯收入重点，全力推进财源建设。</w:t>
      </w:r>
      <w:r>
        <w:rPr>
          <w:rFonts w:hint="eastAsia" w:ascii="仿宋_GB2312" w:hAnsi="仿宋_GB2312" w:eastAsia="仿宋_GB2312" w:cs="仿宋_GB2312"/>
          <w:sz w:val="32"/>
          <w:szCs w:val="32"/>
        </w:rPr>
        <w:t>一是积极组织财政收入。通过强化财税部门工作联动，加强收入分析和调度，强化收入考核与调度。二是大力向上争资。抢抓中央预算内投资、地方专项债券、基金等资金机遇，加大对接力度，确保第一时间掌握上级政策变化和项目申报方向，全力争取更多资金和项目落地。</w:t>
      </w:r>
    </w:p>
    <w:p w14:paraId="5A2F47F3">
      <w:pPr>
        <w:widowControl/>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（二）优化支出结构，发挥资金使用效益。</w:t>
      </w:r>
      <w:r>
        <w:rPr>
          <w:rFonts w:hint="eastAsia" w:ascii="仿宋_GB2312" w:hAnsi="仿宋_GB2312" w:eastAsia="仿宋_GB2312" w:cs="仿宋_GB2312"/>
          <w:sz w:val="32"/>
          <w:szCs w:val="32"/>
        </w:rPr>
        <w:t>一是落实过“紧日子”要求。严格执行各项经费开支标准，厉行节约，进一步压缩一般性支出，降低行政运行成本。二是强化财政预算约束。从严从紧控制预算追加，从严压减非刚性、非重点项目支出，按轻重缓急统筹安排建设项目。三是切实保障重点支出。积极发挥财政资金的导向作用，集中财力优先保障“三保”支出、省市重点考核项目支出、区委区政府重大决策支出，确保财政资金用在全区经济社会发展的重要领域、关键环节。</w:t>
      </w:r>
    </w:p>
    <w:p w14:paraId="6B0572D2">
      <w:pPr>
        <w:widowControl/>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（三）树立底线思维，防范化解财政风险。</w:t>
      </w:r>
      <w:r>
        <w:rPr>
          <w:rFonts w:hint="eastAsia" w:ascii="仿宋_GB2312" w:hAnsi="仿宋_GB2312" w:eastAsia="仿宋_GB2312" w:cs="仿宋_GB2312"/>
          <w:sz w:val="32"/>
          <w:szCs w:val="32"/>
        </w:rPr>
        <w:t>一是切实防范“三保”风险。围绕教育、社会保障、乡村振兴等领域的突出问题,完善财政支持政策,提高财政保障水平,兜紧兜牢“三保”底线,严防财政运行风险。二是加强政府债务管理。完善政府债务动态监测和风险评估预警机制，规范举债行为，杜绝新增政府隐性债务，积极稳妥化解存量债务，确保政府债券资金使用高效、风险总体可控。三是防范资金安全风险。加大财会监督力度，聚焦财政专项资金分配使用、财经纪律重点问题整治、专项资金监管等重点领域和关键环节，扎实做好审计、巡视巡察查出问题整改，持续开展资金安全专项检查，确保财政资金安全规范运行。</w:t>
      </w:r>
    </w:p>
    <w:p w14:paraId="57442DEB">
      <w:pPr>
        <w:spacing w:line="560" w:lineRule="exact"/>
        <w:ind w:firstLine="643" w:firstLineChars="200"/>
      </w:pPr>
      <w:r>
        <w:rPr>
          <w:rFonts w:hint="eastAsia" w:ascii="楷体_GB2312" w:hAnsi="楷体_GB2312" w:eastAsia="楷体_GB2312" w:cs="楷体_GB2312"/>
          <w:b/>
          <w:bCs/>
          <w:sz w:val="32"/>
          <w:szCs w:val="32"/>
        </w:rPr>
        <w:t>（四）推进财政资源和预算统筹试点，助力财政节本增效。</w:t>
      </w:r>
      <w:r>
        <w:rPr>
          <w:rFonts w:hint="eastAsia" w:ascii="仿宋_GB2312" w:hAnsi="仿宋_GB2312" w:eastAsia="仿宋_GB2312" w:cs="仿宋_GB2312"/>
          <w:sz w:val="32"/>
          <w:szCs w:val="32"/>
        </w:rPr>
        <w:t>通过开展财政科学管理试点工作，以加强财政资源和预算统筹为抓手，全面推进财政管理系统化、精细化、标准化、法治化。一是强化收入统筹。通过加强税费协同共治，完善非税收入征管、加大收入统筹等方面强化政府全口径收支预算管理，最大限度增加财政收入来源。二是强化支出统筹。突出重点领域成本管控，建立重点保障事项清单，建立健全政府性投资项目链条管理，持续压减非重点非刚性支出，腾出更多资金用于发展所需、民生所盼。三是盘活国有“三资”。建立全口径“三资”台账，加大资金、资产、资源的盘活力度，相关收入依法纳入预算，统筹安排支出。四是加强预算统筹衔接。加强国有资本经营预算收入管理，持续做大做强国有企业，加大国有资本经营预算调入一般公共预算的力度，统筹用于保障和改善民生。</w:t>
      </w:r>
    </w:p>
    <w:sectPr>
      <w:footerReference r:id="rId3" w:type="default"/>
      <w:pgSz w:w="11905" w:h="16838" w:orient="landscape"/>
      <w:pgMar w:top="1440" w:right="1304" w:bottom="1304" w:left="1304" w:header="851" w:footer="992" w:gutter="0"/>
      <w:cols w:space="0" w:num="1"/>
      <w:docGrid w:type="lines" w:linePitch="41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B1A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0FDE2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0FDE2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A5C0C"/>
    <w:multiLevelType w:val="singleLevel"/>
    <w:tmpl w:val="B5AA5C0C"/>
    <w:lvl w:ilvl="0" w:tentative="0">
      <w:start w:val="1"/>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bookFoldPrinting w:val="1"/>
  <w:bookFoldPrintingSheets w:val="0"/>
  <w:drawingGridVerticalSpacing w:val="205"/>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4ZTQ0ZTBkYWY3YzAzODkwN2E2MGNlNzE4OGE1ZjUifQ=="/>
  </w:docVars>
  <w:rsids>
    <w:rsidRoot w:val="2F8F3C0F"/>
    <w:rsid w:val="0131073E"/>
    <w:rsid w:val="03C107D0"/>
    <w:rsid w:val="04F71ED5"/>
    <w:rsid w:val="05B01D99"/>
    <w:rsid w:val="061863AE"/>
    <w:rsid w:val="0A1F44BB"/>
    <w:rsid w:val="0C057362"/>
    <w:rsid w:val="0DD86620"/>
    <w:rsid w:val="0E7E5FC8"/>
    <w:rsid w:val="1512050B"/>
    <w:rsid w:val="17BE19D3"/>
    <w:rsid w:val="1C5012BE"/>
    <w:rsid w:val="1E7F010E"/>
    <w:rsid w:val="21B25253"/>
    <w:rsid w:val="21E32762"/>
    <w:rsid w:val="23812232"/>
    <w:rsid w:val="242C5169"/>
    <w:rsid w:val="28C405E0"/>
    <w:rsid w:val="2B984192"/>
    <w:rsid w:val="2CB74992"/>
    <w:rsid w:val="2F8F3C0F"/>
    <w:rsid w:val="337B0E24"/>
    <w:rsid w:val="33D96AB3"/>
    <w:rsid w:val="34B13B49"/>
    <w:rsid w:val="36B349A1"/>
    <w:rsid w:val="36F668C1"/>
    <w:rsid w:val="38196A86"/>
    <w:rsid w:val="39F31A7F"/>
    <w:rsid w:val="3D47355A"/>
    <w:rsid w:val="429B26CC"/>
    <w:rsid w:val="43AA1401"/>
    <w:rsid w:val="43AA5481"/>
    <w:rsid w:val="4BE96317"/>
    <w:rsid w:val="4C494D93"/>
    <w:rsid w:val="4DA71328"/>
    <w:rsid w:val="4EFC1B71"/>
    <w:rsid w:val="4F353A21"/>
    <w:rsid w:val="5361397A"/>
    <w:rsid w:val="54544279"/>
    <w:rsid w:val="548A43CD"/>
    <w:rsid w:val="55F36710"/>
    <w:rsid w:val="56DD5F72"/>
    <w:rsid w:val="58150BC0"/>
    <w:rsid w:val="59441031"/>
    <w:rsid w:val="5B4762E1"/>
    <w:rsid w:val="5D5C4198"/>
    <w:rsid w:val="5D664BCA"/>
    <w:rsid w:val="5DB237CB"/>
    <w:rsid w:val="6080356A"/>
    <w:rsid w:val="61477910"/>
    <w:rsid w:val="624547D8"/>
    <w:rsid w:val="64E221CB"/>
    <w:rsid w:val="653D6883"/>
    <w:rsid w:val="664C1DF6"/>
    <w:rsid w:val="66C8551C"/>
    <w:rsid w:val="67532252"/>
    <w:rsid w:val="68CD5D58"/>
    <w:rsid w:val="69AA4EE0"/>
    <w:rsid w:val="6A107439"/>
    <w:rsid w:val="6BE85984"/>
    <w:rsid w:val="6CC14A1B"/>
    <w:rsid w:val="6E2B21AC"/>
    <w:rsid w:val="6F2A2D4B"/>
    <w:rsid w:val="70A66401"/>
    <w:rsid w:val="73337CF4"/>
    <w:rsid w:val="766C6C6F"/>
    <w:rsid w:val="77A0505E"/>
    <w:rsid w:val="783373B4"/>
    <w:rsid w:val="79077C59"/>
    <w:rsid w:val="7A0D1584"/>
    <w:rsid w:val="7DF25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楷体_GB2312" w:hAnsi="宋体" w:eastAsia="楷体_GB2312" w:cs="Times New Roman"/>
      <w:kern w:val="2"/>
      <w:sz w:val="30"/>
      <w:szCs w:val="30"/>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630"/>
    </w:pPr>
    <w:rPr>
      <w:rFonts w:ascii="Times New Roman" w:hAnsi="Times New Roman" w:eastAsia="仿宋_GB2312"/>
      <w:sz w:val="32"/>
      <w:szCs w:val="20"/>
    </w:rPr>
  </w:style>
  <w:style w:type="paragraph" w:styleId="3">
    <w:name w:val="Body Text"/>
    <w:basedOn w:val="1"/>
    <w:qFormat/>
    <w:uiPriority w:val="99"/>
  </w:style>
  <w:style w:type="paragraph" w:styleId="4">
    <w:name w:val="footer"/>
    <w:basedOn w:val="1"/>
    <w:unhideWhenUsed/>
    <w:qFormat/>
    <w:uiPriority w:val="0"/>
    <w:pPr>
      <w:tabs>
        <w:tab w:val="center" w:pos="4153"/>
        <w:tab w:val="right" w:pos="8306"/>
      </w:tabs>
      <w:spacing w:line="240" w:lineRule="atLeast"/>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eastAsia="宋体" w:cs="宋体"/>
      <w:kern w:val="0"/>
      <w:sz w:val="24"/>
      <w:szCs w:val="24"/>
    </w:rPr>
  </w:style>
  <w:style w:type="character" w:styleId="9">
    <w:name w:val="Strong"/>
    <w:basedOn w:val="8"/>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7102</Words>
  <Characters>7803</Characters>
  <Lines>0</Lines>
  <Paragraphs>0</Paragraphs>
  <TotalTime>49</TotalTime>
  <ScaleCrop>false</ScaleCrop>
  <LinksUpToDate>false</LinksUpToDate>
  <CharactersWithSpaces>7834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2024-07-26T01:34:00Z</dcterms:created>
  <dc:creator>biu. biu. biu...</dc:creator>
  <cp:lastModifiedBy>晨橙chen</cp:lastModifiedBy>
  <cp:lastPrinted>2025-08-28T08:46:00Z</cp:lastPrinted>
  <dcterms:modified xsi:type="dcterms:W3CDTF">2025-09-19T09:10:36Z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B2F8F58B4BDB438D8D4C2509FE1DD694_13</vt:lpwstr>
  </property>
  <property fmtid="{D5CDD505-2E9C-101B-9397-08002B2CF9AE}" pid="4" name="KSOTemplateDocerSaveRecord">
    <vt:lpwstr>eyJoZGlkIjoiYjVhOWRhZGE1ZTZhODI1MWQxMWFmZTc3YTQ4ODViOGUiLCJ1c2VySWQiOiI2MzkyODg5NTAifQ==</vt:lpwstr>
  </property>
</Properties>
</file>