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7201B">
      <w:pPr>
        <w:spacing w:line="560" w:lineRule="exact"/>
        <w:jc w:val="center"/>
        <w:rPr>
          <w:rFonts w:ascii="宋体" w:hAnsi="宋体" w:eastAsia="宋体" w:cs="宋体"/>
          <w:b/>
          <w:sz w:val="44"/>
          <w:szCs w:val="44"/>
        </w:rPr>
      </w:pPr>
      <w:r>
        <w:rPr>
          <w:rFonts w:hint="eastAsia" w:ascii="宋体" w:hAnsi="宋体" w:eastAsia="宋体" w:cs="宋体"/>
          <w:b/>
          <w:sz w:val="44"/>
          <w:szCs w:val="44"/>
        </w:rPr>
        <w:t>八公山区民政局2022年工作总结以及2023年工作安排</w:t>
      </w:r>
    </w:p>
    <w:p w14:paraId="2F8F004C">
      <w:pPr>
        <w:spacing w:line="560" w:lineRule="exact"/>
        <w:rPr>
          <w:rFonts w:ascii="宋体" w:hAnsi="宋体" w:eastAsia="宋体" w:cs="宋体"/>
          <w:b/>
          <w:sz w:val="44"/>
          <w:szCs w:val="44"/>
        </w:rPr>
      </w:pPr>
    </w:p>
    <w:p w14:paraId="7A541325">
      <w:pPr>
        <w:spacing w:line="560" w:lineRule="exact"/>
        <w:rPr>
          <w:rFonts w:ascii="仿宋" w:hAnsi="仿宋" w:eastAsia="仿宋"/>
          <w:sz w:val="32"/>
          <w:szCs w:val="32"/>
        </w:rPr>
      </w:pPr>
      <w:r>
        <w:rPr>
          <w:rFonts w:hint="eastAsia" w:ascii="仿宋" w:hAnsi="仿宋" w:eastAsia="仿宋"/>
          <w:sz w:val="32"/>
          <w:szCs w:val="32"/>
        </w:rPr>
        <w:t>区政府：</w:t>
      </w:r>
    </w:p>
    <w:p w14:paraId="7D477ED1">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今年以来，全区民政工作在区委、区政府领导下，践行以人民为中心的发展思想，坚持稳中求进工作总基调，坚定不移全面从严治党，积极推进改革创新，不断加强基层基础建设，推动民政事业持续发展。</w:t>
      </w:r>
    </w:p>
    <w:p w14:paraId="4E88AEC4">
      <w:pPr>
        <w:spacing w:line="560" w:lineRule="exact"/>
        <w:ind w:firstLine="643" w:firstLineChars="200"/>
        <w:rPr>
          <w:rFonts w:ascii="宋体" w:hAnsi="宋体" w:eastAsia="宋体" w:cs="宋体"/>
          <w:b/>
          <w:bCs/>
          <w:color w:val="000000"/>
          <w:sz w:val="32"/>
          <w:szCs w:val="32"/>
          <w:shd w:val="clear" w:color="auto" w:fill="FFFFFF"/>
        </w:rPr>
      </w:pPr>
      <w:r>
        <w:rPr>
          <w:rFonts w:hint="eastAsia" w:ascii="宋体" w:hAnsi="宋体" w:eastAsia="宋体" w:cs="宋体"/>
          <w:b/>
          <w:bCs/>
          <w:sz w:val="32"/>
          <w:szCs w:val="32"/>
        </w:rPr>
        <w:t>一、2022年工作举措</w:t>
      </w:r>
    </w:p>
    <w:p w14:paraId="30F3097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bidi="ar"/>
        </w:rPr>
        <w:t>1</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1-12月共出动检查人次76次，检查养老机构103家次，发现隐患35处，已全部整改到位。我区公办养老机构在等级评定中八公山镇敬老院评为一星、山王镇养老服务中心评为三星。目前我区已经建成3个城市社区食堂，28个村社区助餐点，且全部投入运营。我区适老化改造任务30户，已全部改造完成。按照民生工程任务分解，2022年我区村级养老服务站改扩建任务5个，分别是山王镇张楼村、山王村、八公山镇朱岗村、杨家地村、钱湖村，目前已全部建设完成。智慧养老机构是福安老年公寓，目前已经建设完成。</w:t>
      </w:r>
    </w:p>
    <w:p w14:paraId="4D35C86E">
      <w:pPr>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lang w:bidi="ar"/>
        </w:rPr>
        <w:t xml:space="preserve">民生福祉方面。我区目前城市特困失能集中供养率60%，农村特困失能集中供养率60%，低收入人口动态监测平台数据比对和临时救助工作开展情况已经完成。 </w:t>
      </w:r>
    </w:p>
    <w:p w14:paraId="3469C89A">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3、困难群众救助方面</w:t>
      </w:r>
      <w:r>
        <w:rPr>
          <w:rFonts w:hint="eastAsia" w:ascii="仿宋_GB2312" w:hAnsi="仿宋_GB2312" w:eastAsia="仿宋_GB2312" w:cs="仿宋_GB2312"/>
          <w:kern w:val="0"/>
          <w:sz w:val="32"/>
          <w:szCs w:val="32"/>
          <w:lang w:bidi="ar"/>
        </w:rPr>
        <w:t>。社会救助方面：截至12月底，我区保障城乡低保保障32765人次，发放资金1884.2万元；保障特困人员1119人次，发放资金98.69万元；临时救助165人次，发放救助资金33.9976万元。</w:t>
      </w:r>
      <w:r>
        <w:rPr>
          <w:rFonts w:hint="eastAsia" w:ascii="仿宋_GB2312" w:hAnsi="仿宋_GB2312" w:eastAsia="仿宋_GB2312" w:cs="仿宋_GB2312"/>
          <w:color w:val="000000"/>
          <w:sz w:val="32"/>
          <w:szCs w:val="32"/>
          <w:shd w:val="clear" w:color="auto" w:fill="FFFFFF"/>
        </w:rPr>
        <w:t>困难残疾人生活补贴发放1092人，资金90.56万元，重度残疾人护理补贴发放1613人，资金135.77万元，高龄津贴发放5841人，资金204.89万元。</w:t>
      </w:r>
    </w:p>
    <w:p w14:paraId="557A4766">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抓好儿童福利保障工作。区民政局第一时间组织各镇街道对辖区儿童进行摸排，总计摸排农村留守儿童67名、孤儿12名、事实无人抚养的儿童21名已经进行了电话走访和防溺水宣传并及时动态纳入全国儿童福利系统。2022年全年，孤儿和事实无人抚养儿童生活补贴累计发放42万，助学金8万元。与农村留守儿童监护人签订委托监护责任确认书。各镇村与全区67名农村留守儿童监护人签订委托监护责任确认书，确保每一个农村留守儿童均有监护人。</w:t>
      </w:r>
    </w:p>
    <w:p w14:paraId="00E8A092">
      <w:pPr>
        <w:spacing w:line="560" w:lineRule="exact"/>
        <w:ind w:firstLine="640" w:firstLineChars="200"/>
      </w:pPr>
      <w:r>
        <w:rPr>
          <w:rFonts w:hint="eastAsia" w:ascii="仿宋_GB2312" w:hAnsi="仿宋_GB2312" w:eastAsia="仿宋_GB2312" w:cs="仿宋_GB2312"/>
          <w:sz w:val="32"/>
          <w:szCs w:val="32"/>
        </w:rPr>
        <w:t>5、其他民政业务方面。完成本地2022年度社会救助提标工作。积极做好生活无着的流浪乞讨人员专项救助行动。山王镇农村公益性公墓已完成规划点位，目前已安葬墓穴（格位）数54个，公墓服务设施建筑面积为780㎡，一期墓碑546个已建设完成。我区已在八月底完成了婚姻登记历史档案排查工作70%的序时进度，已经提前完成工作进度。我区组建社区社会组织目标任务315家，目前已经完成备案285家，完成率90.48%。2022年度城市社区两委社工证报名考试60人，通过13人。</w:t>
      </w:r>
    </w:p>
    <w:p w14:paraId="613E6557">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二、成效亮点</w:t>
      </w:r>
    </w:p>
    <w:p w14:paraId="2D91172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1、老年助餐服务。今年我区建设任务是3个社区食堂，28个村社区助餐点。截至目前，已经全部建设完成，并已投入运营。</w:t>
      </w:r>
    </w:p>
    <w:p w14:paraId="01AD5B4E">
      <w:pPr>
        <w:spacing w:line="560" w:lineRule="exact"/>
        <w:ind w:firstLine="640" w:firstLineChars="200"/>
      </w:pPr>
      <w:r>
        <w:rPr>
          <w:rFonts w:hint="eastAsia" w:ascii="仿宋_GB2312" w:hAnsi="仿宋_GB2312" w:eastAsia="仿宋_GB2312" w:cs="仿宋_GB2312"/>
          <w:sz w:val="32"/>
          <w:szCs w:val="32"/>
        </w:rPr>
        <w:t>2、养老服务和智慧养老。我区适老化改造任务30户，已全部改造完成。按照民生工程任务分解，2022年我区村级养老服务站改扩建任务5个，分别是山王镇张楼村、山王村、八公山镇朱岗村、杨家地村、钱湖村，目前已全部建设完成。智慧养老机构是福安老年公寓，目前已经建设完成。</w:t>
      </w:r>
    </w:p>
    <w:p w14:paraId="0F7CBB7A">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三、存在的问题</w:t>
      </w:r>
    </w:p>
    <w:p w14:paraId="4370CF6D">
      <w:pPr>
        <w:spacing w:line="560" w:lineRule="exact"/>
        <w:ind w:firstLine="640" w:firstLineChars="200"/>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sz w:val="32"/>
          <w:szCs w:val="32"/>
        </w:rPr>
        <w:t>1、社会救助政策宣传不到位。低保、临时救助、特困供养等民生保障兜底政策宣传力度不够，形式不够多样，群众知晓率不高，答疑解惑的渠道不够广泛。城乡低保、特困人员年度动态审核还需进一步加强对申请救助家庭经济状况核对工作；由于基层力量薄弱，未能做到全面摸排存在有困难的家庭，监督指导镇街道力度有所欠缺。</w:t>
      </w:r>
    </w:p>
    <w:p w14:paraId="725D04CD">
      <w:pPr>
        <w:spacing w:line="560" w:lineRule="exact"/>
        <w:ind w:firstLine="640" w:firstLineChars="200"/>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sz w:val="32"/>
          <w:szCs w:val="32"/>
        </w:rPr>
        <w:t>2、老年助餐</w:t>
      </w:r>
      <w:r>
        <w:rPr>
          <w:rFonts w:hint="eastAsia" w:ascii="仿宋_GB2312" w:hAnsi="仿宋_GB2312" w:eastAsia="仿宋_GB2312" w:cs="仿宋_GB2312"/>
          <w:color w:val="222222"/>
          <w:sz w:val="32"/>
          <w:szCs w:val="32"/>
          <w:shd w:val="clear" w:color="auto" w:fill="FFFFFF"/>
        </w:rPr>
        <w:t>目前主要问题集中在可持续发展方面。因老年人用餐时间长，翻台速度慢，较普通快餐企业场地成本间接变高；老年餐要求优质、软烂的特性，减小了出菜量，提高了原材料成本，同时也加大了企业的气、电等运营成本成本。就餐人数偏少，消费能力不足，存在运营成本与服务体量不足的矛盾。</w:t>
      </w:r>
    </w:p>
    <w:p w14:paraId="26ED7280">
      <w:pPr>
        <w:spacing w:line="560" w:lineRule="exact"/>
        <w:ind w:firstLine="640" w:firstLineChars="200"/>
        <w:textAlignment w:val="baseline"/>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3、养老机构疫情防控和安全生产日常工作还需进一步加强落实。</w:t>
      </w:r>
    </w:p>
    <w:p w14:paraId="3EA2E70C">
      <w:pPr>
        <w:spacing w:line="560" w:lineRule="exact"/>
        <w:ind w:firstLine="640" w:firstLineChars="200"/>
        <w:textAlignment w:val="baseline"/>
      </w:pPr>
      <w:r>
        <w:rPr>
          <w:rFonts w:hint="eastAsia" w:ascii="仿宋_GB2312" w:hAnsi="仿宋_GB2312" w:eastAsia="仿宋_GB2312" w:cs="仿宋_GB2312"/>
          <w:color w:val="222222"/>
          <w:sz w:val="32"/>
          <w:szCs w:val="32"/>
          <w:shd w:val="clear" w:color="auto" w:fill="FFFFFF"/>
        </w:rPr>
        <w:t>4、</w:t>
      </w:r>
      <w:r>
        <w:rPr>
          <w:rFonts w:hint="eastAsia" w:ascii="仿宋_GB2312" w:hAnsi="仿宋_GB2312" w:eastAsia="仿宋_GB2312" w:cs="仿宋_GB2312"/>
          <w:color w:val="000000" w:themeColor="text1"/>
          <w:sz w:val="32"/>
          <w:szCs w:val="32"/>
        </w:rPr>
        <w:t>2021年村（居）“两委”换届之后，由于很多是新进人员，业务水平有所不足，目前组织部门已经完成对新进村（居）“两委”人员培训工作。我区城市社区专职工作者拥有社工证人员30余名，占比五分之一，专业化还有待提高。</w:t>
      </w:r>
    </w:p>
    <w:p w14:paraId="086389B3">
      <w:pPr>
        <w:spacing w:line="560" w:lineRule="exact"/>
        <w:ind w:firstLine="643" w:firstLineChars="200"/>
        <w:rPr>
          <w:rFonts w:ascii="宋体" w:hAnsi="宋体" w:eastAsia="宋体" w:cs="宋体"/>
          <w:b/>
          <w:bCs/>
          <w:sz w:val="32"/>
          <w:szCs w:val="32"/>
        </w:rPr>
      </w:pPr>
      <w:r>
        <w:rPr>
          <w:rFonts w:hint="eastAsia" w:ascii="宋体" w:hAnsi="宋体" w:eastAsia="宋体" w:cs="宋体"/>
          <w:b/>
          <w:bCs/>
          <w:sz w:val="32"/>
          <w:szCs w:val="32"/>
        </w:rPr>
        <w:t>四、2023年工作计划</w:t>
      </w:r>
    </w:p>
    <w:p w14:paraId="4D71C948">
      <w:pPr>
        <w:spacing w:line="560" w:lineRule="exact"/>
        <w:ind w:firstLine="640" w:firstLineChars="200"/>
        <w:rPr>
          <w:rFonts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1、做好社会救助各项工作。</w:t>
      </w:r>
      <w:r>
        <w:rPr>
          <w:rFonts w:ascii="仿宋_GB2312" w:hAnsi="宋体" w:eastAsia="仿宋_GB2312" w:cs="仿宋_GB2312"/>
          <w:color w:val="333333"/>
          <w:sz w:val="32"/>
          <w:szCs w:val="32"/>
          <w:shd w:val="clear" w:color="auto" w:fill="FFFFFF"/>
        </w:rPr>
        <w:t>充分利用</w:t>
      </w:r>
      <w:r>
        <w:rPr>
          <w:rFonts w:hint="eastAsia" w:ascii="仿宋_GB2312" w:hAnsi="宋体" w:eastAsia="仿宋_GB2312" w:cs="仿宋_GB2312"/>
          <w:color w:val="333333"/>
          <w:sz w:val="32"/>
          <w:szCs w:val="32"/>
          <w:shd w:val="clear" w:color="auto" w:fill="FFFFFF"/>
        </w:rPr>
        <w:t>镇街道</w:t>
      </w:r>
      <w:r>
        <w:rPr>
          <w:rFonts w:ascii="仿宋_GB2312" w:hAnsi="宋体" w:eastAsia="仿宋_GB2312" w:cs="仿宋_GB2312"/>
          <w:color w:val="333333"/>
          <w:sz w:val="32"/>
          <w:szCs w:val="32"/>
          <w:shd w:val="clear" w:color="auto" w:fill="FFFFFF"/>
        </w:rPr>
        <w:t>及村（居）务公开栏、宣传栏、发放明白纸等多种形式，大力宣传各项社会救助</w:t>
      </w:r>
      <w:r>
        <w:rPr>
          <w:rFonts w:hint="eastAsia" w:ascii="仿宋_GB2312" w:hAnsi="宋体" w:eastAsia="仿宋_GB2312" w:cs="仿宋_GB2312"/>
          <w:color w:val="333333"/>
          <w:sz w:val="32"/>
          <w:szCs w:val="32"/>
          <w:shd w:val="clear" w:color="auto" w:fill="FFFFFF"/>
        </w:rPr>
        <w:t>、突发事件救助</w:t>
      </w:r>
      <w:r>
        <w:rPr>
          <w:rFonts w:ascii="仿宋_GB2312" w:hAnsi="宋体" w:eastAsia="仿宋_GB2312" w:cs="仿宋_GB2312"/>
          <w:color w:val="333333"/>
          <w:sz w:val="32"/>
          <w:szCs w:val="32"/>
          <w:shd w:val="clear" w:color="auto" w:fill="FFFFFF"/>
        </w:rPr>
        <w:t>及兜底</w:t>
      </w:r>
      <w:r>
        <w:rPr>
          <w:rFonts w:hint="eastAsia" w:ascii="仿宋_GB2312" w:hAnsi="宋体" w:eastAsia="仿宋_GB2312" w:cs="仿宋_GB2312"/>
          <w:color w:val="333333"/>
          <w:sz w:val="32"/>
          <w:szCs w:val="32"/>
          <w:shd w:val="clear" w:color="auto" w:fill="FFFFFF"/>
        </w:rPr>
        <w:t>保障</w:t>
      </w:r>
      <w:r>
        <w:rPr>
          <w:rFonts w:ascii="仿宋_GB2312" w:hAnsi="宋体" w:eastAsia="仿宋_GB2312" w:cs="仿宋_GB2312"/>
          <w:color w:val="333333"/>
          <w:sz w:val="32"/>
          <w:szCs w:val="32"/>
          <w:shd w:val="clear" w:color="auto" w:fill="FFFFFF"/>
        </w:rPr>
        <w:t>政策。利用集</w:t>
      </w:r>
      <w:r>
        <w:rPr>
          <w:rFonts w:hint="eastAsia" w:ascii="仿宋_GB2312" w:hAnsi="宋体" w:eastAsia="仿宋_GB2312" w:cs="仿宋_GB2312"/>
          <w:color w:val="333333"/>
          <w:sz w:val="32"/>
          <w:szCs w:val="32"/>
          <w:shd w:val="clear" w:color="auto" w:fill="FFFFFF"/>
        </w:rPr>
        <w:t>贸市场、休闲广场等地</w:t>
      </w:r>
      <w:r>
        <w:rPr>
          <w:rFonts w:ascii="仿宋_GB2312" w:hAnsi="宋体" w:eastAsia="仿宋_GB2312" w:cs="仿宋_GB2312"/>
          <w:color w:val="333333"/>
          <w:sz w:val="32"/>
          <w:szCs w:val="32"/>
          <w:shd w:val="clear" w:color="auto" w:fill="FFFFFF"/>
        </w:rPr>
        <w:t>发放宣传资料，使广大群众和社会救助对象了解政策、掌握政策、理解政策，做到应保尽保、应退尽退。</w:t>
      </w:r>
      <w:r>
        <w:rPr>
          <w:rFonts w:hint="eastAsia" w:ascii="仿宋_GB2312" w:hAnsi="仿宋_GB2312" w:eastAsia="仿宋_GB2312" w:cs="仿宋_GB2312"/>
          <w:sz w:val="32"/>
          <w:szCs w:val="32"/>
        </w:rPr>
        <w:t>严格按照入户调查和家庭收入财产核查结果及最低生活保障工作操作规程中关于分类施保的条款划分人员类别，精准施保。定期对安徽省低保系统进行筛查核实，及时规范更新相关数据，对有疑议的要及时进行调查核实处理，杜绝“错保、漏保”现象。进一步加强对基层民政工作人员业务能力的提高。</w:t>
      </w:r>
    </w:p>
    <w:p w14:paraId="1587BBEB">
      <w:pPr>
        <w:spacing w:line="560" w:lineRule="exact"/>
        <w:ind w:firstLine="640" w:firstLineChars="200"/>
        <w:rPr>
          <w:rFonts w:ascii="仿宋_GB2312" w:hAnsi="仿宋_GB2312" w:eastAsia="仿宋_GB2312" w:cs="仿宋_GB2312"/>
          <w:spacing w:val="15"/>
          <w:sz w:val="32"/>
          <w:szCs w:val="32"/>
          <w:shd w:val="clear" w:color="auto" w:fill="FFFFFF"/>
        </w:rPr>
      </w:pPr>
      <w:r>
        <w:rPr>
          <w:rFonts w:hint="eastAsia" w:ascii="仿宋_GB2312" w:hAnsi="仿宋_GB2312" w:eastAsia="仿宋_GB2312" w:cs="仿宋_GB2312"/>
          <w:sz w:val="32"/>
          <w:szCs w:val="32"/>
        </w:rPr>
        <w:t>2、做好老年助餐各项工作。一是</w:t>
      </w:r>
      <w:r>
        <w:rPr>
          <w:rFonts w:hint="eastAsia" w:ascii="仿宋_GB2312" w:hAnsi="仿宋_GB2312" w:eastAsia="仿宋_GB2312" w:cs="仿宋_GB2312"/>
          <w:sz w:val="32"/>
          <w:szCs w:val="32"/>
          <w:shd w:val="clear" w:color="auto" w:fill="FFFFFF"/>
        </w:rPr>
        <w:t>强化政策指导，推动我区社区食堂老年助餐点社会化良性运营，做好这一惠民生、暖民心工程，让老年人吃得好、吃的满意、吃的安全。</w:t>
      </w:r>
      <w:r>
        <w:rPr>
          <w:rFonts w:hint="eastAsia" w:ascii="仿宋_GB2312" w:hAnsi="仿宋_GB2312" w:eastAsia="仿宋_GB2312" w:cs="仿宋_GB2312"/>
          <w:sz w:val="32"/>
          <w:szCs w:val="32"/>
        </w:rPr>
        <w:t>二是</w:t>
      </w:r>
      <w:r>
        <w:rPr>
          <w:rFonts w:hint="eastAsia" w:ascii="仿宋_GB2312" w:hAnsi="仿宋_GB2312" w:eastAsia="仿宋_GB2312" w:cs="仿宋_GB2312"/>
          <w:sz w:val="32"/>
          <w:szCs w:val="32"/>
          <w:shd w:val="clear" w:color="auto" w:fill="FFFFFF"/>
        </w:rPr>
        <w:t>立足实际，全覆盖开展助餐服务，全面建成覆盖城乡、布局均衡、方便可及、服务规范、安全有序、多元主体参与的老年助餐服务网络，老年人助餐服务需求得到有效满足，获得感更强。三是拓宽送餐服务，按照多样化、个性化、体系化服务要求，通过招募志愿者、链接跑腿公司等渠道为腿脚不便的老年人提供送餐上门服务，</w:t>
      </w:r>
      <w:r>
        <w:rPr>
          <w:rFonts w:hint="eastAsia" w:ascii="仿宋_GB2312" w:hAnsi="仿宋_GB2312" w:eastAsia="仿宋_GB2312" w:cs="仿宋_GB2312"/>
          <w:spacing w:val="15"/>
          <w:sz w:val="32"/>
          <w:szCs w:val="32"/>
          <w:shd w:val="clear" w:color="auto" w:fill="FFFFFF"/>
        </w:rPr>
        <w:t>切实解决老年人“做饭难”的问题，守护老年人“舌尖上的幸福”</w:t>
      </w:r>
    </w:p>
    <w:p w14:paraId="53295C19">
      <w:pPr>
        <w:spacing w:line="560" w:lineRule="exact"/>
        <w:ind w:firstLine="70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pacing w:val="15"/>
          <w:sz w:val="32"/>
          <w:szCs w:val="32"/>
          <w:shd w:val="clear" w:color="auto" w:fill="FFFFFF"/>
        </w:rPr>
        <w:t>3、做好养老机构日常安全检查和疫情防控工作</w:t>
      </w:r>
      <w:r>
        <w:rPr>
          <w:rFonts w:hint="eastAsia" w:ascii="仿宋_GB2312" w:hAnsi="仿宋_GB2312" w:eastAsia="仿宋_GB2312" w:cs="仿宋_GB2312"/>
          <w:sz w:val="32"/>
          <w:szCs w:val="32"/>
          <w:shd w:val="clear" w:color="auto" w:fill="FFFFFF"/>
        </w:rPr>
        <w:t>。养老机构继续做好疫情防控常态化工作，每日两次入住老人体温测量和院内消毒并记录。探视实行预约制度，入院前提供48小时阴性核酸检测报告，并扫安康码、行程码绿码后入院。</w:t>
      </w:r>
    </w:p>
    <w:p w14:paraId="172B1E5B">
      <w:pPr>
        <w:pStyle w:val="20"/>
        <w:spacing w:after="0" w:line="560" w:lineRule="exact"/>
        <w:ind w:left="0" w:leftChars="0"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4、加强困境、留守儿童关爱服务工作。一是完善保障制度。对区未保委五大文件加强各部门责任落实。二是继续抓好落实监护责任。确保每一个农村留守儿童均有监护人，坚决杜绝无人监护现象。</w:t>
      </w:r>
    </w:p>
    <w:p w14:paraId="2A648FD6">
      <w:pPr>
        <w:spacing w:line="560" w:lineRule="exact"/>
        <w:ind w:firstLine="640" w:firstLineChars="200"/>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rPr>
        <w:t>5、做好基层政权各项工作。一是加强对社区工作者的培训力度，不断提高和完善工作能力。做好2023年度社工证组织和培训工作。二是贯彻落实村（居）工作事项准入。积极落实《关于加强和完善社区工作事项准入制度的实施方案》（淮社[2021]1号）等文件精神，明确社区权责范围，对11条社区依法履职清单和32条社区协</w:t>
      </w:r>
      <w:r>
        <w:rPr>
          <w:rFonts w:hint="eastAsia" w:ascii="仿宋" w:hAnsi="仿宋" w:eastAsia="仿宋"/>
          <w:sz w:val="32"/>
          <w:szCs w:val="32"/>
        </w:rPr>
        <w:t>助政府工作事项清单进行梳理。整合村（社区）综合资源，全力推进社工站平台建设，促进基层减负。</w:t>
      </w:r>
    </w:p>
    <w:p w14:paraId="5DD912FB">
      <w:pPr>
        <w:spacing w:line="560" w:lineRule="exac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bCs/>
          <w:color w:val="000000"/>
          <w:sz w:val="32"/>
          <w:szCs w:val="32"/>
          <w:shd w:val="clear" w:color="auto" w:fill="FFFFFF"/>
        </w:rPr>
        <w:t xml:space="preserve"> </w:t>
      </w:r>
      <w:r>
        <w:rPr>
          <w:rFonts w:hint="eastAsia" w:ascii="宋体" w:hAnsi="宋体" w:eastAsia="宋体" w:cs="宋体"/>
          <w:b/>
          <w:bCs/>
          <w:sz w:val="32"/>
          <w:szCs w:val="32"/>
        </w:rPr>
        <w:t>五、加强政府自身建设</w:t>
      </w:r>
    </w:p>
    <w:p w14:paraId="54293EF2">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一是加强党的建设。坚持以党建为统领，做好新时代的各项民政工作。持续推进全面从严治党，增强“</w:t>
      </w:r>
      <w:bookmarkStart w:id="0" w:name="_GoBack"/>
      <w:bookmarkEnd w:id="0"/>
      <w:r>
        <w:rPr>
          <w:rFonts w:hint="eastAsia" w:ascii="仿宋_GB2312" w:hAnsi="仿宋_GB2312" w:eastAsia="仿宋_GB2312" w:cs="仿宋_GB2312"/>
          <w:sz w:val="32"/>
          <w:szCs w:val="32"/>
          <w:shd w:val="clear" w:color="auto" w:fill="FFFFFF"/>
        </w:rPr>
        <w:t>四个意识”</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坚定“四个自信”，坚决做到“两个维护”。教育引导民政干部牢记党的宗旨，坚守理想信念，始终坚定“民政为民、民政爱民”工作理念。</w:t>
      </w:r>
    </w:p>
    <w:p w14:paraId="1C73EEF7">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是加强基层民政建设。民政工作关系民生、连着民心，其工作性质和特点决定了我们的服务对象在基层，工作重心在基层，政策落实在基层，抓好基层民政工作至关重要。坚持夯实基层基础，配齐配强基层民政干部队伍，加快补齐基层设施短板，着力提升基层民政服务能力。紧紧围绕社会治理发挥社区专职工作者作用，壮大民政工作力量。</w:t>
      </w:r>
    </w:p>
    <w:p w14:paraId="09764589">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是加强民政自身建设。以打造群众满意的服务机关为重点，从最困难的群众入手，从最突出的问题着眼，全力打通堵点、疏通痛点、消除肓点，打造“审批事项少、办事效率高、服务质量优、群众获得感强”的民生服务环境。持续强化民政机关基础工作，推进法治化、信息化、标准化建设，防范化解重大风险，推动民政工作不断开创新局面、迈上新台阶。</w:t>
      </w:r>
    </w:p>
    <w:p w14:paraId="401A8484">
      <w:pPr>
        <w:pStyle w:val="2"/>
      </w:pPr>
    </w:p>
    <w:p w14:paraId="49E0E8A0">
      <w:pPr>
        <w:spacing w:line="560" w:lineRule="exact"/>
        <w:ind w:firstLine="640" w:firstLineChars="200"/>
        <w:jc w:val="right"/>
        <w:rPr>
          <w:rFonts w:ascii="仿宋_GB2312" w:hAnsi="仿宋_GB2312" w:eastAsia="仿宋_GB2312" w:cs="仿宋_GB2312"/>
          <w:sz w:val="32"/>
          <w:szCs w:val="32"/>
        </w:rPr>
      </w:pPr>
    </w:p>
    <w:p w14:paraId="4E9973FA">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八公山区民政局</w:t>
      </w:r>
    </w:p>
    <w:p w14:paraId="20DA08C7">
      <w:pPr>
        <w:spacing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MingLiUfalt">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MzRmZmQzMTMxZGQ3ZDdjZDg2YmQxNTNmMWU3MTEifQ=="/>
  </w:docVars>
  <w:rsids>
    <w:rsidRoot w:val="00DB69D8"/>
    <w:rsid w:val="00027C81"/>
    <w:rsid w:val="000D1106"/>
    <w:rsid w:val="004C0F81"/>
    <w:rsid w:val="005661C5"/>
    <w:rsid w:val="00611976"/>
    <w:rsid w:val="006D1674"/>
    <w:rsid w:val="008D1386"/>
    <w:rsid w:val="00906FD2"/>
    <w:rsid w:val="00AC5D7D"/>
    <w:rsid w:val="00C34D65"/>
    <w:rsid w:val="00DB69D8"/>
    <w:rsid w:val="00DF20A6"/>
    <w:rsid w:val="00EA695C"/>
    <w:rsid w:val="00FA27FE"/>
    <w:rsid w:val="051536FE"/>
    <w:rsid w:val="0A3825F0"/>
    <w:rsid w:val="0A3E5678"/>
    <w:rsid w:val="0C896F2A"/>
    <w:rsid w:val="0EC76DAF"/>
    <w:rsid w:val="13381C9B"/>
    <w:rsid w:val="13B56B8D"/>
    <w:rsid w:val="15A66A8B"/>
    <w:rsid w:val="1A867EBD"/>
    <w:rsid w:val="1F5159D3"/>
    <w:rsid w:val="210700D1"/>
    <w:rsid w:val="220972CA"/>
    <w:rsid w:val="22200384"/>
    <w:rsid w:val="22C53A49"/>
    <w:rsid w:val="28DB36B2"/>
    <w:rsid w:val="2AA16C23"/>
    <w:rsid w:val="33F86C4E"/>
    <w:rsid w:val="350242E5"/>
    <w:rsid w:val="358256FB"/>
    <w:rsid w:val="36A177AF"/>
    <w:rsid w:val="36E96CB8"/>
    <w:rsid w:val="38F76875"/>
    <w:rsid w:val="3AD60E33"/>
    <w:rsid w:val="3E90467D"/>
    <w:rsid w:val="42990B8F"/>
    <w:rsid w:val="4334679A"/>
    <w:rsid w:val="44AF25A0"/>
    <w:rsid w:val="47F41FF6"/>
    <w:rsid w:val="4B3E4C93"/>
    <w:rsid w:val="4CA97E4E"/>
    <w:rsid w:val="4D1037CE"/>
    <w:rsid w:val="4ED771FE"/>
    <w:rsid w:val="53EF2009"/>
    <w:rsid w:val="54B241D7"/>
    <w:rsid w:val="57417A55"/>
    <w:rsid w:val="578A7A36"/>
    <w:rsid w:val="578D2E59"/>
    <w:rsid w:val="5FB66778"/>
    <w:rsid w:val="65F81F51"/>
    <w:rsid w:val="6776082F"/>
    <w:rsid w:val="71516276"/>
    <w:rsid w:val="71AF64C3"/>
    <w:rsid w:val="7404488A"/>
    <w:rsid w:val="7D5E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Body Text Indent 21"/>
    <w:basedOn w:val="1"/>
    <w:qFormat/>
    <w:uiPriority w:val="0"/>
    <w:pPr>
      <w:spacing w:after="120" w:line="480" w:lineRule="auto"/>
      <w:ind w:left="420" w:leftChars="200"/>
    </w:pPr>
  </w:style>
  <w:style w:type="paragraph" w:styleId="3">
    <w:name w:val="Body Text"/>
    <w:basedOn w:val="1"/>
    <w:next w:val="4"/>
    <w:qFormat/>
    <w:uiPriority w:val="1"/>
    <w:pPr>
      <w:ind w:left="280"/>
    </w:pPr>
    <w:rPr>
      <w:rFonts w:ascii="宋体" w:hAnsi="宋体" w:eastAsia="宋体" w:cs="宋体"/>
      <w:sz w:val="28"/>
      <w:szCs w:val="28"/>
    </w:rPr>
  </w:style>
  <w:style w:type="paragraph" w:styleId="4">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5">
    <w:name w:val="Body Text Indent"/>
    <w:basedOn w:val="1"/>
    <w:next w:val="6"/>
    <w:qFormat/>
    <w:uiPriority w:val="99"/>
    <w:pPr>
      <w:ind w:firstLine="660"/>
    </w:pPr>
    <w:rPr>
      <w:rFonts w:ascii="宋体" w:hAnsi="宋体"/>
      <w:color w:val="000000"/>
      <w:sz w:val="24"/>
      <w:szCs w:val="20"/>
    </w:rPr>
  </w:style>
  <w:style w:type="paragraph" w:styleId="6">
    <w:name w:val="envelope return"/>
    <w:basedOn w:val="1"/>
    <w:qFormat/>
    <w:uiPriority w:val="0"/>
    <w:pPr>
      <w:snapToGrid w:val="0"/>
    </w:pPr>
    <w:rPr>
      <w:rFonts w:ascii="Arial" w:hAnsi="Arial"/>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rFonts w:ascii="Calibri" w:hAnsi="Calibri" w:eastAsia="宋体" w:cs="Times New Roman"/>
      <w:kern w:val="0"/>
      <w:sz w:val="24"/>
    </w:rPr>
  </w:style>
  <w:style w:type="paragraph" w:styleId="10">
    <w:name w:val="Body Text First Indent"/>
    <w:basedOn w:val="3"/>
    <w:next w:val="1"/>
    <w:qFormat/>
    <w:uiPriority w:val="0"/>
    <w:pPr>
      <w:autoSpaceDE w:val="0"/>
      <w:autoSpaceDN w:val="0"/>
      <w:adjustRightInd w:val="0"/>
      <w:spacing w:before="154" w:line="360" w:lineRule="auto"/>
      <w:ind w:left="102" w:right="-10" w:rightChars="-10" w:firstLine="425" w:firstLineChars="225"/>
    </w:pPr>
    <w:rPr>
      <w:rFonts w:ascii="Arial" w:hAnsi="Arial" w:eastAsia="仿宋_GB2312" w:cs="Arial"/>
      <w:sz w:val="24"/>
      <w:szCs w:val="24"/>
    </w:rPr>
  </w:style>
  <w:style w:type="paragraph" w:styleId="11">
    <w:name w:val="Body Text First Indent 2"/>
    <w:basedOn w:val="5"/>
    <w:next w:val="10"/>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paragraph" w:customStyle="1" w:styleId="17">
    <w:name w:val="正文缩进1"/>
    <w:basedOn w:val="1"/>
    <w:qFormat/>
    <w:uiPriority w:val="0"/>
    <w:pPr>
      <w:ind w:firstLine="420" w:firstLineChars="200"/>
    </w:pPr>
  </w:style>
  <w:style w:type="character" w:customStyle="1" w:styleId="18">
    <w:name w:val="页眉 Char"/>
    <w:basedOn w:val="14"/>
    <w:link w:val="8"/>
    <w:qFormat/>
    <w:uiPriority w:val="0"/>
    <w:rPr>
      <w:rFonts w:asciiTheme="minorHAnsi" w:hAnsiTheme="minorHAnsi" w:eastAsiaTheme="minorEastAsia" w:cstheme="minorBidi"/>
      <w:kern w:val="2"/>
      <w:sz w:val="18"/>
      <w:szCs w:val="18"/>
    </w:rPr>
  </w:style>
  <w:style w:type="character" w:customStyle="1" w:styleId="19">
    <w:name w:val="页脚 Char"/>
    <w:basedOn w:val="14"/>
    <w:link w:val="7"/>
    <w:qFormat/>
    <w:uiPriority w:val="0"/>
    <w:rPr>
      <w:rFonts w:asciiTheme="minorHAnsi" w:hAnsiTheme="minorHAnsi" w:eastAsiaTheme="minorEastAsia" w:cstheme="minorBidi"/>
      <w:kern w:val="2"/>
      <w:sz w:val="18"/>
      <w:szCs w:val="18"/>
    </w:rPr>
  </w:style>
  <w:style w:type="paragraph" w:customStyle="1" w:styleId="20">
    <w:name w:val="BodyTextIndent2"/>
    <w:basedOn w:val="1"/>
    <w:qFormat/>
    <w:uiPriority w:val="0"/>
    <w:pPr>
      <w:spacing w:after="120" w:line="480" w:lineRule="auto"/>
      <w:ind w:left="420" w:leftChars="200"/>
      <w:textAlignment w:val="baseline"/>
    </w:pPr>
    <w:rPr>
      <w:rFonts w:ascii="Times New Roman" w:hAnsi="Times New Roman"/>
      <w:szCs w:val="22"/>
    </w:rPr>
  </w:style>
  <w:style w:type="paragraph" w:customStyle="1" w:styleId="21">
    <w:name w:val="正文文本 (2)1"/>
    <w:basedOn w:val="1"/>
    <w:qFormat/>
    <w:uiPriority w:val="99"/>
    <w:pPr>
      <w:shd w:val="clear" w:color="auto" w:fill="FFFFFF"/>
      <w:spacing w:before="540" w:after="1080" w:line="240" w:lineRule="atLeast"/>
      <w:ind w:hanging="480"/>
      <w:jc w:val="center"/>
    </w:pPr>
    <w:rPr>
      <w:rFonts w:ascii="MingLiUfalt" w:hAnsi="MingLiUfalt" w:eastAsia="MingLiUfalt" w:cs="MingLiUfalt"/>
      <w:spacing w:val="20"/>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6</Pages>
  <Words>2908</Words>
  <Characters>3042</Characters>
  <Lines>21</Lines>
  <Paragraphs>6</Paragraphs>
  <TotalTime>5</TotalTime>
  <ScaleCrop>false</ScaleCrop>
  <LinksUpToDate>false</LinksUpToDate>
  <CharactersWithSpaces>3046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九卿</cp:lastModifiedBy>
  <cp:lastPrinted>2022-11-08T06:16:00Z</cp:lastPrinted>
  <dcterms:modified xsi:type="dcterms:W3CDTF">2025-10-17T07:37:05Z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CEC98283B8B64F77ABC4777D3C1D7BD2_13</vt:lpwstr>
  </property>
  <property fmtid="{D5CDD505-2E9C-101B-9397-08002B2CF9AE}" pid="4" name="KSOTemplateDocerSaveRecord">
    <vt:lpwstr>eyJoZGlkIjoiZTZhNTFjMmM2YTg4MGZjZmE0YmZjODkyNzYwYTljYzgiLCJ1c2VySWQiOiIzMDM2MzYwNjMifQ==</vt:lpwstr>
  </property>
</Properties>
</file>