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A1FB3">
      <w:pPr>
        <w:spacing w:line="560" w:lineRule="exact"/>
        <w:rPr>
          <w:rFonts w:ascii="宋体" w:hAnsi="宋体" w:cs="宋体"/>
          <w:b/>
          <w:color w:val="000000"/>
          <w:spacing w:val="-32"/>
          <w:kern w:val="0"/>
          <w:sz w:val="44"/>
          <w:szCs w:val="44"/>
        </w:rPr>
      </w:pPr>
      <w:bookmarkStart w:id="0" w:name="_Hlk62656577"/>
    </w:p>
    <w:p w14:paraId="09335A31">
      <w:pPr>
        <w:spacing w:line="560" w:lineRule="exact"/>
        <w:rPr>
          <w:rFonts w:hint="eastAsia" w:ascii="宋体" w:hAnsi="宋体" w:cs="宋体"/>
          <w:b/>
          <w:color w:val="000000"/>
          <w:spacing w:val="-32"/>
          <w:kern w:val="0"/>
          <w:sz w:val="44"/>
          <w:szCs w:val="44"/>
        </w:rPr>
      </w:pPr>
    </w:p>
    <w:p w14:paraId="565A0EFB">
      <w:pPr>
        <w:spacing w:line="560" w:lineRule="exact"/>
        <w:rPr>
          <w:rFonts w:hint="eastAsia" w:ascii="宋体" w:hAnsi="宋体" w:cs="宋体"/>
          <w:b/>
          <w:color w:val="000000"/>
          <w:spacing w:val="-32"/>
          <w:kern w:val="0"/>
          <w:sz w:val="44"/>
          <w:szCs w:val="44"/>
        </w:rPr>
      </w:pPr>
    </w:p>
    <w:p w14:paraId="376719E2">
      <w:pPr>
        <w:spacing w:line="560" w:lineRule="exact"/>
        <w:rPr>
          <w:rFonts w:hint="eastAsia" w:ascii="宋体" w:hAnsi="宋体" w:cs="宋体"/>
          <w:b/>
          <w:color w:val="000000"/>
          <w:spacing w:val="-32"/>
          <w:kern w:val="0"/>
          <w:sz w:val="44"/>
          <w:szCs w:val="44"/>
        </w:rPr>
      </w:pPr>
    </w:p>
    <w:p w14:paraId="0006F1E4">
      <w:pPr>
        <w:spacing w:line="560" w:lineRule="exact"/>
        <w:rPr>
          <w:rFonts w:hint="eastAsia" w:ascii="方正书宋简体" w:hAnsi="方正书宋简体" w:eastAsia="方正书宋简体" w:cs="方正书宋简体"/>
          <w:b/>
          <w:color w:val="000000"/>
          <w:spacing w:val="-32"/>
          <w:kern w:val="0"/>
          <w:sz w:val="44"/>
          <w:szCs w:val="44"/>
        </w:rPr>
      </w:pPr>
    </w:p>
    <w:p w14:paraId="0C5DC4B7">
      <w:pPr>
        <w:spacing w:line="560" w:lineRule="exact"/>
        <w:rPr>
          <w:rFonts w:hint="eastAsia" w:ascii="宋体" w:hAnsi="宋体" w:cs="宋体"/>
          <w:b/>
          <w:color w:val="000000"/>
          <w:spacing w:val="-32"/>
          <w:kern w:val="0"/>
          <w:sz w:val="44"/>
          <w:szCs w:val="44"/>
        </w:rPr>
      </w:pPr>
    </w:p>
    <w:p w14:paraId="5551C4E7">
      <w:pPr>
        <w:spacing w:line="600" w:lineRule="exact"/>
        <w:jc w:val="center"/>
        <w:rPr>
          <w:rFonts w:hint="eastAsia" w:ascii="宋体" w:hAnsi="宋体"/>
        </w:rPr>
      </w:pPr>
      <w:r>
        <w:rPr>
          <w:rFonts w:hint="eastAsia" w:ascii="仿宋_GB2312" w:hAnsi="宋体" w:eastAsia="仿宋_GB2312"/>
          <w:sz w:val="32"/>
          <w:szCs w:val="32"/>
        </w:rPr>
        <w:t>淮八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新办</w:t>
      </w:r>
      <w:r>
        <w:rPr>
          <w:rFonts w:hint="eastAsia" w:ascii="仿宋_GB2312" w:hAnsi="宋体" w:eastAsia="仿宋_GB2312"/>
          <w:sz w:val="32"/>
          <w:szCs w:val="32"/>
        </w:rPr>
        <w:t>〔202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 w14:paraId="13250748">
      <w:pPr>
        <w:spacing w:line="560" w:lineRule="exact"/>
        <w:rPr>
          <w:rFonts w:hint="eastAsia" w:ascii="黑体" w:hAnsi="黑体" w:eastAsia="黑体" w:cs="黑体"/>
          <w:b/>
          <w:color w:val="000000"/>
          <w:spacing w:val="-32"/>
          <w:kern w:val="0"/>
          <w:sz w:val="44"/>
          <w:szCs w:val="44"/>
        </w:rPr>
      </w:pPr>
    </w:p>
    <w:p w14:paraId="78DF3280"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关于印发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《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新庄孜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街道安全生产和消防执法监管计划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(征求意见稿)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》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的</w:t>
      </w:r>
      <w:r>
        <w:rPr>
          <w:rFonts w:hint="eastAsia" w:ascii="黑体" w:hAnsi="黑体" w:eastAsia="黑体" w:cs="黑体"/>
          <w:color w:val="000000"/>
          <w:spacing w:val="-32"/>
          <w:kern w:val="0"/>
          <w:sz w:val="44"/>
          <w:szCs w:val="44"/>
        </w:rPr>
        <w:t>通知</w:t>
      </w:r>
    </w:p>
    <w:p w14:paraId="2AB13A02">
      <w:pPr>
        <w:widowControl/>
        <w:spacing w:line="560" w:lineRule="exact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631DA255"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各社区、各</w:t>
      </w:r>
      <w:r>
        <w:rPr>
          <w:rFonts w:hint="eastAsia" w:ascii="仿宋_GB2312" w:eastAsia="仿宋_GB2312"/>
          <w:sz w:val="32"/>
          <w:szCs w:val="32"/>
          <w:lang w:eastAsia="zh-CN"/>
        </w:rPr>
        <w:t>部门、各有关单位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A62342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为进一步推进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年度安全生产和消防监管检查执法工作，现将《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新庄孜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街道安全生产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和消防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执法监管计划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》印发给你们，请认真贯彻执行。</w:t>
      </w:r>
    </w:p>
    <w:p w14:paraId="136CE5AB">
      <w:pPr>
        <w:widowControl/>
        <w:spacing w:line="560" w:lineRule="exact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</w:p>
    <w:p w14:paraId="27EB6267">
      <w:pPr>
        <w:widowControl/>
        <w:spacing w:line="560" w:lineRule="exact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</w:p>
    <w:p w14:paraId="0DD48E98">
      <w:pPr>
        <w:widowControl/>
        <w:spacing w:line="560" w:lineRule="exact"/>
        <w:jc w:val="both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</w:p>
    <w:p w14:paraId="16B29E5A">
      <w:pPr>
        <w:widowControl/>
        <w:spacing w:line="560" w:lineRule="exact"/>
        <w:jc w:val="both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</w:p>
    <w:p w14:paraId="261ABF1F">
      <w:pPr>
        <w:widowControl/>
        <w:spacing w:line="560" w:lineRule="exact"/>
        <w:jc w:val="both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</w:p>
    <w:p w14:paraId="68E109FF">
      <w:pPr>
        <w:widowControl/>
        <w:spacing w:line="560" w:lineRule="exact"/>
        <w:jc w:val="both"/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</w:pPr>
    </w:p>
    <w:p w14:paraId="5211BB20">
      <w:pPr>
        <w:widowControl/>
        <w:spacing w:line="560" w:lineRule="exact"/>
        <w:jc w:val="right"/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新庄孜街道办事处</w:t>
      </w:r>
    </w:p>
    <w:p w14:paraId="6785686D">
      <w:pPr>
        <w:widowControl/>
        <w:spacing w:line="560" w:lineRule="exact"/>
        <w:ind w:firstLine="3200" w:firstLineChars="1000"/>
        <w:jc w:val="right"/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ˎ̥" w:eastAsia="仿宋_GB2312" w:cs="宋体"/>
          <w:color w:val="000000"/>
          <w:kern w:val="0"/>
          <w:sz w:val="32"/>
          <w:szCs w:val="32"/>
        </w:rPr>
        <w:t>日</w:t>
      </w:r>
    </w:p>
    <w:p w14:paraId="1869DDFA">
      <w:pPr>
        <w:pStyle w:val="2"/>
        <w:spacing w:before="0" w:beforeAutospacing="0" w:after="0" w:afterAutospacing="0"/>
        <w:jc w:val="center"/>
        <w:rPr>
          <w:rFonts w:hint="eastAsia" w:ascii="方正书宋简体" w:hAnsi="方正书宋简体" w:eastAsia="方正书宋简体" w:cs="方正书宋简体"/>
          <w:color w:val="000000"/>
          <w:sz w:val="44"/>
          <w:szCs w:val="44"/>
        </w:rPr>
      </w:pPr>
      <w:r>
        <w:rPr>
          <w:rStyle w:val="5"/>
          <w:rFonts w:hint="eastAsia" w:ascii="方正书宋简体" w:hAnsi="方正书宋简体" w:eastAsia="方正书宋简体" w:cs="方正书宋简体"/>
          <w:color w:val="000000"/>
          <w:kern w:val="2"/>
          <w:sz w:val="44"/>
          <w:szCs w:val="44"/>
          <w:lang w:eastAsia="zh-CN"/>
        </w:rPr>
        <w:t>新庄孜</w:t>
      </w:r>
      <w:r>
        <w:rPr>
          <w:rStyle w:val="5"/>
          <w:rFonts w:hint="eastAsia" w:ascii="方正书宋简体" w:hAnsi="方正书宋简体" w:eastAsia="方正书宋简体" w:cs="方正书宋简体"/>
          <w:color w:val="000000"/>
          <w:kern w:val="2"/>
          <w:sz w:val="44"/>
          <w:szCs w:val="44"/>
        </w:rPr>
        <w:t>街道安全生产和消防执法监管计划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(征求意见稿)</w:t>
      </w:r>
    </w:p>
    <w:p w14:paraId="51DD67E7">
      <w:pPr>
        <w:pStyle w:val="2"/>
        <w:spacing w:before="0" w:beforeAutospacing="0" w:after="0" w:afterAutospacing="0"/>
        <w:ind w:firstLine="720" w:firstLineChars="200"/>
        <w:rPr>
          <w:rFonts w:hint="eastAsia" w:ascii="仿宋_GB2312" w:hAnsi="仿宋_GB2312" w:eastAsia="仿宋_GB2312" w:cs="仿宋_GB2312"/>
          <w:color w:val="3D3D3D"/>
          <w:sz w:val="36"/>
          <w:szCs w:val="36"/>
        </w:rPr>
      </w:pPr>
    </w:p>
    <w:p w14:paraId="7FA93490"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为了认真贯彻落实“安全第一，预防为主，综合治理”的安全生产工作方针，切实做好我街道安全生产和消防监管工作，有针对性地开展重点检查、定期检查和专项检查，确保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年安全生产和消防各项目标任务顺利实现，根据《中华人民共和国安全生产法》、《安全生产监管监察职责和行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政执法责任追究的暂行规定》以及其他有关安全生产法律、法规，制定符合我街道实际的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年度安全生产和消防监管执法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instrText xml:space="preserve"> HYPERLINK "http://www.wenmi114.com/wenmi/zongjie/gongzuojihua/" \t "_blank" </w:instrTex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工作计划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。</w:t>
      </w:r>
    </w:p>
    <w:p w14:paraId="4904E08E">
      <w:pPr>
        <w:pStyle w:val="2"/>
        <w:spacing w:before="0" w:beforeAutospacing="0" w:after="0" w:afterAutospacing="0"/>
        <w:ind w:firstLine="643" w:firstLineChars="200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  <w:t>一、指导思想</w:t>
      </w:r>
    </w:p>
    <w:p w14:paraId="3A233D01"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新庄孜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年度安全生产和消防监管执法工作以全面贯彻落实党的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二十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大精神和习近平总书记关于安全生产重要论述，全面落实依法治安为主要内容，加强安全法治，规范安全生产监管执法行为，落实行政执法责任制，提高依法行政水平，严厉打击安全生产和消防领域的非法违法行为，及时消除事故隐患，促进全街道安全生产和消防安全形势进一步稳定好转。</w:t>
      </w:r>
    </w:p>
    <w:p w14:paraId="61538958">
      <w:pPr>
        <w:pStyle w:val="2"/>
        <w:spacing w:before="0" w:beforeAutospacing="0" w:after="0" w:afterAutospacing="0"/>
        <w:ind w:firstLine="643" w:firstLineChars="200"/>
        <w:rPr>
          <w:rStyle w:val="5"/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  <w:t>二、工作目标</w:t>
      </w:r>
    </w:p>
    <w:p w14:paraId="3CF6EEC1"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严格落实“党政同责、一岗双责、齐抓共管、失职追责”责任体系,坚持“管行业必须管安全，管业务必须管安全，管生产经营必须管安全”的原则，强化企业安全生产主体责任，保障辖区内人民群众生命财产安全，实现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新庄孜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街道零事故目标。</w:t>
      </w:r>
    </w:p>
    <w:p w14:paraId="1068F67A">
      <w:pPr>
        <w:pStyle w:val="2"/>
        <w:spacing w:before="0" w:beforeAutospacing="0" w:after="0" w:afterAutospacing="0"/>
        <w:ind w:firstLine="643" w:firstLineChars="200"/>
        <w:rPr>
          <w:rStyle w:val="5"/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 w:cs="黑体"/>
          <w:color w:val="000000"/>
          <w:kern w:val="2"/>
          <w:sz w:val="32"/>
          <w:szCs w:val="32"/>
        </w:rPr>
        <w:t>三、重点工作计划</w:t>
      </w:r>
    </w:p>
    <w:p w14:paraId="4F17DBAE">
      <w:pPr>
        <w:pStyle w:val="2"/>
        <w:spacing w:before="0" w:beforeAutospacing="0" w:after="0" w:afterAutospacing="0"/>
        <w:ind w:firstLine="643" w:firstLineChars="200"/>
        <w:rPr>
          <w:rStyle w:val="5"/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  <w:t>（一）直接监管的生产经营单位</w:t>
      </w:r>
    </w:p>
    <w:p w14:paraId="34B864DA"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福乐万家超市</w:t>
      </w:r>
    </w:p>
    <w:p w14:paraId="4A1DE3B6">
      <w:pPr>
        <w:pStyle w:val="2"/>
        <w:spacing w:before="0" w:beforeAutospacing="0" w:after="0" w:afterAutospacing="0"/>
        <w:ind w:firstLine="640" w:firstLineChars="200"/>
        <w:rPr>
          <w:rFonts w:hint="default" w:ascii="仿宋_GB2312" w:hAnsi="仿宋_GB2312" w:eastAsia="仿宋_GB2312" w:cs="仿宋_GB2312"/>
          <w:color w:val="3D3D3D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永鲜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val="en-US" w:eastAsia="zh-CN"/>
        </w:rPr>
        <w:t>100超市</w:t>
      </w:r>
    </w:p>
    <w:p w14:paraId="2C6E9B5C"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心连心养老院</w:t>
      </w:r>
    </w:p>
    <w:p w14:paraId="1EEEEB91"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团结社区老年食堂</w:t>
      </w:r>
    </w:p>
    <w:p w14:paraId="350FE80F"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瑞元大酒店</w:t>
      </w:r>
    </w:p>
    <w:p w14:paraId="24000357"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val="en-US" w:eastAsia="zh-CN"/>
        </w:rPr>
        <w:t>6.御景宴大酒店</w:t>
      </w:r>
    </w:p>
    <w:p w14:paraId="1CAFB4E2">
      <w:pPr>
        <w:pStyle w:val="2"/>
        <w:spacing w:before="0" w:beforeAutospacing="0" w:after="0" w:afterAutospacing="0"/>
        <w:ind w:firstLine="640" w:firstLineChars="200"/>
        <w:rPr>
          <w:rFonts w:hint="default" w:ascii="仿宋_GB2312" w:hAnsi="仿宋_GB2312" w:eastAsia="仿宋_GB2312" w:cs="仿宋_GB2312"/>
          <w:color w:val="3D3D3D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val="en-US" w:eastAsia="zh-CN"/>
        </w:rPr>
        <w:t>7.其他一般监管单位</w:t>
      </w:r>
    </w:p>
    <w:p w14:paraId="2A71BD9C">
      <w:pPr>
        <w:pStyle w:val="2"/>
        <w:spacing w:before="0" w:beforeAutospacing="0" w:after="0" w:afterAutospacing="0"/>
        <w:ind w:firstLine="643" w:firstLineChars="200"/>
        <w:rPr>
          <w:rStyle w:val="5"/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  <w:t>（二）执法检查</w:t>
      </w:r>
    </w:p>
    <w:p w14:paraId="47DFF580"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1、</w:t>
      </w:r>
      <w:r>
        <w:rPr>
          <w:rFonts w:ascii="仿宋_GB2312" w:hAnsi="仿宋_GB2312" w:eastAsia="仿宋_GB2312" w:cs="仿宋_GB2312"/>
          <w:color w:val="3D3D3D"/>
          <w:sz w:val="32"/>
          <w:szCs w:val="32"/>
        </w:rPr>
        <w:t>我街道对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瑞元大酒店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团结社区老年食堂</w:t>
      </w:r>
      <w:r>
        <w:rPr>
          <w:rFonts w:ascii="仿宋_GB2312" w:hAnsi="仿宋_GB2312" w:eastAsia="仿宋_GB2312" w:cs="仿宋_GB2312"/>
          <w:color w:val="3D3D3D"/>
          <w:sz w:val="32"/>
          <w:szCs w:val="32"/>
        </w:rPr>
        <w:t>等生产经营单位开展执法检查安排,今年执法检查重点将放在这两家公司;</w:t>
      </w:r>
    </w:p>
    <w:p w14:paraId="6149D90F"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2、根据生产经营单位安全生产状况及基本情况，对违章违规作业的、不严格落实安全生产主体责任的单位适当增加监督检查次数。</w:t>
      </w:r>
    </w:p>
    <w:p w14:paraId="49CF6FB8">
      <w:pPr>
        <w:pStyle w:val="2"/>
        <w:spacing w:before="0" w:beforeAutospacing="0" w:after="0" w:afterAutospacing="0"/>
        <w:ind w:firstLine="643" w:firstLineChars="200"/>
        <w:rPr>
          <w:rStyle w:val="5"/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  <w:t>（三）拟重点检查生产经营单位、时间安排</w:t>
      </w:r>
    </w:p>
    <w:p w14:paraId="26F85F91"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福乐万家超市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永鲜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val="en-US" w:eastAsia="zh-CN"/>
        </w:rPr>
        <w:t>100超市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每年检查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次以上，每次至少3人；</w:t>
      </w:r>
    </w:p>
    <w:p w14:paraId="5C550B2D"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2、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团结社区老年食堂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经营单位每年检查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次，每次至少3人；</w:t>
      </w:r>
    </w:p>
    <w:p w14:paraId="7301DFDC">
      <w:pPr>
        <w:pStyle w:val="2"/>
        <w:numPr>
          <w:ilvl w:val="0"/>
          <w:numId w:val="1"/>
        </w:numPr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心连心养老院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eastAsia="zh-CN"/>
        </w:rPr>
        <w:t>瑞元大酒店、御景宴大酒店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经营单位每年检查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次，每次至少3人；</w:t>
      </w:r>
    </w:p>
    <w:p w14:paraId="5F5DE37A"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备注：执法人员数量三人分别由街道领导1人、具有执法资格证1人、安全员随机从各社区抽取1人构成。</w:t>
      </w:r>
    </w:p>
    <w:p w14:paraId="1BA6D06A">
      <w:pPr>
        <w:pStyle w:val="2"/>
        <w:spacing w:before="0" w:beforeAutospacing="0" w:after="0" w:afterAutospacing="0"/>
        <w:ind w:firstLine="643" w:firstLineChars="200"/>
        <w:rPr>
          <w:rStyle w:val="5"/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Style w:val="5"/>
          <w:rFonts w:hint="eastAsia" w:ascii="楷体_GB2312" w:hAnsi="楷体_GB2312" w:eastAsia="楷体_GB2312" w:cs="楷体_GB2312"/>
          <w:color w:val="000000"/>
          <w:kern w:val="2"/>
          <w:sz w:val="32"/>
          <w:szCs w:val="32"/>
        </w:rPr>
        <w:t>（四）执法检查的主要内容和重点事项</w:t>
      </w:r>
    </w:p>
    <w:p w14:paraId="1986DE49"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1、行政执法工作范围：检查零售网点是否经工商登记注册；负责人和销售人员、从业人员是否经过安全知识培训；是否实行专店或者专柜、专人销售；其销售的产品是否从批发单位购买，产品是否有流向标签、防伪标识；零售场所的面积是否不小于10平方米，是否超量储存；周边环境是否满足要求等。</w:t>
      </w:r>
    </w:p>
    <w:p w14:paraId="1421F15F"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2、执法检查主要内容：各项安全管理制度、隐患排查和治理、安全投入保障情况、人员培训情况、警示标志、消防设施配备情况、内外部安全条件是否粘贴了标识等。</w:t>
      </w:r>
    </w:p>
    <w:p w14:paraId="1DC53AA9">
      <w:pPr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3、对生产经营单位是否具备安全生产法律、法规、规章和国家标准或者行业标准规定的安全生产条件进行全面检查。一般情况下，对不同生产经营单位的监督检查内容应当具有针对性。建立和落实安全生产责任制、安全生产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instrText xml:space="preserve"> HYPERLINK "http://www.wenmi114.com/wenmi/fanwen/guizhangzhidu/" \t "_blank" </w:instrTex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规章制度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和操作规程、作业规程的情况；负责人、管理人员组织安全生产和消防检查，及时排查治理生产安全事故隐患的情况。</w:t>
      </w:r>
    </w:p>
    <w:p w14:paraId="56A78E67">
      <w:pPr>
        <w:ind w:firstLine="643" w:firstLineChars="200"/>
        <w:rPr>
          <w:rStyle w:val="5"/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color w:val="000000"/>
          <w:kern w:val="0"/>
          <w:sz w:val="32"/>
          <w:szCs w:val="32"/>
        </w:rPr>
        <w:t>四、执法计划的实施</w:t>
      </w:r>
    </w:p>
    <w:p w14:paraId="1AC18DA3">
      <w:pPr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（一）规范行政执法程序。要严格执行安全生产法律、法规、规章规定，依法定程序行使权力、履行职责。</w:t>
      </w:r>
    </w:p>
    <w:p w14:paraId="513EC970"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kern w:val="2"/>
          <w:sz w:val="32"/>
          <w:szCs w:val="32"/>
        </w:rPr>
        <w:t>（二）本计划实施中，如需对执法计划进行重大调整，并符合相关规定条件的，应当在作出决定之日起30日内重新履行报批和</w:t>
      </w: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备案手续；</w:t>
      </w:r>
    </w:p>
    <w:p w14:paraId="52C86AEF">
      <w:pPr>
        <w:pStyle w:val="2"/>
        <w:spacing w:before="0" w:beforeAutospacing="0" w:after="0" w:afterAutospacing="0"/>
        <w:ind w:firstLine="643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 w:cs="黑体"/>
          <w:color w:val="000000"/>
          <w:kern w:val="2"/>
          <w:sz w:val="32"/>
          <w:szCs w:val="32"/>
        </w:rPr>
        <w:t>五、工作要求</w:t>
      </w:r>
    </w:p>
    <w:p w14:paraId="65962819"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（一）严格落实执法检查程序。进入生产经营单位的检查人员必须是两人或两人以上，并将检查内容告知被检查单位；</w:t>
      </w:r>
    </w:p>
    <w:p w14:paraId="074A13A6"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（二）落实责任，强化监管。检查人员应明确检查路线或检查场所，现场检查计划，认真做好记录，并将检查结果告知被检查单位，由被检查单位现场负责人签字确认。</w:t>
      </w:r>
    </w:p>
    <w:p w14:paraId="6A6DD645">
      <w:pPr>
        <w:pStyle w:val="2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3D3D3D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（三）严守纪律，文明执法。检查人员发现安全生产违法行为和事故隐患，应督促被检查单位立即予以纠正或下达责令整改指令书，并对整改的情况进行复查；并对涉及被检查单位商业秘密的信息应予以保密。</w:t>
      </w:r>
    </w:p>
    <w:p w14:paraId="705A8332">
      <w:pPr>
        <w:pStyle w:val="2"/>
        <w:spacing w:before="0" w:beforeAutospacing="0" w:after="0" w:afterAutospacing="0"/>
        <w:ind w:firstLine="640" w:firstLineChars="200"/>
        <w:rPr>
          <w:rStyle w:val="5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D3D3D"/>
          <w:sz w:val="32"/>
          <w:szCs w:val="32"/>
        </w:rPr>
        <w:t>（四）视检查情况，根据有关规定采取警告、责令改正、罚款、责令停产停业整顿等形式，促进和保证企业安全生产。</w:t>
      </w:r>
      <w:bookmarkEnd w:id="0"/>
    </w:p>
    <w:p w14:paraId="1C31C998"/>
    <w:p w14:paraId="3F9AFB4B"/>
    <w:sectPr>
      <w:pgSz w:w="11906" w:h="16838"/>
      <w:pgMar w:top="1984" w:right="1417" w:bottom="164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9BF598"/>
    <w:multiLevelType w:val="singleLevel"/>
    <w:tmpl w:val="A49BF598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6D4E61"/>
    <w:rsid w:val="369A0DEF"/>
    <w:rsid w:val="456D4E61"/>
    <w:rsid w:val="54F1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1741</Words>
  <Characters>1772</Characters>
  <Lines>0</Lines>
  <Paragraphs>0</Paragraphs>
  <TotalTime>0</TotalTime>
  <ScaleCrop>false</ScaleCrop>
  <LinksUpToDate>false</LinksUpToDate>
  <CharactersWithSpaces>1777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2025-04-22T01:09:00Z</dcterms:created>
  <dc:creator>WPS_1697186249</dc:creator>
  <cp:lastModifiedBy>WPS_1697186249</cp:lastModifiedBy>
  <dcterms:modified xsi:type="dcterms:W3CDTF">2025-09-11T01:18:29Z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F60246D418B84A61935FA4BD74A83FBE_11</vt:lpwstr>
  </property>
  <property fmtid="{D5CDD505-2E9C-101B-9397-08002B2CF9AE}" pid="4" name="KSOTemplateDocerSaveRecord">
    <vt:lpwstr>eyJoZGlkIjoiZTkwMjFhYmY2ODNiNWVkMWU5YWYzMGIyYTkwOTZhMTMiLCJ1c2VySWQiOiIxNTQ5MzM5MTI3In0=</vt:lpwstr>
  </property>
</Properties>
</file>