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1B4AA">
      <w:pPr>
        <w:jc w:val="center"/>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color w:val="auto"/>
          <w:sz w:val="32"/>
          <w:szCs w:val="32"/>
          <w:lang w:val="en-US" w:eastAsia="zh-CN"/>
        </w:rPr>
        <w:t>八公山区</w:t>
      </w:r>
      <w:bookmarkStart w:id="0" w:name="_GoBack"/>
      <w:bookmarkEnd w:id="0"/>
      <w:r>
        <w:rPr>
          <w:rFonts w:hint="eastAsia" w:ascii="方正小标宋_GBK" w:hAnsi="方正小标宋_GBK" w:eastAsia="方正小标宋_GBK" w:cs="方正小标宋_GBK"/>
          <w:color w:val="auto"/>
          <w:sz w:val="32"/>
          <w:szCs w:val="32"/>
          <w:lang w:val="en-US" w:eastAsia="zh-CN"/>
        </w:rPr>
        <w:t>退役军人事务</w:t>
      </w:r>
      <w:r>
        <w:rPr>
          <w:rFonts w:hint="eastAsia" w:ascii="方正小标宋_GBK" w:hAnsi="方正小标宋_GBK" w:eastAsia="方正小标宋_GBK" w:cs="方正小标宋_GBK"/>
          <w:color w:val="auto"/>
          <w:sz w:val="32"/>
          <w:szCs w:val="32"/>
        </w:rPr>
        <w:t>局权责清单即时动态调整</w:t>
      </w:r>
      <w:r>
        <w:rPr>
          <w:rFonts w:hint="eastAsia" w:ascii="方正小标宋_GBK" w:hAnsi="方正小标宋_GBK" w:eastAsia="方正小标宋_GBK" w:cs="方正小标宋_GBK"/>
          <w:color w:val="auto"/>
          <w:sz w:val="32"/>
          <w:szCs w:val="32"/>
          <w:lang w:eastAsia="zh-CN"/>
        </w:rPr>
        <w:t>情况</w:t>
      </w:r>
      <w:r>
        <w:rPr>
          <w:rFonts w:hint="eastAsia" w:ascii="方正小标宋_GBK" w:hAnsi="方正小标宋_GBK" w:eastAsia="方正小标宋_GBK" w:cs="方正小标宋_GBK"/>
          <w:color w:val="auto"/>
          <w:sz w:val="32"/>
          <w:szCs w:val="32"/>
        </w:rPr>
        <w:t>表</w:t>
      </w:r>
    </w:p>
    <w:tbl>
      <w:tblPr>
        <w:tblStyle w:val="2"/>
        <w:tblW w:w="14436" w:type="dxa"/>
        <w:jc w:val="center"/>
        <w:tblLayout w:type="autofit"/>
        <w:tblCellMar>
          <w:top w:w="0" w:type="dxa"/>
          <w:left w:w="108" w:type="dxa"/>
          <w:bottom w:w="0" w:type="dxa"/>
          <w:right w:w="108" w:type="dxa"/>
        </w:tblCellMar>
      </w:tblPr>
      <w:tblGrid>
        <w:gridCol w:w="564"/>
        <w:gridCol w:w="627"/>
        <w:gridCol w:w="886"/>
        <w:gridCol w:w="419"/>
        <w:gridCol w:w="6581"/>
        <w:gridCol w:w="649"/>
        <w:gridCol w:w="4710"/>
      </w:tblGrid>
      <w:tr w14:paraId="1DC6CEF0">
        <w:tblPrEx>
          <w:tblCellMar>
            <w:top w:w="0" w:type="dxa"/>
            <w:left w:w="108" w:type="dxa"/>
            <w:bottom w:w="0" w:type="dxa"/>
            <w:right w:w="108" w:type="dxa"/>
          </w:tblCellMar>
        </w:tblPrEx>
        <w:trPr>
          <w:cantSplit/>
          <w:trHeight w:val="692" w:hRule="atLeast"/>
          <w:tblHeader/>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0129F3E9">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序号</w:t>
            </w:r>
          </w:p>
        </w:tc>
        <w:tc>
          <w:tcPr>
            <w:tcW w:w="627" w:type="dxa"/>
            <w:tcBorders>
              <w:top w:val="single" w:color="auto" w:sz="4" w:space="0"/>
              <w:left w:val="nil"/>
              <w:bottom w:val="single" w:color="auto" w:sz="4" w:space="0"/>
              <w:right w:val="single" w:color="auto" w:sz="4" w:space="0"/>
            </w:tcBorders>
            <w:shd w:val="clear" w:color="auto" w:fill="auto"/>
            <w:vAlign w:val="center"/>
          </w:tcPr>
          <w:p w14:paraId="379A1C32">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权力类型</w:t>
            </w:r>
          </w:p>
        </w:tc>
        <w:tc>
          <w:tcPr>
            <w:tcW w:w="886" w:type="dxa"/>
            <w:tcBorders>
              <w:top w:val="single" w:color="auto" w:sz="4" w:space="0"/>
              <w:left w:val="nil"/>
              <w:bottom w:val="single" w:color="auto" w:sz="4" w:space="0"/>
              <w:right w:val="single" w:color="auto" w:sz="4" w:space="0"/>
            </w:tcBorders>
            <w:shd w:val="clear" w:color="auto" w:fill="auto"/>
            <w:vAlign w:val="center"/>
          </w:tcPr>
          <w:p w14:paraId="0144089D">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权力</w:t>
            </w:r>
          </w:p>
          <w:p w14:paraId="3E0EDA41">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名称</w:t>
            </w:r>
          </w:p>
        </w:tc>
        <w:tc>
          <w:tcPr>
            <w:tcW w:w="419" w:type="dxa"/>
            <w:tcBorders>
              <w:top w:val="single" w:color="auto" w:sz="4" w:space="0"/>
              <w:left w:val="nil"/>
              <w:bottom w:val="single" w:color="auto" w:sz="4" w:space="0"/>
              <w:right w:val="single" w:color="auto" w:sz="4" w:space="0"/>
            </w:tcBorders>
            <w:shd w:val="clear" w:color="auto" w:fill="auto"/>
            <w:vAlign w:val="center"/>
          </w:tcPr>
          <w:p w14:paraId="4DA5A0E3">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子项</w:t>
            </w:r>
          </w:p>
        </w:tc>
        <w:tc>
          <w:tcPr>
            <w:tcW w:w="6581" w:type="dxa"/>
            <w:tcBorders>
              <w:top w:val="single" w:color="auto" w:sz="4" w:space="0"/>
              <w:left w:val="nil"/>
              <w:bottom w:val="single" w:color="auto" w:sz="4" w:space="0"/>
              <w:right w:val="single" w:color="auto" w:sz="4" w:space="0"/>
            </w:tcBorders>
            <w:shd w:val="clear" w:color="auto" w:fill="auto"/>
            <w:vAlign w:val="center"/>
          </w:tcPr>
          <w:p w14:paraId="63994CE4">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实施依据</w:t>
            </w:r>
          </w:p>
        </w:tc>
        <w:tc>
          <w:tcPr>
            <w:tcW w:w="649" w:type="dxa"/>
            <w:tcBorders>
              <w:top w:val="single" w:color="auto" w:sz="4" w:space="0"/>
              <w:left w:val="nil"/>
              <w:bottom w:val="single" w:color="auto" w:sz="4" w:space="0"/>
              <w:right w:val="single" w:color="auto" w:sz="4" w:space="0"/>
            </w:tcBorders>
            <w:shd w:val="clear" w:color="auto" w:fill="auto"/>
            <w:vAlign w:val="center"/>
          </w:tcPr>
          <w:p w14:paraId="12A25933">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调整类型</w:t>
            </w:r>
          </w:p>
        </w:tc>
        <w:tc>
          <w:tcPr>
            <w:tcW w:w="4710" w:type="dxa"/>
            <w:tcBorders>
              <w:top w:val="single" w:color="auto" w:sz="4" w:space="0"/>
              <w:left w:val="nil"/>
              <w:bottom w:val="single" w:color="auto" w:sz="4" w:space="0"/>
              <w:right w:val="single" w:color="auto" w:sz="4" w:space="0"/>
            </w:tcBorders>
            <w:shd w:val="clear" w:color="auto" w:fill="auto"/>
            <w:vAlign w:val="center"/>
          </w:tcPr>
          <w:p w14:paraId="247E763D">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调整意见及理由</w:t>
            </w:r>
          </w:p>
        </w:tc>
      </w:tr>
      <w:tr w14:paraId="24EFE62B">
        <w:tblPrEx>
          <w:tblCellMar>
            <w:top w:w="0" w:type="dxa"/>
            <w:left w:w="108" w:type="dxa"/>
            <w:bottom w:w="0" w:type="dxa"/>
            <w:right w:w="108" w:type="dxa"/>
          </w:tblCellMar>
        </w:tblPrEx>
        <w:trPr>
          <w:trHeight w:val="7225"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416D362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w:t>
            </w:r>
          </w:p>
        </w:tc>
        <w:tc>
          <w:tcPr>
            <w:tcW w:w="627" w:type="dxa"/>
            <w:tcBorders>
              <w:top w:val="single" w:color="auto" w:sz="4" w:space="0"/>
              <w:left w:val="nil"/>
              <w:bottom w:val="single" w:color="auto" w:sz="4" w:space="0"/>
              <w:right w:val="single" w:color="auto" w:sz="4" w:space="0"/>
            </w:tcBorders>
            <w:shd w:val="clear" w:color="auto" w:fill="auto"/>
            <w:vAlign w:val="center"/>
          </w:tcPr>
          <w:p w14:paraId="07F2969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行政确认</w:t>
            </w:r>
          </w:p>
        </w:tc>
        <w:tc>
          <w:tcPr>
            <w:tcW w:w="886" w:type="dxa"/>
            <w:tcBorders>
              <w:top w:val="single" w:color="auto" w:sz="4" w:space="0"/>
              <w:left w:val="nil"/>
              <w:bottom w:val="single" w:color="auto" w:sz="4" w:space="0"/>
              <w:right w:val="single" w:color="auto" w:sz="4" w:space="0"/>
            </w:tcBorders>
            <w:shd w:val="clear" w:color="auto" w:fill="auto"/>
            <w:vAlign w:val="center"/>
          </w:tcPr>
          <w:p w14:paraId="4E4D759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由退役军人事务部门负责的伤残抚恤人员残疾等级评定和调整，补换伤残证件</w:t>
            </w:r>
          </w:p>
        </w:tc>
        <w:tc>
          <w:tcPr>
            <w:tcW w:w="419" w:type="dxa"/>
            <w:tcBorders>
              <w:top w:val="single" w:color="auto" w:sz="4" w:space="0"/>
              <w:left w:val="nil"/>
              <w:bottom w:val="single" w:color="auto" w:sz="4" w:space="0"/>
              <w:right w:val="single" w:color="auto" w:sz="4" w:space="0"/>
            </w:tcBorders>
            <w:shd w:val="clear" w:color="auto" w:fill="auto"/>
            <w:vAlign w:val="center"/>
          </w:tcPr>
          <w:p w14:paraId="70006430">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w:t>
            </w:r>
          </w:p>
        </w:tc>
        <w:tc>
          <w:tcPr>
            <w:tcW w:w="6581" w:type="dxa"/>
            <w:tcBorders>
              <w:top w:val="single" w:color="auto" w:sz="4" w:space="0"/>
              <w:left w:val="nil"/>
              <w:bottom w:val="single" w:color="auto" w:sz="4" w:space="0"/>
              <w:right w:val="single" w:color="auto" w:sz="4" w:space="0"/>
            </w:tcBorders>
            <w:shd w:val="clear" w:color="auto" w:fill="auto"/>
            <w:vAlign w:val="center"/>
          </w:tcPr>
          <w:p w14:paraId="5ED68230">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Fonts w:hint="default" w:ascii="Times New Roman" w:hAnsi="Times New Roman" w:eastAsia="仿宋_GB2312" w:cs="Times New Roman"/>
                <w:color w:val="auto"/>
                <w:sz w:val="18"/>
                <w:szCs w:val="18"/>
              </w:rPr>
            </w:pPr>
            <w:r>
              <w:rPr>
                <w:rFonts w:hint="eastAsia" w:ascii="Times New Roman" w:hAnsi="Times New Roman" w:eastAsia="仿宋_GB2312" w:cs="Times New Roman"/>
                <w:i w:val="0"/>
                <w:iCs w:val="0"/>
                <w:color w:val="auto"/>
                <w:kern w:val="0"/>
                <w:sz w:val="18"/>
                <w:szCs w:val="18"/>
                <w:u w:val="none"/>
                <w:lang w:val="en-US" w:eastAsia="zh-CN" w:bidi="ar"/>
              </w:rPr>
              <w:t>1.</w:t>
            </w:r>
            <w:r>
              <w:rPr>
                <w:rFonts w:hint="default" w:ascii="Times New Roman" w:hAnsi="Times New Roman" w:eastAsia="仿宋_GB2312" w:cs="Times New Roman"/>
                <w:i w:val="0"/>
                <w:iCs w:val="0"/>
                <w:color w:val="auto"/>
                <w:kern w:val="0"/>
                <w:sz w:val="18"/>
                <w:szCs w:val="18"/>
                <w:u w:val="none"/>
                <w:lang w:val="en-US" w:eastAsia="zh-CN" w:bidi="ar"/>
              </w:rPr>
              <w:t>《军人抚恤优待条例》（2004年8月1日中华人民共和国国务院、中华人民共和国中央军事委员会令第413号公布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14:paraId="13B879F0">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4"/>
                <w:rFonts w:hint="default" w:ascii="Times New Roman" w:hAnsi="Times New Roman" w:eastAsia="仿宋_GB2312" w:cs="Times New Roman"/>
                <w:color w:val="auto"/>
                <w:sz w:val="18"/>
                <w:szCs w:val="18"/>
                <w:lang w:val="en-US" w:eastAsia="zh-CN" w:bidi="ar"/>
              </w:rPr>
            </w:pPr>
            <w:r>
              <w:rPr>
                <w:rStyle w:val="4"/>
                <w:rFonts w:hint="default" w:ascii="Times New Roman" w:hAnsi="Times New Roman" w:eastAsia="仿宋_GB2312" w:cs="Times New Roman"/>
                <w:color w:val="auto"/>
                <w:sz w:val="18"/>
                <w:szCs w:val="18"/>
                <w:lang w:val="en-US" w:eastAsia="zh-CN" w:bidi="ar"/>
              </w:rPr>
              <w:t>第二十八条</w:t>
            </w:r>
            <w:r>
              <w:rPr>
                <w:rStyle w:val="4"/>
                <w:rFonts w:hint="eastAsia" w:ascii="Times New Roman" w:hAnsi="Times New Roman" w:eastAsia="仿宋_GB2312" w:cs="Times New Roman"/>
                <w:color w:val="auto"/>
                <w:sz w:val="18"/>
                <w:szCs w:val="18"/>
                <w:lang w:val="en-US" w:eastAsia="zh-CN" w:bidi="ar"/>
              </w:rPr>
              <w:t>：</w:t>
            </w:r>
            <w:r>
              <w:rPr>
                <w:rStyle w:val="4"/>
                <w:rFonts w:hint="default" w:ascii="Times New Roman" w:hAnsi="Times New Roman" w:eastAsia="仿宋_GB2312" w:cs="Times New Roman"/>
                <w:color w:val="auto"/>
                <w:sz w:val="18"/>
                <w:szCs w:val="18"/>
                <w:lang w:val="en-US" w:eastAsia="zh-CN" w:bidi="ar"/>
              </w:rPr>
              <w:t>（三）退出现役的军人和移交政府安置的军队离休退休干部、退休军士需要认定残疾性质和评定残疾等级的，由省级人民政府退役军人工作主管部门认定和评定。</w:t>
            </w:r>
          </w:p>
          <w:p w14:paraId="7D91FE81">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4"/>
                <w:rFonts w:hint="default" w:ascii="Times New Roman" w:hAnsi="Times New Roman" w:eastAsia="仿宋_GB2312" w:cs="Times New Roman"/>
                <w:color w:val="auto"/>
                <w:sz w:val="18"/>
                <w:szCs w:val="18"/>
                <w:lang w:val="en-US" w:eastAsia="zh-CN" w:bidi="ar"/>
              </w:rPr>
            </w:pPr>
            <w:r>
              <w:rPr>
                <w:rStyle w:val="4"/>
                <w:rFonts w:hint="default" w:ascii="Times New Roman" w:hAnsi="Times New Roman" w:eastAsia="仿宋_GB2312" w:cs="Times New Roman"/>
                <w:color w:val="auto"/>
                <w:sz w:val="18"/>
                <w:szCs w:val="18"/>
                <w:lang w:val="en-US" w:eastAsia="zh-CN" w:bidi="ar"/>
              </w:rPr>
              <w:t>第二十九条</w:t>
            </w:r>
            <w:r>
              <w:rPr>
                <w:rStyle w:val="4"/>
                <w:rFonts w:hint="eastAsia" w:ascii="Times New Roman" w:hAnsi="Times New Roman" w:eastAsia="仿宋_GB2312" w:cs="Times New Roman"/>
                <w:color w:val="auto"/>
                <w:sz w:val="18"/>
                <w:szCs w:val="18"/>
                <w:lang w:val="en-US" w:eastAsia="zh-CN" w:bidi="ar"/>
              </w:rPr>
              <w:t>：</w:t>
            </w:r>
            <w:r>
              <w:rPr>
                <w:rStyle w:val="4"/>
                <w:rFonts w:hint="default" w:ascii="Times New Roman" w:hAnsi="Times New Roman" w:eastAsia="仿宋_GB2312" w:cs="Times New Roman"/>
                <w:color w:val="auto"/>
                <w:sz w:val="18"/>
                <w:szCs w:val="18"/>
                <w:lang w:val="en-US" w:eastAsia="zh-CN" w:bidi="ar"/>
              </w:rPr>
              <w:t>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3AD5A85B">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4"/>
                <w:rFonts w:hint="default" w:ascii="Times New Roman" w:hAnsi="Times New Roman" w:eastAsia="仿宋_GB2312" w:cs="Times New Roman"/>
                <w:color w:val="auto"/>
                <w:sz w:val="18"/>
                <w:szCs w:val="18"/>
                <w:lang w:val="en-US" w:eastAsia="zh-CN" w:bidi="ar"/>
              </w:rPr>
              <w:t>被诊断、鉴定为职业病或者因体内残留弹片致残，符合残疾等级评定条件的，可以补办评定残疾等级。</w:t>
            </w:r>
            <w:r>
              <w:rPr>
                <w:rStyle w:val="4"/>
                <w:rFonts w:hint="default" w:ascii="Times New Roman" w:hAnsi="Times New Roman" w:eastAsia="仿宋_GB2312" w:cs="Times New Roman"/>
                <w:color w:val="auto"/>
                <w:sz w:val="18"/>
                <w:szCs w:val="18"/>
                <w:lang w:val="en-US" w:eastAsia="zh-CN" w:bidi="ar"/>
              </w:rPr>
              <w:br w:type="textWrapping"/>
            </w:r>
            <w:r>
              <w:rPr>
                <w:rStyle w:val="4"/>
                <w:rFonts w:hint="default" w:ascii="Times New Roman" w:hAnsi="Times New Roman" w:eastAsia="仿宋_GB2312" w:cs="Times New Roman"/>
                <w:color w:val="auto"/>
                <w:sz w:val="18"/>
                <w:szCs w:val="18"/>
                <w:lang w:val="en-US" w:eastAsia="zh-CN" w:bidi="ar"/>
              </w:rPr>
              <w:t xml:space="preserve">    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2.《伤残抚恤管理办法》（2007年7月31日民政部令第34号公布，2019年12月16日退役军人事务部令第1号修订）</w:t>
            </w:r>
          </w:p>
          <w:p w14:paraId="347C0C33">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第十五条：伤残证件有效期满或者损毁、遗失的，证件持有人应当到县级人民政府退役军人事务部门申请换发证件或者补发证件。伤残证件遗失的须本人登报声明作废。</w:t>
            </w:r>
          </w:p>
          <w:p w14:paraId="072E09B3">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Fonts w:hint="default" w:ascii="Times New Roman" w:hAnsi="Times New Roman" w:eastAsia="仿宋_GB2312" w:cs="Times New Roman"/>
                <w:color w:val="auto"/>
                <w:sz w:val="18"/>
                <w:szCs w:val="18"/>
              </w:rPr>
            </w:pPr>
            <w:r>
              <w:rPr>
                <w:rStyle w:val="5"/>
                <w:rFonts w:hint="default" w:ascii="Times New Roman" w:hAnsi="Times New Roman" w:eastAsia="仿宋_GB2312" w:cs="Times New Roman"/>
                <w:color w:val="auto"/>
                <w:sz w:val="18"/>
                <w:szCs w:val="18"/>
                <w:lang w:val="en-US" w:eastAsia="zh-CN" w:bidi="ar"/>
              </w:rPr>
              <w:t>县级人民政府退役军人事务部门经审查认为符合条件的，填写《伤残人员换证补证审批表》，连同照片逐级上报省级人民政府退役军人事务部门。省级人民政府退役军人事务部门将新办理的伤残证件逐级通过县级人民政府退役军人事务部门发给申请人。各级退役军人事务部门应当在20个工作日内完成本级需要办理的事项。</w:t>
            </w:r>
          </w:p>
        </w:tc>
        <w:tc>
          <w:tcPr>
            <w:tcW w:w="649" w:type="dxa"/>
            <w:tcBorders>
              <w:top w:val="single" w:color="auto" w:sz="4" w:space="0"/>
              <w:left w:val="nil"/>
              <w:bottom w:val="single" w:color="auto" w:sz="4" w:space="0"/>
              <w:right w:val="single" w:color="auto" w:sz="4" w:space="0"/>
            </w:tcBorders>
            <w:shd w:val="clear" w:color="auto" w:fill="auto"/>
            <w:vAlign w:val="center"/>
          </w:tcPr>
          <w:p w14:paraId="4F85CCD5">
            <w:pPr>
              <w:keepNext w:val="0"/>
              <w:keepLines w:val="0"/>
              <w:pageBreakBefore w:val="0"/>
              <w:widowControl/>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4710" w:type="dxa"/>
            <w:tcBorders>
              <w:top w:val="single" w:color="auto" w:sz="4" w:space="0"/>
              <w:left w:val="nil"/>
              <w:bottom w:val="single" w:color="auto" w:sz="4" w:space="0"/>
              <w:right w:val="single" w:color="auto" w:sz="4" w:space="0"/>
            </w:tcBorders>
            <w:shd w:val="clear" w:color="auto" w:fill="auto"/>
            <w:vAlign w:val="center"/>
          </w:tcPr>
          <w:p w14:paraId="3C21DF6C">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left"/>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根据2024年10月1日公布的《军人抚恤优待条例》</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 xml:space="preserve">第1条实施依据修改为：《军人抚恤优待条例》（2004年8月1日中华人民共和国国务院、中华人民共和国中央军事委员会令第413号公布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 </w:t>
            </w:r>
          </w:p>
          <w:p w14:paraId="0289374B">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left"/>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第二十八条</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（三）退出现役的军人和移交政府安置的军队离休退休干部、退休军士需要认定残疾性质和评定残疾等级的，由省级人民政府退役军人工作主管部门认定和评定。</w:t>
            </w:r>
          </w:p>
          <w:p w14:paraId="1673515A">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left"/>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第二十九条</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55448CFF">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left"/>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被诊断、鉴定为职业病或者因体内残留弹片致残，符合残疾等级评定条件的，可以补办评定残疾等级。</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 xml:space="preserve">    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p w14:paraId="67D0D98D">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p>
        </w:tc>
      </w:tr>
      <w:tr w14:paraId="2FA73032">
        <w:tblPrEx>
          <w:tblCellMar>
            <w:top w:w="0" w:type="dxa"/>
            <w:left w:w="108" w:type="dxa"/>
            <w:bottom w:w="0" w:type="dxa"/>
            <w:right w:w="108" w:type="dxa"/>
          </w:tblCellMar>
        </w:tblPrEx>
        <w:trPr>
          <w:trHeight w:val="2079"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1C8BE68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w:t>
            </w:r>
          </w:p>
        </w:tc>
        <w:tc>
          <w:tcPr>
            <w:tcW w:w="627" w:type="dxa"/>
            <w:tcBorders>
              <w:top w:val="single" w:color="auto" w:sz="4" w:space="0"/>
              <w:left w:val="nil"/>
              <w:bottom w:val="single" w:color="auto" w:sz="4" w:space="0"/>
              <w:right w:val="single" w:color="auto" w:sz="4" w:space="0"/>
            </w:tcBorders>
            <w:shd w:val="clear" w:color="auto" w:fill="auto"/>
            <w:vAlign w:val="center"/>
          </w:tcPr>
          <w:p w14:paraId="5DB1DAF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行政给付</w:t>
            </w:r>
          </w:p>
        </w:tc>
        <w:tc>
          <w:tcPr>
            <w:tcW w:w="886" w:type="dxa"/>
            <w:tcBorders>
              <w:top w:val="single" w:color="auto" w:sz="4" w:space="0"/>
              <w:left w:val="nil"/>
              <w:bottom w:val="single" w:color="auto" w:sz="4" w:space="0"/>
              <w:right w:val="single" w:color="auto" w:sz="4" w:space="0"/>
            </w:tcBorders>
            <w:shd w:val="clear" w:color="auto" w:fill="auto"/>
            <w:vAlign w:val="center"/>
          </w:tcPr>
          <w:p w14:paraId="3D036B7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退役士兵待安排工作期间生活费的给付</w:t>
            </w:r>
          </w:p>
        </w:tc>
        <w:tc>
          <w:tcPr>
            <w:tcW w:w="419" w:type="dxa"/>
            <w:tcBorders>
              <w:top w:val="single" w:color="auto" w:sz="4" w:space="0"/>
              <w:left w:val="nil"/>
              <w:bottom w:val="single" w:color="auto" w:sz="4" w:space="0"/>
              <w:right w:val="single" w:color="auto" w:sz="4" w:space="0"/>
            </w:tcBorders>
            <w:shd w:val="clear" w:color="auto" w:fill="auto"/>
            <w:vAlign w:val="center"/>
          </w:tcPr>
          <w:p w14:paraId="380756C1">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w:t>
            </w:r>
          </w:p>
        </w:tc>
        <w:tc>
          <w:tcPr>
            <w:tcW w:w="6581" w:type="dxa"/>
            <w:tcBorders>
              <w:top w:val="single" w:color="auto" w:sz="4" w:space="0"/>
              <w:left w:val="nil"/>
              <w:bottom w:val="single" w:color="auto" w:sz="4" w:space="0"/>
              <w:right w:val="single" w:color="auto" w:sz="4" w:space="0"/>
            </w:tcBorders>
            <w:shd w:val="clear" w:color="auto" w:fill="auto"/>
            <w:vAlign w:val="center"/>
          </w:tcPr>
          <w:p w14:paraId="37FCCA8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imes New Roman" w:hAnsi="Times New Roman" w:eastAsia="仿宋_GB2312" w:cs="Times New Roman"/>
                <w:i w:val="0"/>
                <w:iCs w:val="0"/>
                <w:strike w:val="0"/>
                <w:dstrike w:val="0"/>
                <w:color w:val="auto"/>
                <w:kern w:val="0"/>
                <w:sz w:val="18"/>
                <w:szCs w:val="18"/>
                <w:u w:val="none"/>
                <w:lang w:val="en-US" w:eastAsia="zh-CN" w:bidi="ar"/>
              </w:rPr>
            </w:pPr>
            <w:r>
              <w:rPr>
                <w:rFonts w:hint="default" w:ascii="Times New Roman" w:hAnsi="Times New Roman" w:eastAsia="仿宋_GB2312" w:cs="Times New Roman"/>
                <w:i w:val="0"/>
                <w:iCs w:val="0"/>
                <w:strike w:val="0"/>
                <w:dstrike w:val="0"/>
                <w:color w:val="auto"/>
                <w:kern w:val="0"/>
                <w:sz w:val="18"/>
                <w:szCs w:val="18"/>
                <w:u w:val="none"/>
                <w:lang w:val="en-US" w:eastAsia="zh-CN" w:bidi="ar"/>
              </w:rPr>
              <w:t xml:space="preserve"> </w:t>
            </w:r>
            <w:r>
              <w:rPr>
                <w:rFonts w:hint="eastAsia" w:ascii="Times New Roman" w:hAnsi="Times New Roman" w:eastAsia="仿宋_GB2312" w:cs="Times New Roman"/>
                <w:i w:val="0"/>
                <w:iCs w:val="0"/>
                <w:strike w:val="0"/>
                <w:dstrike w:val="0"/>
                <w:color w:val="auto"/>
                <w:kern w:val="0"/>
                <w:sz w:val="18"/>
                <w:szCs w:val="18"/>
                <w:u w:val="none"/>
                <w:lang w:val="en-US" w:eastAsia="zh-CN" w:bidi="ar"/>
              </w:rPr>
              <w:t xml:space="preserve">  </w:t>
            </w:r>
            <w:r>
              <w:rPr>
                <w:rFonts w:hint="default" w:ascii="Times New Roman" w:hAnsi="Times New Roman" w:eastAsia="仿宋_GB2312" w:cs="Times New Roman"/>
                <w:i w:val="0"/>
                <w:iCs w:val="0"/>
                <w:strike w:val="0"/>
                <w:dstrike w:val="0"/>
                <w:color w:val="auto"/>
                <w:kern w:val="0"/>
                <w:sz w:val="18"/>
                <w:szCs w:val="18"/>
                <w:u w:val="none"/>
                <w:lang w:val="en-US" w:eastAsia="zh-CN" w:bidi="ar"/>
              </w:rPr>
              <w:t xml:space="preserve">《退役军人安置条例》(2024年7月29日中华人民共和国国务院、中华人民共和国中央军事委员会令第787号公布 自2024年9月1日起施行) </w:t>
            </w:r>
            <w:r>
              <w:rPr>
                <w:rFonts w:hint="eastAsia" w:ascii="Times New Roman" w:hAnsi="Times New Roman" w:eastAsia="仿宋_GB2312" w:cs="Times New Roman"/>
                <w:i w:val="0"/>
                <w:iCs w:val="0"/>
                <w:strike w:val="0"/>
                <w:dstrike w:val="0"/>
                <w:color w:val="auto"/>
                <w:kern w:val="0"/>
                <w:sz w:val="18"/>
                <w:szCs w:val="18"/>
                <w:u w:val="none"/>
                <w:lang w:val="en-US" w:eastAsia="zh-CN" w:bidi="ar"/>
              </w:rPr>
              <w:t xml:space="preserve">  </w:t>
            </w:r>
          </w:p>
          <w:p w14:paraId="61661069">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Fonts w:hint="default" w:ascii="Times New Roman" w:hAnsi="Times New Roman" w:eastAsia="仿宋_GB2312" w:cs="Times New Roman"/>
                <w:i w:val="0"/>
                <w:iCs w:val="0"/>
                <w:color w:val="auto"/>
                <w:kern w:val="2"/>
                <w:sz w:val="18"/>
                <w:szCs w:val="18"/>
                <w:u w:val="none"/>
                <w:lang w:val="en-US" w:eastAsia="zh-CN" w:bidi="ar-SA"/>
              </w:rPr>
            </w:pPr>
            <w:r>
              <w:rPr>
                <w:rFonts w:hint="default" w:ascii="Times New Roman" w:hAnsi="Times New Roman" w:eastAsia="仿宋_GB2312" w:cs="Times New Roman"/>
                <w:i w:val="0"/>
                <w:iCs w:val="0"/>
                <w:strike w:val="0"/>
                <w:dstrike w:val="0"/>
                <w:color w:val="auto"/>
                <w:kern w:val="0"/>
                <w:sz w:val="18"/>
                <w:szCs w:val="18"/>
                <w:u w:val="none"/>
                <w:lang w:val="en-US" w:eastAsia="zh-CN" w:bidi="ar"/>
              </w:rPr>
              <w:t>第七十五条　安排工作的退役军士和义务兵待安排工作期间，安置地人民政府应当按照当地月最低工资标准逐月发放生活补助。</w:t>
            </w:r>
            <w:r>
              <w:rPr>
                <w:rFonts w:hint="default" w:ascii="Times New Roman" w:hAnsi="Times New Roman" w:eastAsia="仿宋_GB2312" w:cs="Times New Roman"/>
                <w:i w:val="0"/>
                <w:iCs w:val="0"/>
                <w:strike w:val="0"/>
                <w:color w:val="auto"/>
                <w:kern w:val="0"/>
                <w:sz w:val="18"/>
                <w:szCs w:val="18"/>
                <w:u w:val="none"/>
                <w:lang w:val="en-US" w:eastAsia="zh-CN" w:bidi="ar"/>
              </w:rPr>
              <w:t xml:space="preserve"> </w:t>
            </w:r>
          </w:p>
        </w:tc>
        <w:tc>
          <w:tcPr>
            <w:tcW w:w="649" w:type="dxa"/>
            <w:tcBorders>
              <w:top w:val="single" w:color="auto" w:sz="4" w:space="0"/>
              <w:left w:val="nil"/>
              <w:bottom w:val="single" w:color="auto" w:sz="4" w:space="0"/>
              <w:right w:val="single" w:color="auto" w:sz="4" w:space="0"/>
            </w:tcBorders>
            <w:shd w:val="clear" w:color="auto" w:fill="auto"/>
            <w:vAlign w:val="center"/>
          </w:tcPr>
          <w:p w14:paraId="5656473B">
            <w:pPr>
              <w:keepNext w:val="0"/>
              <w:keepLines w:val="0"/>
              <w:pageBreakBefore w:val="0"/>
              <w:widowControl/>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4710" w:type="dxa"/>
            <w:tcBorders>
              <w:top w:val="single" w:color="auto" w:sz="4" w:space="0"/>
              <w:left w:val="nil"/>
              <w:bottom w:val="single" w:color="auto" w:sz="4" w:space="0"/>
              <w:right w:val="single" w:color="auto" w:sz="4" w:space="0"/>
            </w:tcBorders>
            <w:shd w:val="clear" w:color="auto" w:fill="auto"/>
            <w:vAlign w:val="center"/>
          </w:tcPr>
          <w:p w14:paraId="619173C4">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 xml:space="preserve">根据2024年7月29日公布的《退役军人安置条例》，实施依据修改为：《退役军人安置条例》(2024年7月29日中华人民共和国国务院、中华人民共和国中央军事委员会令第787号公布 自2024年9月1日起施行) </w:t>
            </w:r>
          </w:p>
          <w:p w14:paraId="660752E8">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第七十五条　安排工作的退役军士和义务兵待安排工作期间，安置地人民政府应当按照当地月最低工资标准逐月发放生活补助。</w:t>
            </w:r>
          </w:p>
        </w:tc>
      </w:tr>
      <w:tr w14:paraId="4F2D3DE6">
        <w:tblPrEx>
          <w:tblCellMar>
            <w:top w:w="0" w:type="dxa"/>
            <w:left w:w="108" w:type="dxa"/>
            <w:bottom w:w="0" w:type="dxa"/>
            <w:right w:w="108" w:type="dxa"/>
          </w:tblCellMar>
        </w:tblPrEx>
        <w:trPr>
          <w:trHeight w:val="5928"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633E22F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3</w:t>
            </w:r>
          </w:p>
        </w:tc>
        <w:tc>
          <w:tcPr>
            <w:tcW w:w="627" w:type="dxa"/>
            <w:tcBorders>
              <w:top w:val="single" w:color="auto" w:sz="4" w:space="0"/>
              <w:left w:val="nil"/>
              <w:bottom w:val="single" w:color="auto" w:sz="4" w:space="0"/>
              <w:right w:val="single" w:color="auto" w:sz="4" w:space="0"/>
            </w:tcBorders>
            <w:shd w:val="clear" w:color="auto" w:fill="auto"/>
            <w:vAlign w:val="center"/>
          </w:tcPr>
          <w:p w14:paraId="7B0E16E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行政给付</w:t>
            </w:r>
          </w:p>
        </w:tc>
        <w:tc>
          <w:tcPr>
            <w:tcW w:w="886" w:type="dxa"/>
            <w:tcBorders>
              <w:top w:val="single" w:color="auto" w:sz="4" w:space="0"/>
              <w:left w:val="nil"/>
              <w:bottom w:val="single" w:color="auto" w:sz="4" w:space="0"/>
              <w:right w:val="single" w:color="auto" w:sz="4" w:space="0"/>
            </w:tcBorders>
            <w:shd w:val="clear" w:color="auto" w:fill="auto"/>
            <w:vAlign w:val="center"/>
          </w:tcPr>
          <w:p w14:paraId="2DC780F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军人死亡一次性抚恤金的给付</w:t>
            </w:r>
          </w:p>
        </w:tc>
        <w:tc>
          <w:tcPr>
            <w:tcW w:w="419" w:type="dxa"/>
            <w:tcBorders>
              <w:top w:val="single" w:color="auto" w:sz="4" w:space="0"/>
              <w:left w:val="nil"/>
              <w:bottom w:val="single" w:color="auto" w:sz="4" w:space="0"/>
              <w:right w:val="single" w:color="auto" w:sz="4" w:space="0"/>
            </w:tcBorders>
            <w:shd w:val="clear" w:color="auto" w:fill="auto"/>
            <w:vAlign w:val="center"/>
          </w:tcPr>
          <w:p w14:paraId="4BCE984F">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w:t>
            </w:r>
          </w:p>
        </w:tc>
        <w:tc>
          <w:tcPr>
            <w:tcW w:w="6581" w:type="dxa"/>
            <w:tcBorders>
              <w:top w:val="single" w:color="auto" w:sz="4" w:space="0"/>
              <w:left w:val="nil"/>
              <w:bottom w:val="single" w:color="auto" w:sz="4" w:space="0"/>
              <w:right w:val="single" w:color="auto" w:sz="4" w:space="0"/>
            </w:tcBorders>
            <w:shd w:val="clear" w:color="auto" w:fill="auto"/>
            <w:vAlign w:val="center"/>
          </w:tcPr>
          <w:p w14:paraId="4C135C15">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6"/>
                <w:rFonts w:hint="default" w:ascii="Times New Roman" w:hAnsi="Times New Roman" w:eastAsia="仿宋_GB2312" w:cs="Times New Roman"/>
                <w:color w:val="auto"/>
                <w:sz w:val="18"/>
                <w:szCs w:val="18"/>
                <w:lang w:val="en-US" w:eastAsia="zh-CN" w:bidi="ar"/>
              </w:rPr>
            </w:pPr>
            <w:r>
              <w:rPr>
                <w:rStyle w:val="6"/>
                <w:rFonts w:hint="default" w:ascii="Times New Roman" w:hAnsi="Times New Roman" w:eastAsia="仿宋_GB2312" w:cs="Times New Roman"/>
                <w:color w:val="auto"/>
                <w:sz w:val="18"/>
                <w:szCs w:val="18"/>
                <w:lang w:val="en-US" w:eastAsia="zh-CN" w:bidi="ar"/>
              </w:rPr>
              <w:t>《军人抚恤优待条例》（2004年8月1日中华人民共和国国务院、中华人民共和国中央军事委员会令第413号公布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14:paraId="2786A40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6"/>
                <w:rFonts w:hint="default" w:ascii="Times New Roman" w:hAnsi="Times New Roman" w:eastAsia="仿宋_GB2312" w:cs="Times New Roman"/>
                <w:color w:val="auto"/>
                <w:sz w:val="18"/>
                <w:szCs w:val="18"/>
                <w:lang w:val="en-US" w:eastAsia="zh-CN" w:bidi="ar"/>
              </w:rPr>
            </w:pPr>
            <w:r>
              <w:rPr>
                <w:rStyle w:val="6"/>
                <w:rFonts w:hint="default" w:ascii="Times New Roman" w:hAnsi="Times New Roman" w:eastAsia="仿宋_GB2312" w:cs="Times New Roman"/>
                <w:color w:val="auto"/>
                <w:sz w:val="18"/>
                <w:szCs w:val="18"/>
                <w:lang w:val="en-US" w:eastAsia="zh-CN" w:bidi="ar"/>
              </w:rPr>
              <w:t>第十五条第二款</w:t>
            </w:r>
            <w:r>
              <w:rPr>
                <w:rFonts w:hint="eastAsia" w:ascii="Times New Roman" w:hAnsi="Times New Roman" w:eastAsia="仿宋_GB2312" w:cs="Times New Roman"/>
                <w:i w:val="0"/>
                <w:iCs w:val="0"/>
                <w:color w:val="auto"/>
                <w:kern w:val="0"/>
                <w:sz w:val="18"/>
                <w:szCs w:val="18"/>
                <w:u w:val="none"/>
                <w:lang w:val="en-US" w:eastAsia="zh-CN" w:bidi="ar"/>
              </w:rPr>
              <w:t>：</w:t>
            </w:r>
            <w:r>
              <w:rPr>
                <w:rStyle w:val="6"/>
                <w:rFonts w:hint="default" w:ascii="Times New Roman" w:hAnsi="Times New Roman" w:eastAsia="仿宋_GB2312" w:cs="Times New Roman"/>
                <w:color w:val="auto"/>
                <w:sz w:val="18"/>
                <w:szCs w:val="18"/>
                <w:lang w:val="en-US" w:eastAsia="zh-CN" w:bidi="ar"/>
              </w:rPr>
              <w:t>军人死亡，根据其死亡性质和死亡时的月基本工资标准，由收到《烈士评定通知书》、《军人因公牺牲通知书》、《军人病故通知书》的县级人民政府退役军人工作主管部门，按照以下标准发给其遗属一次性抚恤金。月基本工资或者津贴低于少尉军官基本工资标准的，按照少尉军官基本工资标准计算。被追授军衔的，按照所追授的军衔等级以及相应待遇级别确定月基本工资标准。</w:t>
            </w:r>
          </w:p>
          <w:p w14:paraId="62BEBDF4">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Fonts w:hint="default" w:ascii="Times New Roman" w:hAnsi="Times New Roman" w:eastAsia="仿宋_GB2312" w:cs="Times New Roman"/>
                <w:i w:val="0"/>
                <w:iCs w:val="0"/>
                <w:color w:val="auto"/>
                <w:kern w:val="2"/>
                <w:sz w:val="18"/>
                <w:szCs w:val="18"/>
                <w:u w:val="none"/>
                <w:lang w:val="en-US" w:eastAsia="zh-CN" w:bidi="ar-SA"/>
              </w:rPr>
            </w:pPr>
            <w:r>
              <w:rPr>
                <w:rStyle w:val="6"/>
                <w:rFonts w:hint="default" w:ascii="Times New Roman" w:hAnsi="Times New Roman" w:eastAsia="仿宋_GB2312" w:cs="Times New Roman"/>
                <w:color w:val="auto"/>
                <w:sz w:val="18"/>
                <w:szCs w:val="18"/>
                <w:lang w:val="en-US" w:eastAsia="zh-CN" w:bidi="ar"/>
              </w:rPr>
              <w:t>第三十二条第一款</w:t>
            </w:r>
            <w:r>
              <w:rPr>
                <w:rFonts w:hint="eastAsia" w:ascii="Times New Roman" w:hAnsi="Times New Roman" w:eastAsia="仿宋_GB2312" w:cs="Times New Roman"/>
                <w:i w:val="0"/>
                <w:iCs w:val="0"/>
                <w:color w:val="auto"/>
                <w:kern w:val="0"/>
                <w:sz w:val="18"/>
                <w:szCs w:val="18"/>
                <w:u w:val="none"/>
                <w:lang w:val="en-US" w:eastAsia="zh-CN" w:bidi="ar"/>
              </w:rPr>
              <w:t>：</w:t>
            </w:r>
            <w:r>
              <w:rPr>
                <w:rStyle w:val="6"/>
                <w:rFonts w:hint="default" w:ascii="Times New Roman" w:hAnsi="Times New Roman" w:eastAsia="仿宋_GB2312" w:cs="Times New Roman"/>
                <w:color w:val="auto"/>
                <w:sz w:val="18"/>
                <w:szCs w:val="18"/>
                <w:lang w:val="en-US" w:eastAsia="zh-CN" w:bidi="ar"/>
              </w:rPr>
              <w:t>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tc>
        <w:tc>
          <w:tcPr>
            <w:tcW w:w="649" w:type="dxa"/>
            <w:tcBorders>
              <w:top w:val="single" w:color="auto" w:sz="4" w:space="0"/>
              <w:left w:val="nil"/>
              <w:bottom w:val="single" w:color="auto" w:sz="4" w:space="0"/>
              <w:right w:val="single" w:color="auto" w:sz="4" w:space="0"/>
            </w:tcBorders>
            <w:shd w:val="clear" w:color="auto" w:fill="auto"/>
            <w:vAlign w:val="center"/>
          </w:tcPr>
          <w:p w14:paraId="6CCADD77">
            <w:pPr>
              <w:keepNext w:val="0"/>
              <w:keepLines w:val="0"/>
              <w:pageBreakBefore w:val="0"/>
              <w:widowControl/>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4710" w:type="dxa"/>
            <w:tcBorders>
              <w:top w:val="single" w:color="auto" w:sz="4" w:space="0"/>
              <w:left w:val="nil"/>
              <w:bottom w:val="single" w:color="auto" w:sz="4" w:space="0"/>
              <w:right w:val="single" w:color="auto" w:sz="4" w:space="0"/>
            </w:tcBorders>
            <w:shd w:val="clear" w:color="auto" w:fill="auto"/>
            <w:vAlign w:val="center"/>
          </w:tcPr>
          <w:p w14:paraId="0C04F6D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根据2024年10月1日公布的《军人抚恤优待条例》</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实施依据修改为：《军人抚恤优待条例》（2004年8月1日中华人民共和国国务院、中华人民共和国中央军事委员会令第413号公布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14:paraId="68915207">
            <w:pPr>
              <w:keepNext w:val="0"/>
              <w:keepLines w:val="0"/>
              <w:pageBreakBefore w:val="0"/>
              <w:widowControl/>
              <w:suppressLineNumbers w:val="0"/>
              <w:kinsoku/>
              <w:wordWrap/>
              <w:overflowPunct/>
              <w:topLinePunct w:val="0"/>
              <w:autoSpaceDE/>
              <w:autoSpaceDN/>
              <w:bidi w:val="0"/>
              <w:adjustRightInd/>
              <w:snapToGrid/>
              <w:spacing w:line="220" w:lineRule="exact"/>
              <w:ind w:firstLine="37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第十五条第二款</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144B7EB1">
            <w:pPr>
              <w:keepNext w:val="0"/>
              <w:keepLines w:val="0"/>
              <w:pageBreakBefore w:val="0"/>
              <w:widowControl/>
              <w:suppressLineNumbers w:val="0"/>
              <w:kinsoku/>
              <w:wordWrap/>
              <w:overflowPunct/>
              <w:topLinePunct w:val="0"/>
              <w:autoSpaceDE/>
              <w:autoSpaceDN/>
              <w:bidi w:val="0"/>
              <w:adjustRightInd/>
              <w:snapToGrid/>
              <w:spacing w:line="220" w:lineRule="exact"/>
              <w:ind w:firstLine="370"/>
              <w:jc w:val="both"/>
              <w:textAlignment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第三十二条第一款</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tc>
      </w:tr>
      <w:tr w14:paraId="260B1BA9">
        <w:tblPrEx>
          <w:tblCellMar>
            <w:top w:w="0" w:type="dxa"/>
            <w:left w:w="108" w:type="dxa"/>
            <w:bottom w:w="0" w:type="dxa"/>
            <w:right w:w="108" w:type="dxa"/>
          </w:tblCellMar>
        </w:tblPrEx>
        <w:trPr>
          <w:trHeight w:val="6052"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7B0921AA">
            <w:pPr>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4</w:t>
            </w:r>
          </w:p>
        </w:tc>
        <w:tc>
          <w:tcPr>
            <w:tcW w:w="627" w:type="dxa"/>
            <w:tcBorders>
              <w:top w:val="single" w:color="auto" w:sz="4" w:space="0"/>
              <w:left w:val="nil"/>
              <w:bottom w:val="single" w:color="auto" w:sz="4" w:space="0"/>
              <w:right w:val="single" w:color="auto" w:sz="4" w:space="0"/>
            </w:tcBorders>
            <w:shd w:val="clear" w:color="auto" w:fill="auto"/>
            <w:vAlign w:val="center"/>
          </w:tcPr>
          <w:p w14:paraId="1C395632">
            <w:pPr>
              <w:keepNext w:val="0"/>
              <w:keepLines w:val="0"/>
              <w:widowControl/>
              <w:suppressLineNumbers w:val="0"/>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行政给付</w:t>
            </w:r>
          </w:p>
        </w:tc>
        <w:tc>
          <w:tcPr>
            <w:tcW w:w="886" w:type="dxa"/>
            <w:tcBorders>
              <w:top w:val="single" w:color="auto" w:sz="4" w:space="0"/>
              <w:left w:val="nil"/>
              <w:bottom w:val="single" w:color="auto" w:sz="4" w:space="0"/>
              <w:right w:val="single" w:color="auto" w:sz="4" w:space="0"/>
            </w:tcBorders>
            <w:shd w:val="clear" w:color="auto" w:fill="auto"/>
            <w:vAlign w:val="center"/>
          </w:tcPr>
          <w:p w14:paraId="71FAA53B">
            <w:pPr>
              <w:keepNext w:val="0"/>
              <w:keepLines w:val="0"/>
              <w:widowControl/>
              <w:suppressLineNumbers w:val="0"/>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烈士遗属、因公牺牲军人遗属、病故军人遗属一次性抚恤金的给付</w:t>
            </w:r>
          </w:p>
        </w:tc>
        <w:tc>
          <w:tcPr>
            <w:tcW w:w="419" w:type="dxa"/>
            <w:tcBorders>
              <w:top w:val="single" w:color="auto" w:sz="4" w:space="0"/>
              <w:left w:val="nil"/>
              <w:bottom w:val="single" w:color="auto" w:sz="4" w:space="0"/>
              <w:right w:val="single" w:color="auto" w:sz="4" w:space="0"/>
            </w:tcBorders>
            <w:shd w:val="clear" w:color="auto" w:fill="auto"/>
            <w:vAlign w:val="center"/>
          </w:tcPr>
          <w:p w14:paraId="527EC9E6">
            <w:pPr>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w:t>
            </w:r>
          </w:p>
        </w:tc>
        <w:tc>
          <w:tcPr>
            <w:tcW w:w="6581" w:type="dxa"/>
            <w:tcBorders>
              <w:top w:val="single" w:color="auto" w:sz="4" w:space="0"/>
              <w:left w:val="nil"/>
              <w:bottom w:val="single" w:color="auto" w:sz="4" w:space="0"/>
              <w:right w:val="single" w:color="auto" w:sz="4" w:space="0"/>
            </w:tcBorders>
            <w:shd w:val="clear" w:color="auto" w:fill="auto"/>
            <w:vAlign w:val="center"/>
          </w:tcPr>
          <w:p w14:paraId="138D084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1.</w:t>
            </w:r>
            <w:r>
              <w:rPr>
                <w:rFonts w:hint="default" w:ascii="Times New Roman" w:hAnsi="Times New Roman" w:eastAsia="仿宋_GB2312" w:cs="Times New Roman"/>
                <w:i w:val="0"/>
                <w:iCs w:val="0"/>
                <w:color w:val="auto"/>
                <w:kern w:val="0"/>
                <w:sz w:val="18"/>
                <w:szCs w:val="18"/>
                <w:u w:val="none"/>
                <w:lang w:val="en-US" w:eastAsia="zh-CN" w:bidi="ar"/>
              </w:rPr>
              <w:t>《烈士褒扬条例》（2011年7月26日中华人民共和国国务院令第601号公布，根据2019年3月2日《国务院关于修改部分行政法规的决定》第一次修订　根据2019年8月1日《国务院关于修改〈烈士褒扬条例〉的决定》第二次修订，2024年9月27日中华人民共和国国务院令第791号第三次修订)</w:t>
            </w:r>
          </w:p>
          <w:p w14:paraId="5D9CF45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第十六条</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烈士遗属除享受本条例第十五条规定的烈士褒扬金外，属于《军人抚恤优待条例》以及相关规定适用范围的，还按照规定享受一次性抚恤金，标准为烈士牺牲时上一年度全国城镇居民人均可支配收入的20倍加烈士本人40个月的基本工资，由县级人民政府退役军人工作主管部门发放；属于《工伤保险条例》以及相关规定适用范围的，还按照规定享受一次性工亡补助金以及相当于烈士本人40个月基本工资的烈士遗属特别补助金，其中一次性工亡补助金按照《工伤保险条例》规定发放，烈士遗属特别补助金由县级人民政府退役军人工作主管部门发放。</w:t>
            </w:r>
          </w:p>
          <w:p w14:paraId="1FA38D6F">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不属于前款规定范围的烈士遗属，由县级人民政府退役军人工作主管部门发给一次性抚恤金，标准为烈士牺牲时上一年度全国城镇居民人均可支配收入的20倍加40个月的中国人民解放军少尉军官基本工资。</w:t>
            </w:r>
          </w:p>
          <w:p w14:paraId="307EAB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hint="eastAsia" w:ascii="Times New Roman" w:hAnsi="Times New Roman" w:eastAsia="仿宋_GB2312" w:cs="Times New Roman"/>
                <w:i w:val="0"/>
                <w:iCs w:val="0"/>
                <w:color w:val="auto"/>
                <w:kern w:val="0"/>
                <w:sz w:val="18"/>
                <w:szCs w:val="18"/>
                <w:u w:val="none"/>
                <w:lang w:val="en-US" w:eastAsia="zh-CN" w:bidi="ar"/>
              </w:rPr>
              <w:t xml:space="preserve">    </w:t>
            </w:r>
          </w:p>
          <w:p w14:paraId="55B2D3C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第十五条</w:t>
            </w:r>
            <w:r>
              <w:rPr>
                <w:rStyle w:val="6"/>
                <w:rFonts w:hint="default" w:ascii="Times New Roman" w:hAnsi="Times New Roman" w:eastAsia="仿宋_GB2312" w:cs="Times New Roman"/>
                <w:color w:val="auto"/>
                <w:sz w:val="18"/>
                <w:szCs w:val="18"/>
                <w:lang w:val="en-US" w:eastAsia="zh-CN" w:bidi="ar"/>
              </w:rPr>
              <w:t>第二款</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3E0D574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第十六条</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服现役期间获得功勋荣誉表彰的军人被评定为烈士、确认为因公牺牲或者病故的，其遗属在应当享受的一次性抚恤金的基础上，由县级人民政府退役军人工作主管部门按照下列比例增发一次性抚恤金：（一）获得勋章或者国家荣誉称号的，增发40%；（二）获得党中央、国务院、中央军事委员会单独或者联合授予荣誉称号的，增发35%；（三）立一等战功、获得一级表彰或者获得中央军事委员会授权的单位授予荣誉称号的，增发30%；（四）立二等战功、一等功或者获得二级表彰并经批准的，增发25%；（五）立三等战功或者二等功的，增发15%；（六）立四等战功或者三等功的，增发5%。服现役期间多次获得功勋荣誉表彰的烈士、因公牺牲军人、病故军人，其遗属由县级人民政府退役军人工作主管部门按照其中最高的增发比例，增发一次性抚恤金。</w:t>
            </w:r>
          </w:p>
        </w:tc>
        <w:tc>
          <w:tcPr>
            <w:tcW w:w="649" w:type="dxa"/>
            <w:tcBorders>
              <w:top w:val="single" w:color="auto" w:sz="4" w:space="0"/>
              <w:left w:val="nil"/>
              <w:bottom w:val="single" w:color="auto" w:sz="4" w:space="0"/>
              <w:right w:val="single" w:color="auto" w:sz="4" w:space="0"/>
            </w:tcBorders>
            <w:shd w:val="clear" w:color="auto" w:fill="auto"/>
            <w:vAlign w:val="center"/>
          </w:tcPr>
          <w:p w14:paraId="33B91929">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4710" w:type="dxa"/>
            <w:tcBorders>
              <w:top w:val="single" w:color="auto" w:sz="4" w:space="0"/>
              <w:left w:val="nil"/>
              <w:bottom w:val="single" w:color="auto" w:sz="4" w:space="0"/>
              <w:right w:val="single" w:color="auto" w:sz="4" w:space="0"/>
            </w:tcBorders>
            <w:shd w:val="clear" w:color="auto" w:fill="auto"/>
            <w:vAlign w:val="center"/>
          </w:tcPr>
          <w:p w14:paraId="6A539410">
            <w:pPr>
              <w:keepNext w:val="0"/>
              <w:keepLines w:val="0"/>
              <w:pageBreakBefore w:val="0"/>
              <w:widowControl/>
              <w:suppressLineNumbers w:val="0"/>
              <w:kinsoku/>
              <w:wordWrap/>
              <w:overflowPunct/>
              <w:topLinePunct w:val="0"/>
              <w:autoSpaceDE/>
              <w:autoSpaceDN/>
              <w:bidi w:val="0"/>
              <w:adjustRightInd/>
              <w:snapToGrid/>
              <w:spacing w:line="240" w:lineRule="exact"/>
              <w:ind w:firstLine="36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1.</w:t>
            </w:r>
            <w:r>
              <w:rPr>
                <w:rFonts w:hint="default" w:ascii="Times New Roman" w:hAnsi="Times New Roman" w:eastAsia="仿宋_GB2312" w:cs="Times New Roman"/>
                <w:i w:val="0"/>
                <w:iCs w:val="0"/>
                <w:color w:val="auto"/>
                <w:kern w:val="0"/>
                <w:sz w:val="18"/>
                <w:szCs w:val="18"/>
                <w:u w:val="none"/>
                <w:lang w:val="en-US" w:eastAsia="zh-CN" w:bidi="ar"/>
              </w:rPr>
              <w:t>根据2024年9月27日公布的《烈士褒扬条例》第</w:t>
            </w:r>
            <w:r>
              <w:rPr>
                <w:rFonts w:hint="eastAsia" w:ascii="Times New Roman" w:hAnsi="Times New Roman" w:eastAsia="仿宋_GB2312" w:cs="Times New Roman"/>
                <w:i w:val="0"/>
                <w:iCs w:val="0"/>
                <w:color w:val="auto"/>
                <w:kern w:val="0"/>
                <w:sz w:val="18"/>
                <w:szCs w:val="18"/>
                <w:u w:val="none"/>
                <w:lang w:val="en-US" w:eastAsia="zh-CN" w:bidi="ar"/>
              </w:rPr>
              <w:t>1</w:t>
            </w:r>
            <w:r>
              <w:rPr>
                <w:rFonts w:hint="default" w:ascii="Times New Roman" w:hAnsi="Times New Roman" w:eastAsia="仿宋_GB2312" w:cs="Times New Roman"/>
                <w:i w:val="0"/>
                <w:iCs w:val="0"/>
                <w:color w:val="auto"/>
                <w:kern w:val="0"/>
                <w:sz w:val="18"/>
                <w:szCs w:val="18"/>
                <w:u w:val="none"/>
                <w:lang w:val="en-US" w:eastAsia="zh-CN" w:bidi="ar"/>
              </w:rPr>
              <w:t>条实施依据修改为：《烈士褒扬条例》（2011年7月26日中华人民共和国国务院令第601号公布，根据2019年3月2日《国务院关于修改部分行政法规的决定》第一次修订　根据2019年8月1日《国务院关于修改〈烈士褒扬条例〉的决定》第二次修订，2024年9月27日中华人民共和国国务院令第791号第三次修订)</w:t>
            </w:r>
          </w:p>
          <w:p w14:paraId="69C20C9F">
            <w:pPr>
              <w:keepNext w:val="0"/>
              <w:keepLines w:val="0"/>
              <w:pageBreakBefore w:val="0"/>
              <w:widowControl/>
              <w:suppressLineNumbers w:val="0"/>
              <w:kinsoku/>
              <w:wordWrap/>
              <w:overflowPunct/>
              <w:topLinePunct w:val="0"/>
              <w:autoSpaceDE/>
              <w:autoSpaceDN/>
              <w:bidi w:val="0"/>
              <w:adjustRightInd/>
              <w:snapToGrid/>
              <w:spacing w:line="240" w:lineRule="exact"/>
              <w:ind w:firstLine="36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第十六条</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烈士遗属除享受本条例第十五条规定的烈士褒扬金外，属于《军人抚恤优待条例》以及相关规定适用范围的，还按照规定享受一次性抚恤金，标准为烈士牺牲时上一年度全国城镇居民人均可支配收入的20倍加烈士本人40个月的基本工资，由县级人民政府退役军人工作主管部门发放；属于《工伤保险条例》以及相关规定适用范围的，还按照规定享受一次性工亡补助金以及相当于烈士本人40个月基本工资的烈士遗属特别补助金，其中一次性工亡补助金按照《工伤保险条例》规定发放，烈士遗属特别补助金由县级人民政府退役军人工作主管部门发放。</w:t>
            </w:r>
          </w:p>
          <w:p w14:paraId="3D5AD1E1">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不属于前款规定范围的烈士遗属，由县级人民政府退役军人工作主管部门发给一次性抚恤金，标准为烈士牺牲时上一年度全国城镇居民人均可支配收入的20倍加40个月的中国人民解放军少尉军官基本工资。</w:t>
            </w:r>
          </w:p>
          <w:p w14:paraId="7C91C9C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根据2024年10月1日公布的《军人抚恤优待条例》</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第</w:t>
            </w:r>
            <w:r>
              <w:rPr>
                <w:rFonts w:hint="eastAsia" w:ascii="Times New Roman" w:hAnsi="Times New Roman" w:eastAsia="仿宋_GB2312" w:cs="Times New Roman"/>
                <w:i w:val="0"/>
                <w:iCs w:val="0"/>
                <w:color w:val="auto"/>
                <w:kern w:val="0"/>
                <w:sz w:val="18"/>
                <w:szCs w:val="18"/>
                <w:u w:val="none"/>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条实施依据修改为：《军人抚恤优待条例》（2004年8月1日中华人民共和国国务院、中华人民共和国中央军事委员会令第413号公布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14:paraId="4B0D91B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第十五条</w:t>
            </w:r>
            <w:r>
              <w:rPr>
                <w:rStyle w:val="6"/>
                <w:rFonts w:hint="default" w:ascii="Times New Roman" w:hAnsi="Times New Roman" w:eastAsia="仿宋_GB2312" w:cs="Times New Roman"/>
                <w:color w:val="auto"/>
                <w:sz w:val="18"/>
                <w:szCs w:val="18"/>
                <w:lang w:val="en-US" w:eastAsia="zh-CN" w:bidi="ar"/>
              </w:rPr>
              <w:t>第二款</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7F8B963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第十六条</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服现役期间获得功勋荣誉表彰的军人被评定为烈士、确认为因公牺牲或者病故的，其遗属在应当享受的一次性抚恤金的基础上，由县级人民政府退役军人工作主管部门按照下列比例增发一次性抚恤金：（一）获得勋章或者国家荣誉称号的，增发40%；（二）获得党中央、国务院、中央军事委员会单独或者联合授予荣誉称号的，增发35%；（三）立一等战功、获得一级表彰或者获得中央军事委员会授权的单位授予荣誉称号的，增发30%；（四）立二等战功、一等功或者获得二级表彰并经批准的，增发25%；（五）立三等战功或者二等功的，增发15%；（六）立四等战功或者三等功的，增发5%。服现役期间多次获得功勋荣誉表彰的烈士、因公牺牲军人、病故军人，其遗属由县级人民政府退役军人工作主管部门按照其中最高的增发比例，增发一次性抚恤金。</w:t>
            </w:r>
          </w:p>
        </w:tc>
      </w:tr>
      <w:tr w14:paraId="32D0CBA4">
        <w:tblPrEx>
          <w:tblCellMar>
            <w:top w:w="0" w:type="dxa"/>
            <w:left w:w="108" w:type="dxa"/>
            <w:bottom w:w="0" w:type="dxa"/>
            <w:right w:w="108" w:type="dxa"/>
          </w:tblCellMar>
        </w:tblPrEx>
        <w:trPr>
          <w:trHeight w:val="5870"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5124BAA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5</w:t>
            </w:r>
          </w:p>
        </w:tc>
        <w:tc>
          <w:tcPr>
            <w:tcW w:w="627" w:type="dxa"/>
            <w:tcBorders>
              <w:top w:val="single" w:color="auto" w:sz="4" w:space="0"/>
              <w:left w:val="nil"/>
              <w:bottom w:val="single" w:color="auto" w:sz="4" w:space="0"/>
              <w:right w:val="single" w:color="auto" w:sz="4" w:space="0"/>
            </w:tcBorders>
            <w:shd w:val="clear" w:color="auto" w:fill="auto"/>
            <w:vAlign w:val="center"/>
          </w:tcPr>
          <w:p w14:paraId="0DD943F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其他权力</w:t>
            </w:r>
          </w:p>
        </w:tc>
        <w:tc>
          <w:tcPr>
            <w:tcW w:w="886" w:type="dxa"/>
            <w:tcBorders>
              <w:top w:val="single" w:color="auto" w:sz="4" w:space="0"/>
              <w:left w:val="nil"/>
              <w:bottom w:val="single" w:color="auto" w:sz="4" w:space="0"/>
              <w:right w:val="single" w:color="auto" w:sz="4" w:space="0"/>
            </w:tcBorders>
            <w:shd w:val="clear" w:color="auto" w:fill="auto"/>
            <w:vAlign w:val="center"/>
          </w:tcPr>
          <w:p w14:paraId="09BAEC7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确定县级烈士纪念设施并报县政府批准</w:t>
            </w:r>
          </w:p>
        </w:tc>
        <w:tc>
          <w:tcPr>
            <w:tcW w:w="419" w:type="dxa"/>
            <w:tcBorders>
              <w:top w:val="single" w:color="auto" w:sz="4" w:space="0"/>
              <w:left w:val="nil"/>
              <w:bottom w:val="single" w:color="auto" w:sz="4" w:space="0"/>
              <w:right w:val="single" w:color="auto" w:sz="4" w:space="0"/>
            </w:tcBorders>
            <w:shd w:val="clear" w:color="auto" w:fill="auto"/>
            <w:vAlign w:val="center"/>
          </w:tcPr>
          <w:p w14:paraId="703D0E3F">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81" w:type="dxa"/>
            <w:tcBorders>
              <w:top w:val="single" w:color="auto" w:sz="4" w:space="0"/>
              <w:left w:val="nil"/>
              <w:bottom w:val="single" w:color="auto" w:sz="4" w:space="0"/>
              <w:right w:val="single" w:color="auto" w:sz="4" w:space="0"/>
            </w:tcBorders>
            <w:shd w:val="clear" w:color="auto" w:fill="auto"/>
            <w:vAlign w:val="center"/>
          </w:tcPr>
          <w:p w14:paraId="3FFDBA31">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1.</w:t>
            </w:r>
            <w:r>
              <w:rPr>
                <w:rFonts w:hint="default" w:ascii="Times New Roman" w:hAnsi="Times New Roman" w:eastAsia="仿宋_GB2312" w:cs="Times New Roman"/>
                <w:i w:val="0"/>
                <w:iCs w:val="0"/>
                <w:color w:val="auto"/>
                <w:kern w:val="0"/>
                <w:sz w:val="18"/>
                <w:szCs w:val="18"/>
                <w:u w:val="none"/>
                <w:lang w:val="en-US" w:eastAsia="zh-CN" w:bidi="ar"/>
              </w:rPr>
              <w:t>《烈士褒扬条例》（2011年7月26日中华人民共和国国务院令第601号公布，根据2019年3月2日《国务院关于修改部分行政法规的决定》第一次修订　根据2019年8月1日《国务院关于修改〈烈士褒扬条例〉的决定》第二次修订，2024年9月27日中华人民共和国国务院令第791号第三次修订)</w:t>
            </w:r>
          </w:p>
          <w:p w14:paraId="515CBBA5">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三十三条：对烈士纪念设施实行分级保护，根据纪念意义、建设规模、保护状况等分为国家级烈士纪念设施、省级烈士纪念设施、设区的市级烈士纪念设施和县级烈士纪念设施。分级的具体标准由国务院退役军人工作主管部门规定。</w:t>
            </w:r>
          </w:p>
          <w:p w14:paraId="5E5B1BE8">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国家级烈士纪念设施，由国务院退役军人工作主管部门报国务院批准后公布。</w:t>
            </w:r>
          </w:p>
          <w:p w14:paraId="1774AB82">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7"/>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地方各级烈士纪念设施，由县级以上地方人民政府退役军人工作主管部门报本级人民政府批准后公布，并报上一级人民政府退役军人工作主管部门备案。</w:t>
            </w:r>
            <w:r>
              <w:rPr>
                <w:rStyle w:val="7"/>
                <w:rFonts w:hint="default" w:ascii="Times New Roman" w:hAnsi="Times New Roman" w:eastAsia="仿宋_GB2312" w:cs="Times New Roman"/>
                <w:color w:val="auto"/>
                <w:sz w:val="18"/>
                <w:szCs w:val="18"/>
                <w:lang w:val="en-US" w:eastAsia="zh-CN" w:bidi="ar"/>
              </w:rPr>
              <w:br w:type="textWrapping"/>
            </w:r>
            <w:r>
              <w:rPr>
                <w:rStyle w:val="7"/>
                <w:rFonts w:hint="default" w:ascii="Times New Roman" w:hAnsi="Times New Roman" w:eastAsia="仿宋_GB2312" w:cs="Times New Roman"/>
                <w:color w:val="auto"/>
                <w:sz w:val="18"/>
                <w:szCs w:val="18"/>
                <w:lang w:val="en-US" w:eastAsia="zh-CN" w:bidi="ar"/>
              </w:rPr>
              <w:t xml:space="preserve">    2.《烈士纪念设施保护管理办法》（2013年6月27日民政部令第47号公布  2022年1月24日退役军人事务部令第6号修订）</w:t>
            </w:r>
          </w:p>
          <w:p w14:paraId="57C31E34">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color w:val="auto"/>
                <w:kern w:val="2"/>
                <w:sz w:val="18"/>
                <w:szCs w:val="18"/>
                <w:lang w:val="en-US" w:eastAsia="zh-CN" w:bidi="ar-SA"/>
              </w:rPr>
            </w:pPr>
            <w:r>
              <w:rPr>
                <w:rStyle w:val="7"/>
                <w:rFonts w:hint="default" w:ascii="Times New Roman" w:hAnsi="Times New Roman" w:eastAsia="仿宋_GB2312" w:cs="Times New Roman"/>
                <w:color w:val="auto"/>
                <w:sz w:val="18"/>
                <w:szCs w:val="18"/>
                <w:lang w:val="en-US" w:eastAsia="zh-CN" w:bidi="ar"/>
              </w:rPr>
              <w:t>第九条第二款：申报地方各级烈士纪念设施，由拟核定其保护级别的县级以上人民政府退役军人工作主管部门向本级人民政府提出申请，经本级人民政府批准后公布，并在公布后二十个工作日内报上一级人民政府退役军人工作主管部门备案。</w:t>
            </w:r>
          </w:p>
        </w:tc>
        <w:tc>
          <w:tcPr>
            <w:tcW w:w="649" w:type="dxa"/>
            <w:tcBorders>
              <w:top w:val="single" w:color="auto" w:sz="4" w:space="0"/>
              <w:left w:val="nil"/>
              <w:bottom w:val="single" w:color="auto" w:sz="4" w:space="0"/>
              <w:right w:val="single" w:color="auto" w:sz="4" w:space="0"/>
            </w:tcBorders>
            <w:shd w:val="clear" w:color="auto" w:fill="auto"/>
            <w:vAlign w:val="center"/>
          </w:tcPr>
          <w:p w14:paraId="5C9D7185">
            <w:pPr>
              <w:keepNext w:val="0"/>
              <w:keepLines w:val="0"/>
              <w:pageBreakBefore w:val="0"/>
              <w:widowControl/>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rPr>
              <w:t>规范</w:t>
            </w:r>
          </w:p>
        </w:tc>
        <w:tc>
          <w:tcPr>
            <w:tcW w:w="4710" w:type="dxa"/>
            <w:tcBorders>
              <w:top w:val="single" w:color="auto" w:sz="4" w:space="0"/>
              <w:left w:val="nil"/>
              <w:bottom w:val="single" w:color="auto" w:sz="4" w:space="0"/>
              <w:right w:val="single" w:color="auto" w:sz="4" w:space="0"/>
            </w:tcBorders>
            <w:shd w:val="clear" w:color="auto" w:fill="auto"/>
            <w:vAlign w:val="center"/>
          </w:tcPr>
          <w:p w14:paraId="08F671AE">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根据2025年1月1日公布的《烈士褒扬条例》，第1条实施依据修改为：《烈士褒扬条例》（2011年7月26日中华人民共和国国务院令第601号公布，根据2019年3月2日《国务院关于修改部分行政法规的决定》第一次修订　根据2019年8月1日《国务院关于修改〈烈士褒扬条例〉的决定》第二次修订，2024年9月27日中华人民共和国国务院令第791号第三次修订）</w:t>
            </w:r>
          </w:p>
          <w:p w14:paraId="3E513F0B">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第三十三条：对烈士纪念设施实行分级保护，根据纪念意义、建设规模、保护状况等分为国家级烈士纪念设施、省级烈士纪念设施、设区的市级烈士纪念设施和县级烈士纪念设施。分级的具体标准由国务院退役军人工作主管部门规定。</w:t>
            </w:r>
          </w:p>
          <w:p w14:paraId="48BDBF6B">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国家级烈士纪念设施，由国务院退役军人工作主管部门报国务院批准后公布。</w:t>
            </w:r>
          </w:p>
          <w:p w14:paraId="4680F759">
            <w:pPr>
              <w:keepNext w:val="0"/>
              <w:keepLines w:val="0"/>
              <w:pageBreakBefore w:val="0"/>
              <w:widowControl/>
              <w:suppressLineNumbers w:val="0"/>
              <w:kinsoku/>
              <w:wordWrap/>
              <w:overflowPunct/>
              <w:topLinePunct w:val="0"/>
              <w:autoSpaceDE/>
              <w:autoSpaceDN/>
              <w:bidi w:val="0"/>
              <w:adjustRightInd/>
              <w:snapToGrid/>
              <w:spacing w:line="220" w:lineRule="exact"/>
              <w:ind w:firstLine="360"/>
              <w:jc w:val="both"/>
              <w:textAlignment w:val="center"/>
              <w:rPr>
                <w:rFonts w:hint="default"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s="Times New Roman"/>
                <w:i w:val="0"/>
                <w:iCs w:val="0"/>
                <w:color w:val="auto"/>
                <w:kern w:val="0"/>
                <w:sz w:val="18"/>
                <w:szCs w:val="18"/>
                <w:u w:val="none"/>
                <w:lang w:val="en-US" w:eastAsia="zh-CN" w:bidi="ar"/>
              </w:rPr>
              <w:t>地方各级烈士纪念设施，由县级以上地方人民政府退役军人工作主管部门报本级人民政府批准后公布，并报上一级人民政府退役军人工作主管部门备案。</w:t>
            </w:r>
          </w:p>
        </w:tc>
      </w:tr>
      <w:tr w14:paraId="742A48F4">
        <w:tblPrEx>
          <w:tblCellMar>
            <w:top w:w="0" w:type="dxa"/>
            <w:left w:w="108" w:type="dxa"/>
            <w:bottom w:w="0" w:type="dxa"/>
            <w:right w:w="108" w:type="dxa"/>
          </w:tblCellMar>
        </w:tblPrEx>
        <w:trPr>
          <w:trHeight w:val="4115"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4A311D0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val="en-US" w:eastAsia="zh-CN"/>
              </w:rPr>
              <w:t>6</w:t>
            </w:r>
          </w:p>
        </w:tc>
        <w:tc>
          <w:tcPr>
            <w:tcW w:w="627" w:type="dxa"/>
            <w:tcBorders>
              <w:top w:val="single" w:color="auto" w:sz="4" w:space="0"/>
              <w:left w:val="nil"/>
              <w:bottom w:val="single" w:color="auto" w:sz="4" w:space="0"/>
              <w:right w:val="single" w:color="auto" w:sz="4" w:space="0"/>
            </w:tcBorders>
            <w:shd w:val="clear" w:color="auto" w:fill="auto"/>
            <w:vAlign w:val="center"/>
          </w:tcPr>
          <w:p w14:paraId="6DF1140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其他权力</w:t>
            </w:r>
          </w:p>
        </w:tc>
        <w:tc>
          <w:tcPr>
            <w:tcW w:w="886" w:type="dxa"/>
            <w:tcBorders>
              <w:top w:val="single" w:color="auto" w:sz="4" w:space="0"/>
              <w:left w:val="nil"/>
              <w:bottom w:val="single" w:color="auto" w:sz="4" w:space="0"/>
              <w:right w:val="single" w:color="auto" w:sz="4" w:space="0"/>
            </w:tcBorders>
            <w:shd w:val="clear" w:color="auto" w:fill="auto"/>
            <w:vAlign w:val="center"/>
          </w:tcPr>
          <w:p w14:paraId="7F7E763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带病回乡</w:t>
            </w:r>
            <w:r>
              <w:rPr>
                <w:rFonts w:hint="eastAsia" w:ascii="Times New Roman" w:hAnsi="Times New Roman" w:eastAsia="仿宋_GB2312" w:cs="Times New Roman"/>
                <w:i w:val="0"/>
                <w:iCs w:val="0"/>
                <w:color w:val="auto"/>
                <w:kern w:val="0"/>
                <w:sz w:val="18"/>
                <w:szCs w:val="18"/>
                <w:u w:val="none"/>
                <w:lang w:val="en-US" w:eastAsia="zh-CN" w:bidi="ar"/>
              </w:rPr>
              <w:t>退役</w:t>
            </w:r>
            <w:r>
              <w:rPr>
                <w:rFonts w:hint="default" w:ascii="Times New Roman" w:hAnsi="Times New Roman" w:eastAsia="仿宋_GB2312" w:cs="Times New Roman"/>
                <w:i w:val="0"/>
                <w:iCs w:val="0"/>
                <w:color w:val="auto"/>
                <w:kern w:val="0"/>
                <w:sz w:val="18"/>
                <w:szCs w:val="18"/>
                <w:u w:val="none"/>
                <w:lang w:val="en-US" w:eastAsia="zh-CN" w:bidi="ar"/>
              </w:rPr>
              <w:t>军人认定</w:t>
            </w:r>
          </w:p>
        </w:tc>
        <w:tc>
          <w:tcPr>
            <w:tcW w:w="419" w:type="dxa"/>
            <w:tcBorders>
              <w:top w:val="single" w:color="auto" w:sz="4" w:space="0"/>
              <w:left w:val="nil"/>
              <w:bottom w:val="single" w:color="auto" w:sz="4" w:space="0"/>
              <w:right w:val="single" w:color="auto" w:sz="4" w:space="0"/>
            </w:tcBorders>
            <w:shd w:val="clear" w:color="auto" w:fill="auto"/>
            <w:vAlign w:val="center"/>
          </w:tcPr>
          <w:p w14:paraId="6F4D3AD5">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81" w:type="dxa"/>
            <w:tcBorders>
              <w:top w:val="single" w:color="auto" w:sz="4" w:space="0"/>
              <w:left w:val="nil"/>
              <w:bottom w:val="single" w:color="auto" w:sz="4" w:space="0"/>
              <w:right w:val="single" w:color="auto" w:sz="4" w:space="0"/>
            </w:tcBorders>
            <w:shd w:val="clear" w:color="auto" w:fill="auto"/>
            <w:vAlign w:val="center"/>
          </w:tcPr>
          <w:p w14:paraId="2CB26F9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 xml:space="preserve">    1.《军人抚恤优待条例》（2004年8月1日中华人民共和国国务院、中华人民共和国中央军事委员会令第413号公布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 xml:space="preserve">    第六十二条</w:t>
            </w:r>
            <w:r>
              <w:rPr>
                <w:rFonts w:hint="eastAsia" w:ascii="Times New Roman" w:hAnsi="Times New Roman" w:eastAsia="仿宋_GB2312" w:cs="Times New Roman"/>
                <w:i w:val="0"/>
                <w:iCs w:val="0"/>
                <w:color w:val="auto"/>
                <w:kern w:val="0"/>
                <w:sz w:val="18"/>
                <w:szCs w:val="18"/>
                <w:u w:val="none"/>
                <w:lang w:val="en-US" w:eastAsia="zh-CN" w:bidi="ar"/>
              </w:rPr>
              <w:t>第一款：</w:t>
            </w:r>
            <w:r>
              <w:rPr>
                <w:rFonts w:hint="default" w:ascii="Times New Roman" w:hAnsi="Times New Roman" w:eastAsia="仿宋_GB2312" w:cs="Times New Roman"/>
                <w:i w:val="0"/>
                <w:iCs w:val="0"/>
                <w:color w:val="auto"/>
                <w:kern w:val="0"/>
                <w:sz w:val="18"/>
                <w:szCs w:val="18"/>
                <w:u w:val="none"/>
                <w:lang w:val="en-US" w:eastAsia="zh-CN" w:bidi="ar"/>
              </w:rPr>
              <w:t>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r>
              <w:rPr>
                <w:rStyle w:val="7"/>
                <w:rFonts w:hint="default" w:ascii="Times New Roman" w:hAnsi="Times New Roman" w:eastAsia="仿宋_GB2312" w:cs="Times New Roman"/>
                <w:color w:val="auto"/>
                <w:sz w:val="18"/>
                <w:szCs w:val="18"/>
                <w:lang w:val="en-US" w:eastAsia="zh-CN" w:bidi="ar"/>
              </w:rPr>
              <w:br w:type="textWrapping"/>
            </w:r>
            <w:r>
              <w:rPr>
                <w:rStyle w:val="7"/>
                <w:rFonts w:hint="default" w:ascii="Times New Roman" w:hAnsi="Times New Roman" w:eastAsia="仿宋_GB2312" w:cs="Times New Roman"/>
                <w:color w:val="auto"/>
                <w:sz w:val="18"/>
                <w:szCs w:val="18"/>
                <w:lang w:val="en-US" w:eastAsia="zh-CN" w:bidi="ar"/>
              </w:rPr>
              <w:t xml:space="preserve">    2.《民政部关于进一步规范带病回乡退伍军人认定有关问题的通知》（民函〔2012〕255号）一.申请享受带病回乡退伍军人待遇，应当由当事人向县级人民政府民政部门提出，由设区的市级以上地方人民政府民政部门审批。具体审批机关由省级人民政府民政部门规定。</w:t>
            </w:r>
            <w:r>
              <w:rPr>
                <w:rStyle w:val="7"/>
                <w:rFonts w:hint="default" w:ascii="Times New Roman" w:hAnsi="Times New Roman" w:eastAsia="仿宋_GB2312" w:cs="Times New Roman"/>
                <w:color w:val="auto"/>
                <w:sz w:val="18"/>
                <w:szCs w:val="18"/>
                <w:lang w:val="en-US" w:eastAsia="zh-CN" w:bidi="ar"/>
              </w:rPr>
              <w:br w:type="textWrapping"/>
            </w:r>
            <w:r>
              <w:rPr>
                <w:rStyle w:val="7"/>
                <w:rFonts w:hint="default" w:ascii="Times New Roman" w:hAnsi="Times New Roman" w:eastAsia="仿宋_GB2312" w:cs="Times New Roman"/>
                <w:color w:val="auto"/>
                <w:sz w:val="18"/>
                <w:szCs w:val="18"/>
                <w:lang w:val="en-US" w:eastAsia="zh-CN" w:bidi="ar"/>
              </w:rPr>
              <w:t xml:space="preserve">   </w:t>
            </w:r>
            <w:r>
              <w:rPr>
                <w:rStyle w:val="4"/>
                <w:rFonts w:hint="default" w:ascii="Times New Roman" w:hAnsi="Times New Roman" w:eastAsia="仿宋_GB2312" w:cs="Times New Roman"/>
                <w:color w:val="auto"/>
                <w:sz w:val="18"/>
                <w:szCs w:val="18"/>
                <w:lang w:val="en-US" w:eastAsia="zh-CN" w:bidi="ar"/>
              </w:rPr>
              <w:t xml:space="preserve"> 3.《关于明确带病回乡退伍军人相关政策的批复》（皖退役军人秘〔2021〕106号）规定：根据《民政部关于进一步规范带病回乡退伍军人认定有关问题的通知》（民函〔2012〕255号）文件精神，我省认定带病回乡退伍军人身份的审批机关为设区的市退役军人事务部门。</w:t>
            </w:r>
          </w:p>
        </w:tc>
        <w:tc>
          <w:tcPr>
            <w:tcW w:w="649" w:type="dxa"/>
            <w:tcBorders>
              <w:top w:val="single" w:color="auto" w:sz="4" w:space="0"/>
              <w:left w:val="nil"/>
              <w:bottom w:val="single" w:color="auto" w:sz="4" w:space="0"/>
              <w:right w:val="single" w:color="auto" w:sz="4" w:space="0"/>
            </w:tcBorders>
            <w:shd w:val="clear" w:color="auto" w:fill="auto"/>
            <w:vAlign w:val="center"/>
          </w:tcPr>
          <w:p w14:paraId="6D99DADA">
            <w:pPr>
              <w:keepNext w:val="0"/>
              <w:keepLines w:val="0"/>
              <w:pageBreakBefore w:val="0"/>
              <w:widowControl/>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4710" w:type="dxa"/>
            <w:tcBorders>
              <w:top w:val="single" w:color="auto" w:sz="4" w:space="0"/>
              <w:left w:val="nil"/>
              <w:bottom w:val="single" w:color="auto" w:sz="4" w:space="0"/>
              <w:right w:val="single" w:color="auto" w:sz="4" w:space="0"/>
            </w:tcBorders>
            <w:shd w:val="clear" w:color="auto" w:fill="auto"/>
            <w:vAlign w:val="center"/>
          </w:tcPr>
          <w:p w14:paraId="1217D03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 xml:space="preserve">  </w:t>
            </w:r>
            <w:r>
              <w:rPr>
                <w:rFonts w:hint="eastAsia" w:ascii="Times New Roman" w:hAnsi="Times New Roman" w:eastAsia="仿宋_GB2312" w:cs="Times New Roman"/>
                <w:i w:val="0"/>
                <w:iCs w:val="0"/>
                <w:color w:val="auto"/>
                <w:kern w:val="0"/>
                <w:sz w:val="18"/>
                <w:szCs w:val="18"/>
                <w:u w:val="none"/>
                <w:lang w:val="en-US" w:eastAsia="zh-CN" w:bidi="ar"/>
              </w:rPr>
              <w:t xml:space="preserve">  1.名称修改为：</w:t>
            </w:r>
            <w:r>
              <w:rPr>
                <w:rFonts w:hint="default" w:ascii="Times New Roman" w:hAnsi="Times New Roman" w:eastAsia="仿宋_GB2312" w:cs="Times New Roman"/>
                <w:i w:val="0"/>
                <w:iCs w:val="0"/>
                <w:color w:val="auto"/>
                <w:kern w:val="0"/>
                <w:sz w:val="18"/>
                <w:szCs w:val="18"/>
                <w:u w:val="none"/>
                <w:lang w:val="en-US" w:eastAsia="zh-CN" w:bidi="ar"/>
              </w:rPr>
              <w:t>带病回乡</w:t>
            </w:r>
            <w:r>
              <w:rPr>
                <w:rFonts w:hint="eastAsia" w:ascii="Times New Roman" w:hAnsi="Times New Roman" w:eastAsia="仿宋_GB2312" w:cs="Times New Roman"/>
                <w:i w:val="0"/>
                <w:iCs w:val="0"/>
                <w:color w:val="auto"/>
                <w:kern w:val="0"/>
                <w:sz w:val="18"/>
                <w:szCs w:val="18"/>
                <w:u w:val="none"/>
                <w:lang w:val="en-US" w:eastAsia="zh-CN" w:bidi="ar"/>
              </w:rPr>
              <w:t>退役</w:t>
            </w:r>
            <w:r>
              <w:rPr>
                <w:rFonts w:hint="default" w:ascii="Times New Roman" w:hAnsi="Times New Roman" w:eastAsia="仿宋_GB2312" w:cs="Times New Roman"/>
                <w:i w:val="0"/>
                <w:iCs w:val="0"/>
                <w:color w:val="auto"/>
                <w:kern w:val="0"/>
                <w:sz w:val="18"/>
                <w:szCs w:val="18"/>
                <w:u w:val="none"/>
                <w:lang w:val="en-US" w:eastAsia="zh-CN" w:bidi="ar"/>
              </w:rPr>
              <w:t>军人认定</w:t>
            </w:r>
          </w:p>
          <w:p w14:paraId="6E25703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根据2024年10月1日公布的《军人抚恤优待条例》</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第1条实施依据修改为： 1.《军人抚恤优待条例》（2004年8月1日中华人民共和国国务院、中华人民共和国中央军事委员会令第413号公布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 xml:space="preserve">    第六十二条</w:t>
            </w:r>
            <w:r>
              <w:rPr>
                <w:rFonts w:hint="eastAsia" w:ascii="Times New Roman" w:hAnsi="Times New Roman" w:eastAsia="仿宋_GB2312" w:cs="Times New Roman"/>
                <w:i w:val="0"/>
                <w:iCs w:val="0"/>
                <w:color w:val="auto"/>
                <w:kern w:val="0"/>
                <w:sz w:val="18"/>
                <w:szCs w:val="18"/>
                <w:u w:val="none"/>
                <w:lang w:val="en-US" w:eastAsia="zh-CN" w:bidi="ar"/>
              </w:rPr>
              <w:t>第一款：</w:t>
            </w:r>
            <w:r>
              <w:rPr>
                <w:rFonts w:hint="default" w:ascii="Times New Roman" w:hAnsi="Times New Roman" w:eastAsia="仿宋_GB2312" w:cs="Times New Roman"/>
                <w:i w:val="0"/>
                <w:iCs w:val="0"/>
                <w:color w:val="auto"/>
                <w:kern w:val="0"/>
                <w:sz w:val="18"/>
                <w:szCs w:val="18"/>
                <w:u w:val="none"/>
                <w:lang w:val="en-US" w:eastAsia="zh-CN" w:bidi="ar"/>
              </w:rPr>
              <w:t>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 xml:space="preserve">    </w:t>
            </w:r>
            <w:r>
              <w:rPr>
                <w:rFonts w:hint="eastAsia" w:ascii="Times New Roman" w:hAnsi="Times New Roman" w:eastAsia="仿宋_GB2312" w:cs="Times New Roman"/>
                <w:i w:val="0"/>
                <w:iCs w:val="0"/>
                <w:color w:val="auto"/>
                <w:kern w:val="0"/>
                <w:sz w:val="18"/>
                <w:szCs w:val="18"/>
                <w:u w:val="none"/>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新增第3条实施依据：《关于明确带病回乡退伍军人相关政策的批复》（皖退役军人秘〔2021〕106号）规定：根据《民政部关于进一步规范带病回乡退伍军人认定有关问题的通知》（民函〔2012〕255号）文件精神，我省认定带病回乡退伍军人身份的审批机关为设区的市退役军人事务部门。</w:t>
            </w:r>
          </w:p>
        </w:tc>
      </w:tr>
      <w:tr w14:paraId="3C810F90">
        <w:tblPrEx>
          <w:tblCellMar>
            <w:top w:w="0" w:type="dxa"/>
            <w:left w:w="108" w:type="dxa"/>
            <w:bottom w:w="0" w:type="dxa"/>
            <w:right w:w="108" w:type="dxa"/>
          </w:tblCellMar>
        </w:tblPrEx>
        <w:trPr>
          <w:trHeight w:val="2400"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5541F924">
            <w:pPr>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7</w:t>
            </w:r>
          </w:p>
        </w:tc>
        <w:tc>
          <w:tcPr>
            <w:tcW w:w="627" w:type="dxa"/>
            <w:tcBorders>
              <w:top w:val="single" w:color="auto" w:sz="4" w:space="0"/>
              <w:left w:val="nil"/>
              <w:bottom w:val="single" w:color="auto" w:sz="4" w:space="0"/>
              <w:right w:val="single" w:color="auto" w:sz="4" w:space="0"/>
            </w:tcBorders>
            <w:shd w:val="clear" w:color="auto" w:fill="auto"/>
            <w:vAlign w:val="center"/>
          </w:tcPr>
          <w:p w14:paraId="2E5808B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其他权力</w:t>
            </w:r>
          </w:p>
        </w:tc>
        <w:tc>
          <w:tcPr>
            <w:tcW w:w="886" w:type="dxa"/>
            <w:tcBorders>
              <w:top w:val="single" w:color="auto" w:sz="4" w:space="0"/>
              <w:left w:val="nil"/>
              <w:bottom w:val="single" w:color="auto" w:sz="4" w:space="0"/>
              <w:right w:val="single" w:color="auto" w:sz="4" w:space="0"/>
            </w:tcBorders>
            <w:shd w:val="clear" w:color="auto" w:fill="auto"/>
            <w:vAlign w:val="center"/>
          </w:tcPr>
          <w:p w14:paraId="18FDE7D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残疾军人伤残抚恤关系转移审核</w:t>
            </w:r>
          </w:p>
        </w:tc>
        <w:tc>
          <w:tcPr>
            <w:tcW w:w="419" w:type="dxa"/>
            <w:tcBorders>
              <w:top w:val="single" w:color="auto" w:sz="4" w:space="0"/>
              <w:left w:val="nil"/>
              <w:bottom w:val="single" w:color="auto" w:sz="4" w:space="0"/>
              <w:right w:val="single" w:color="auto" w:sz="4" w:space="0"/>
            </w:tcBorders>
            <w:shd w:val="clear" w:color="auto" w:fill="auto"/>
            <w:vAlign w:val="center"/>
          </w:tcPr>
          <w:p w14:paraId="77F013E7">
            <w:pPr>
              <w:jc w:val="both"/>
              <w:rPr>
                <w:rFonts w:hint="default" w:ascii="Times New Roman" w:hAnsi="Times New Roman" w:eastAsia="仿宋_GB2312" w:cs="Times New Roman"/>
                <w:color w:val="auto"/>
                <w:sz w:val="20"/>
                <w:szCs w:val="20"/>
              </w:rPr>
            </w:pPr>
          </w:p>
        </w:tc>
        <w:tc>
          <w:tcPr>
            <w:tcW w:w="6581" w:type="dxa"/>
            <w:tcBorders>
              <w:top w:val="single" w:color="auto" w:sz="4" w:space="0"/>
              <w:left w:val="nil"/>
              <w:bottom w:val="single" w:color="auto" w:sz="4" w:space="0"/>
              <w:right w:val="single" w:color="auto" w:sz="4" w:space="0"/>
            </w:tcBorders>
            <w:shd w:val="clear" w:color="auto" w:fill="auto"/>
            <w:vAlign w:val="center"/>
          </w:tcPr>
          <w:p w14:paraId="439043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 xml:space="preserve">   1.《军人抚恤优待条例》（2004年8月1日中华人民共和国国务院、中华人民共和国中央军事委员会令第413号公布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 xml:space="preserve">    第三十条</w:t>
            </w:r>
            <w:r>
              <w:rPr>
                <w:rFonts w:hint="eastAsia" w:ascii="Times New Roman" w:hAnsi="Times New Roman" w:eastAsia="仿宋_GB2312" w:cs="Times New Roman"/>
                <w:i w:val="0"/>
                <w:iCs w:val="0"/>
                <w:color w:val="auto"/>
                <w:kern w:val="0"/>
                <w:sz w:val="18"/>
                <w:szCs w:val="18"/>
                <w:u w:val="none"/>
                <w:lang w:val="en-US" w:eastAsia="zh-CN" w:bidi="ar"/>
              </w:rPr>
              <w:t>第一款：</w:t>
            </w:r>
            <w:r>
              <w:rPr>
                <w:rFonts w:hint="default" w:ascii="Times New Roman" w:hAnsi="Times New Roman" w:eastAsia="仿宋_GB2312" w:cs="Times New Roman"/>
                <w:i w:val="0"/>
                <w:iCs w:val="0"/>
                <w:color w:val="auto"/>
                <w:kern w:val="0"/>
                <w:sz w:val="18"/>
                <w:szCs w:val="18"/>
                <w:u w:val="none"/>
                <w:lang w:val="en-US" w:eastAsia="zh-CN" w:bidi="ar"/>
              </w:rPr>
              <w:t>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2.《伤残抚恤管理办法》（2007年7月31日民政部令第34号公布 根据2013年7月5日《民政部关于修改〈伤残抚恤管理办法〉的决定》修订 2019年12月16日退役军人事务部令第1号修订)</w:t>
            </w:r>
          </w:p>
          <w:p w14:paraId="76AC2C24">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条：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lt;中华人民共和国残疾军人证&gt;申报审批表》、退役证件或者移交政府安置的相关证明。</w:t>
            </w:r>
          </w:p>
          <w:p w14:paraId="60D7E33F">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default" w:ascii="Times New Roman" w:hAnsi="Times New Roman" w:eastAsia="仿宋_GB2312" w:cs="Times New Roman"/>
                <w:color w:val="auto"/>
                <w:kern w:val="2"/>
                <w:sz w:val="18"/>
                <w:szCs w:val="18"/>
                <w:lang w:val="en-US" w:eastAsia="zh-CN" w:bidi="ar-SA"/>
              </w:rPr>
            </w:pPr>
            <w:r>
              <w:rPr>
                <w:rStyle w:val="5"/>
                <w:rFonts w:hint="default" w:ascii="Times New Roman" w:hAnsi="Times New Roman" w:eastAsia="仿宋_GB2312" w:cs="Times New Roman"/>
                <w:color w:val="auto"/>
                <w:sz w:val="18"/>
                <w:szCs w:val="18"/>
                <w:lang w:val="en-US" w:eastAsia="zh-CN" w:bidi="ar"/>
              </w:rPr>
              <w:t>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第二十一条</w:t>
            </w:r>
            <w:r>
              <w:rPr>
                <w:rStyle w:val="5"/>
                <w:rFonts w:hint="eastAsia" w:ascii="Times New Roman" w:hAnsi="Times New Roman" w:eastAsia="仿宋_GB2312" w:cs="Times New Roman"/>
                <w:color w:val="auto"/>
                <w:sz w:val="18"/>
                <w:szCs w:val="18"/>
                <w:lang w:val="en-US" w:eastAsia="zh-CN" w:bidi="ar"/>
              </w:rPr>
              <w:t>第一款、第二款</w:t>
            </w:r>
            <w:r>
              <w:rPr>
                <w:rStyle w:val="5"/>
                <w:rFonts w:hint="default" w:ascii="Times New Roman" w:hAnsi="Times New Roman" w:eastAsia="仿宋_GB2312" w:cs="Times New Roman"/>
                <w:color w:val="auto"/>
                <w:sz w:val="18"/>
                <w:szCs w:val="18"/>
                <w:lang w:val="en-US" w:eastAsia="zh-CN" w:bidi="ar"/>
              </w:rPr>
              <w:t>：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tc>
        <w:tc>
          <w:tcPr>
            <w:tcW w:w="649" w:type="dxa"/>
            <w:tcBorders>
              <w:top w:val="single" w:color="auto" w:sz="4" w:space="0"/>
              <w:left w:val="nil"/>
              <w:bottom w:val="single" w:color="auto" w:sz="4" w:space="0"/>
              <w:right w:val="single" w:color="auto" w:sz="4" w:space="0"/>
            </w:tcBorders>
            <w:shd w:val="clear" w:color="auto" w:fill="auto"/>
            <w:vAlign w:val="center"/>
          </w:tcPr>
          <w:p w14:paraId="197A79D2">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rPr>
              <w:t>规范</w:t>
            </w:r>
          </w:p>
        </w:tc>
        <w:tc>
          <w:tcPr>
            <w:tcW w:w="4710" w:type="dxa"/>
            <w:tcBorders>
              <w:top w:val="single" w:color="auto" w:sz="4" w:space="0"/>
              <w:left w:val="nil"/>
              <w:bottom w:val="single" w:color="auto" w:sz="4" w:space="0"/>
              <w:right w:val="single" w:color="auto" w:sz="4" w:space="0"/>
            </w:tcBorders>
            <w:shd w:val="clear" w:color="auto" w:fill="auto"/>
            <w:vAlign w:val="center"/>
          </w:tcPr>
          <w:p w14:paraId="376177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i w:val="0"/>
                <w:iCs w:val="0"/>
                <w:color w:val="auto"/>
                <w:kern w:val="0"/>
                <w:sz w:val="18"/>
                <w:szCs w:val="18"/>
                <w:u w:val="none"/>
                <w:lang w:val="en-US" w:eastAsia="zh-CN" w:bidi="ar"/>
              </w:rPr>
              <w:t xml:space="preserve">    新增第1条实施依据：《军人抚恤优待条例》（2004年8月1日中华人民共和国国务院、中华人民共和国中央军事委员会令第413号公布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 xml:space="preserve">    第三十条</w:t>
            </w:r>
            <w:r>
              <w:rPr>
                <w:rFonts w:hint="eastAsia" w:ascii="Times New Roman" w:hAnsi="Times New Roman" w:eastAsia="仿宋_GB2312" w:cs="Times New Roman"/>
                <w:i w:val="0"/>
                <w:iCs w:val="0"/>
                <w:color w:val="auto"/>
                <w:kern w:val="0"/>
                <w:sz w:val="18"/>
                <w:szCs w:val="18"/>
                <w:u w:val="none"/>
                <w:lang w:val="en-US" w:eastAsia="zh-CN" w:bidi="ar"/>
              </w:rPr>
              <w:t>第一款：</w:t>
            </w:r>
            <w:r>
              <w:rPr>
                <w:rFonts w:hint="default" w:ascii="Times New Roman" w:hAnsi="Times New Roman" w:eastAsia="仿宋_GB2312" w:cs="Times New Roman"/>
                <w:i w:val="0"/>
                <w:iCs w:val="0"/>
                <w:color w:val="auto"/>
                <w:kern w:val="0"/>
                <w:sz w:val="18"/>
                <w:szCs w:val="18"/>
                <w:u w:val="none"/>
                <w:lang w:val="en-US" w:eastAsia="zh-CN" w:bidi="ar"/>
              </w:rPr>
              <w:t>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tc>
      </w:tr>
    </w:tbl>
    <w:p w14:paraId="64758E99"/>
    <w:sectPr>
      <w:pgSz w:w="16838" w:h="11906" w:orient="landscape"/>
      <w:pgMar w:top="1457" w:right="1383" w:bottom="1457"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70942"/>
    <w:rsid w:val="1427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eastAsia" w:ascii="仿宋" w:hAnsi="仿宋" w:eastAsia="仿宋" w:cs="仿宋"/>
      <w:color w:val="FF0000"/>
      <w:sz w:val="20"/>
      <w:szCs w:val="20"/>
      <w:u w:val="none"/>
    </w:rPr>
  </w:style>
  <w:style w:type="character" w:customStyle="1" w:styleId="5">
    <w:name w:val="font21"/>
    <w:basedOn w:val="3"/>
    <w:autoRedefine/>
    <w:qFormat/>
    <w:uiPriority w:val="0"/>
    <w:rPr>
      <w:rFonts w:hint="eastAsia" w:ascii="仿宋" w:hAnsi="仿宋" w:eastAsia="仿宋" w:cs="仿宋"/>
      <w:color w:val="000000"/>
      <w:sz w:val="20"/>
      <w:szCs w:val="20"/>
      <w:u w:val="none"/>
    </w:rPr>
  </w:style>
  <w:style w:type="character" w:customStyle="1" w:styleId="6">
    <w:name w:val="font41"/>
    <w:basedOn w:val="3"/>
    <w:autoRedefine/>
    <w:qFormat/>
    <w:uiPriority w:val="0"/>
    <w:rPr>
      <w:rFonts w:hint="eastAsia" w:ascii="方正楷体_GBK" w:hAnsi="方正楷体_GBK" w:eastAsia="方正楷体_GBK" w:cs="方正楷体_GBK"/>
      <w:color w:val="FF0000"/>
      <w:sz w:val="20"/>
      <w:szCs w:val="20"/>
      <w:u w:val="none"/>
    </w:rPr>
  </w:style>
  <w:style w:type="character" w:customStyle="1" w:styleId="7">
    <w:name w:val="font31"/>
    <w:basedOn w:val="3"/>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2025-08-15T02:02:00Z</dcterms:created>
  <dc:creator>采蘑菇的粉刷匠</dc:creator>
  <cp:lastModifiedBy>采蘑菇的粉刷匠</cp:lastModifiedBy>
  <dcterms:modified xsi:type="dcterms:W3CDTF">2025-08-15T02:04:33Z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327356E8D60545019B809D1608262A69_11</vt:lpwstr>
  </property>
  <property fmtid="{D5CDD505-2E9C-101B-9397-08002B2CF9AE}" pid="4" name="KSOTemplateDocerSaveRecord">
    <vt:lpwstr>eyJoZGlkIjoiN2JlYTM1ZGJhODM1ZGZkYmM2ZDY2ZTAxZWJjOTNjNjUiLCJ1c2VySWQiOiI3NzE4ODMzNjYifQ==</vt:lpwstr>
  </property>
</Properties>
</file>