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A1FB3">
      <w:pPr>
        <w:spacing w:line="560" w:lineRule="exact"/>
        <w:rPr>
          <w:rFonts w:ascii="宋体" w:hAnsi="宋体" w:cs="宋体"/>
          <w:b/>
          <w:color w:val="000000"/>
          <w:spacing w:val="-32"/>
          <w:kern w:val="0"/>
          <w:sz w:val="44"/>
          <w:szCs w:val="44"/>
        </w:rPr>
      </w:pPr>
    </w:p>
    <w:p w14:paraId="09335A31">
      <w:pPr>
        <w:spacing w:line="560" w:lineRule="exact"/>
        <w:rPr>
          <w:rFonts w:hint="eastAsia" w:ascii="宋体" w:hAnsi="宋体" w:cs="宋体"/>
          <w:b/>
          <w:color w:val="000000"/>
          <w:spacing w:val="-32"/>
          <w:kern w:val="0"/>
          <w:sz w:val="44"/>
          <w:szCs w:val="44"/>
        </w:rPr>
      </w:pPr>
    </w:p>
    <w:p w14:paraId="565A0EFB">
      <w:pPr>
        <w:spacing w:line="560" w:lineRule="exact"/>
        <w:rPr>
          <w:rFonts w:hint="eastAsia" w:ascii="宋体" w:hAnsi="宋体" w:cs="宋体"/>
          <w:b/>
          <w:color w:val="000000"/>
          <w:spacing w:val="-32"/>
          <w:kern w:val="0"/>
          <w:sz w:val="44"/>
          <w:szCs w:val="44"/>
        </w:rPr>
      </w:pPr>
    </w:p>
    <w:p w14:paraId="376719E2">
      <w:pPr>
        <w:spacing w:line="560" w:lineRule="exact"/>
        <w:rPr>
          <w:rFonts w:hint="eastAsia" w:ascii="宋体" w:hAnsi="宋体" w:cs="宋体"/>
          <w:b/>
          <w:color w:val="000000"/>
          <w:spacing w:val="-32"/>
          <w:kern w:val="0"/>
          <w:sz w:val="44"/>
          <w:szCs w:val="44"/>
        </w:rPr>
      </w:pPr>
    </w:p>
    <w:p w14:paraId="2DF39D27">
      <w:pPr>
        <w:spacing w:line="600" w:lineRule="exact"/>
        <w:jc w:val="center"/>
        <w:rPr>
          <w:rFonts w:hint="eastAsia" w:ascii="宋体" w:hAnsi="宋体"/>
        </w:rPr>
      </w:pPr>
    </w:p>
    <w:p w14:paraId="60099221">
      <w:pPr>
        <w:spacing w:line="600" w:lineRule="exact"/>
        <w:jc w:val="center"/>
        <w:rPr>
          <w:rFonts w:hint="eastAsia" w:ascii="宋体" w:hAnsi="宋体"/>
        </w:rPr>
      </w:pPr>
      <w:r>
        <w:rPr>
          <w:rFonts w:hint="eastAsia" w:ascii="仿宋_GB2312" w:hAnsi="宋体" w:eastAsia="仿宋_GB2312"/>
          <w:sz w:val="32"/>
          <w:szCs w:val="32"/>
        </w:rPr>
        <w:t>淮八</w:t>
      </w:r>
      <w:r>
        <w:rPr>
          <w:rFonts w:hint="eastAsia" w:ascii="仿宋_GB2312" w:hAnsi="宋体" w:eastAsia="仿宋_GB2312"/>
          <w:sz w:val="32"/>
          <w:szCs w:val="32"/>
          <w:lang w:eastAsia="zh-CN"/>
        </w:rPr>
        <w:t>新办</w:t>
      </w: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w:t>
      </w:r>
      <w:r>
        <w:rPr>
          <w:rFonts w:hint="eastAsia" w:ascii="仿宋_GB2312" w:hAnsi="宋体" w:eastAsia="仿宋_GB2312"/>
          <w:sz w:val="32"/>
          <w:szCs w:val="32"/>
          <w:lang w:val="en-US" w:eastAsia="zh-CN"/>
        </w:rPr>
        <w:t>6</w:t>
      </w:r>
      <w:r>
        <w:rPr>
          <w:rFonts w:hint="eastAsia" w:ascii="仿宋_GB2312" w:hAnsi="宋体" w:eastAsia="仿宋_GB2312"/>
          <w:sz w:val="32"/>
          <w:szCs w:val="32"/>
        </w:rPr>
        <w:t>号</w:t>
      </w:r>
    </w:p>
    <w:p w14:paraId="16ECEF82">
      <w:pPr>
        <w:spacing w:line="560" w:lineRule="exact"/>
        <w:rPr>
          <w:rFonts w:hint="eastAsia" w:ascii="方正书宋简体" w:hAnsi="方正书宋简体" w:eastAsia="方正书宋简体" w:cs="方正书宋简体"/>
          <w:b/>
          <w:color w:val="000000"/>
          <w:spacing w:val="-32"/>
          <w:kern w:val="0"/>
          <w:sz w:val="44"/>
          <w:szCs w:val="44"/>
        </w:rPr>
      </w:pPr>
    </w:p>
    <w:p w14:paraId="13250748">
      <w:pPr>
        <w:spacing w:line="560" w:lineRule="exact"/>
        <w:rPr>
          <w:rFonts w:hint="eastAsia" w:ascii="黑体" w:hAnsi="黑体" w:eastAsia="黑体" w:cs="黑体"/>
          <w:b/>
          <w:color w:val="000000"/>
          <w:spacing w:val="-32"/>
          <w:kern w:val="0"/>
          <w:sz w:val="44"/>
          <w:szCs w:val="44"/>
        </w:rPr>
      </w:pPr>
    </w:p>
    <w:p w14:paraId="78DF3280">
      <w:pPr>
        <w:widowControl w:val="0"/>
        <w:kinsoku/>
        <w:autoSpaceDE/>
        <w:autoSpaceDN/>
        <w:adjustRightInd/>
        <w:snapToGrid/>
        <w:spacing w:line="560" w:lineRule="exact"/>
        <w:jc w:val="center"/>
        <w:textAlignment w:val="auto"/>
        <w:rPr>
          <w:rFonts w:hint="eastAsia" w:ascii="黑体" w:hAnsi="黑体" w:eastAsia="黑体" w:cs="黑体"/>
          <w:snapToGrid/>
          <w:color w:val="000000"/>
          <w:spacing w:val="-20"/>
          <w:kern w:val="0"/>
          <w:sz w:val="44"/>
          <w:szCs w:val="44"/>
          <w:lang w:eastAsia="zh-CN"/>
        </w:rPr>
      </w:pPr>
      <w:r>
        <w:rPr>
          <w:rFonts w:hint="eastAsia" w:ascii="黑体" w:hAnsi="黑体" w:eastAsia="黑体" w:cs="黑体"/>
          <w:snapToGrid/>
          <w:color w:val="000000"/>
          <w:spacing w:val="-20"/>
          <w:kern w:val="0"/>
          <w:sz w:val="44"/>
          <w:szCs w:val="44"/>
          <w:lang w:eastAsia="zh-CN"/>
        </w:rPr>
        <w:t>关于印发《新庄孜街道深入开展人员密集场所“六类突出风险”专项排查整治工作方案》的通知</w:t>
      </w:r>
    </w:p>
    <w:p w14:paraId="2AB13A02">
      <w:pPr>
        <w:widowControl/>
        <w:spacing w:line="560" w:lineRule="exact"/>
        <w:jc w:val="center"/>
        <w:rPr>
          <w:rFonts w:hint="eastAsia" w:ascii="仿宋_GB2312" w:hAnsi="宋体" w:eastAsia="仿宋_GB2312" w:cs="宋体"/>
          <w:kern w:val="0"/>
          <w:sz w:val="32"/>
          <w:szCs w:val="32"/>
        </w:rPr>
      </w:pPr>
    </w:p>
    <w:p w14:paraId="631DA255">
      <w:pPr>
        <w:spacing w:line="560" w:lineRule="exact"/>
        <w:rPr>
          <w:rFonts w:hint="eastAsia" w:ascii="仿宋_GB2312" w:eastAsia="仿宋_GB2312"/>
          <w:sz w:val="32"/>
          <w:szCs w:val="32"/>
        </w:rPr>
      </w:pPr>
      <w:r>
        <w:rPr>
          <w:rFonts w:hint="eastAsia" w:ascii="仿宋_GB2312" w:eastAsia="仿宋_GB2312"/>
          <w:sz w:val="32"/>
          <w:szCs w:val="32"/>
        </w:rPr>
        <w:t>各社区、各</w:t>
      </w:r>
      <w:r>
        <w:rPr>
          <w:rFonts w:hint="eastAsia" w:ascii="仿宋_GB2312" w:eastAsia="仿宋_GB2312"/>
          <w:sz w:val="32"/>
          <w:szCs w:val="32"/>
          <w:lang w:eastAsia="zh-CN"/>
        </w:rPr>
        <w:t>部门、各有关单位</w:t>
      </w:r>
      <w:r>
        <w:rPr>
          <w:rFonts w:hint="eastAsia" w:ascii="仿宋_GB2312" w:eastAsia="仿宋_GB2312"/>
          <w:sz w:val="32"/>
          <w:szCs w:val="32"/>
        </w:rPr>
        <w:t>：</w:t>
      </w:r>
    </w:p>
    <w:p w14:paraId="68E109FF">
      <w:pPr>
        <w:spacing w:line="560" w:lineRule="exact"/>
        <w:ind w:firstLine="640" w:firstLineChars="2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为切实贯彻落实上级部署，结合我街道实际，制定《</w:t>
      </w:r>
      <w:r>
        <w:rPr>
          <w:rFonts w:hint="eastAsia" w:ascii="仿宋_GB2312" w:hAnsi="ˎ̥" w:eastAsia="仿宋_GB2312" w:cs="宋体"/>
          <w:color w:val="000000"/>
          <w:kern w:val="0"/>
          <w:sz w:val="32"/>
          <w:szCs w:val="32"/>
          <w:lang w:eastAsia="zh-CN"/>
        </w:rPr>
        <w:t>新庄孜</w:t>
      </w:r>
      <w:r>
        <w:rPr>
          <w:rFonts w:hint="eastAsia" w:ascii="仿宋_GB2312" w:hAnsi="ˎ̥" w:eastAsia="仿宋_GB2312" w:cs="宋体"/>
          <w:color w:val="000000"/>
          <w:kern w:val="0"/>
          <w:sz w:val="32"/>
          <w:szCs w:val="32"/>
        </w:rPr>
        <w:t>街道深入开展人员密集场所“六类突出风险”专项排查整治工作方案》,现印发给大家，请认真落实。</w:t>
      </w:r>
    </w:p>
    <w:p w14:paraId="5D72F9C8">
      <w:pPr>
        <w:spacing w:line="560" w:lineRule="exact"/>
        <w:ind w:firstLine="640" w:firstLineChars="200"/>
        <w:rPr>
          <w:rFonts w:hint="eastAsia" w:ascii="仿宋_GB2312" w:hAnsi="ˎ̥" w:eastAsia="仿宋_GB2312" w:cs="宋体"/>
          <w:color w:val="000000"/>
          <w:kern w:val="0"/>
          <w:sz w:val="32"/>
          <w:szCs w:val="32"/>
        </w:rPr>
      </w:pPr>
    </w:p>
    <w:p w14:paraId="734DC31F">
      <w:pPr>
        <w:spacing w:line="560" w:lineRule="exact"/>
        <w:ind w:firstLine="640" w:firstLineChars="200"/>
        <w:rPr>
          <w:rFonts w:hint="eastAsia" w:ascii="仿宋_GB2312" w:hAnsi="ˎ̥" w:eastAsia="仿宋_GB2312" w:cs="宋体"/>
          <w:color w:val="000000"/>
          <w:kern w:val="0"/>
          <w:sz w:val="32"/>
          <w:szCs w:val="32"/>
        </w:rPr>
      </w:pPr>
    </w:p>
    <w:p w14:paraId="5532F988">
      <w:pPr>
        <w:spacing w:line="560" w:lineRule="exact"/>
        <w:ind w:firstLine="640" w:firstLineChars="200"/>
        <w:rPr>
          <w:rFonts w:hint="eastAsia" w:ascii="仿宋_GB2312" w:hAnsi="ˎ̥" w:eastAsia="仿宋_GB2312" w:cs="宋体"/>
          <w:color w:val="000000"/>
          <w:kern w:val="0"/>
          <w:sz w:val="32"/>
          <w:szCs w:val="32"/>
        </w:rPr>
      </w:pPr>
    </w:p>
    <w:p w14:paraId="348D5582">
      <w:pPr>
        <w:spacing w:line="560" w:lineRule="exact"/>
        <w:ind w:firstLine="640" w:firstLineChars="200"/>
        <w:rPr>
          <w:rFonts w:hint="eastAsia" w:ascii="仿宋_GB2312" w:hAnsi="ˎ̥" w:eastAsia="仿宋_GB2312" w:cs="宋体"/>
          <w:color w:val="000000"/>
          <w:kern w:val="0"/>
          <w:sz w:val="32"/>
          <w:szCs w:val="32"/>
        </w:rPr>
      </w:pPr>
    </w:p>
    <w:p w14:paraId="4E25B1AB">
      <w:pPr>
        <w:spacing w:line="560" w:lineRule="exact"/>
        <w:rPr>
          <w:rFonts w:hint="eastAsia" w:ascii="仿宋_GB2312" w:hAnsi="ˎ̥" w:eastAsia="仿宋_GB2312" w:cs="宋体"/>
          <w:color w:val="000000"/>
          <w:kern w:val="0"/>
          <w:sz w:val="32"/>
          <w:szCs w:val="32"/>
        </w:rPr>
      </w:pPr>
    </w:p>
    <w:p w14:paraId="5211BB20">
      <w:pPr>
        <w:widowControl/>
        <w:spacing w:line="560" w:lineRule="exact"/>
        <w:jc w:val="right"/>
        <w:rPr>
          <w:rFonts w:hint="eastAsia" w:ascii="仿宋_GB2312" w:hAnsi="ˎ̥" w:eastAsia="仿宋_GB2312" w:cs="宋体"/>
          <w:color w:val="000000"/>
          <w:kern w:val="0"/>
          <w:sz w:val="32"/>
          <w:szCs w:val="32"/>
          <w:lang w:eastAsia="zh-CN"/>
        </w:rPr>
      </w:pPr>
      <w:r>
        <w:rPr>
          <w:rFonts w:hint="eastAsia" w:ascii="仿宋_GB2312" w:hAnsi="ˎ̥" w:eastAsia="仿宋_GB2312" w:cs="宋体"/>
          <w:color w:val="000000"/>
          <w:kern w:val="0"/>
          <w:sz w:val="32"/>
          <w:szCs w:val="32"/>
          <w:lang w:eastAsia="zh-CN"/>
        </w:rPr>
        <w:t>新庄孜街道办事处</w:t>
      </w:r>
    </w:p>
    <w:p w14:paraId="715BCFC3">
      <w:pPr>
        <w:widowControl/>
        <w:spacing w:line="560" w:lineRule="exact"/>
        <w:ind w:firstLine="3200" w:firstLineChars="1000"/>
        <w:jc w:val="righ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lang w:eastAsia="zh-CN"/>
        </w:rPr>
        <w:t>202</w:t>
      </w:r>
      <w:r>
        <w:rPr>
          <w:rFonts w:hint="eastAsia" w:ascii="仿宋_GB2312" w:hAnsi="ˎ̥" w:eastAsia="仿宋_GB2312" w:cs="宋体"/>
          <w:color w:val="000000"/>
          <w:kern w:val="0"/>
          <w:sz w:val="32"/>
          <w:szCs w:val="32"/>
          <w:lang w:val="en-US" w:eastAsia="zh-CN"/>
        </w:rPr>
        <w:t>5</w:t>
      </w:r>
      <w:r>
        <w:rPr>
          <w:rFonts w:hint="eastAsia" w:ascii="仿宋_GB2312" w:hAnsi="ˎ̥" w:eastAsia="仿宋_GB2312" w:cs="宋体"/>
          <w:color w:val="000000"/>
          <w:kern w:val="0"/>
          <w:sz w:val="32"/>
          <w:szCs w:val="32"/>
        </w:rPr>
        <w:t>年</w:t>
      </w:r>
      <w:r>
        <w:rPr>
          <w:rFonts w:hint="eastAsia" w:ascii="仿宋_GB2312" w:hAnsi="ˎ̥" w:eastAsia="仿宋_GB2312" w:cs="宋体"/>
          <w:color w:val="000000"/>
          <w:kern w:val="0"/>
          <w:sz w:val="32"/>
          <w:szCs w:val="32"/>
          <w:lang w:val="en-US" w:eastAsia="zh-CN"/>
        </w:rPr>
        <w:t>6</w:t>
      </w:r>
      <w:r>
        <w:rPr>
          <w:rFonts w:hint="eastAsia" w:ascii="仿宋_GB2312" w:hAnsi="ˎ̥" w:eastAsia="仿宋_GB2312" w:cs="宋体"/>
          <w:color w:val="000000"/>
          <w:kern w:val="0"/>
          <w:sz w:val="32"/>
          <w:szCs w:val="32"/>
        </w:rPr>
        <w:t>月</w:t>
      </w:r>
      <w:r>
        <w:rPr>
          <w:rFonts w:hint="eastAsia" w:ascii="仿宋_GB2312" w:hAnsi="ˎ̥" w:eastAsia="仿宋_GB2312" w:cs="宋体"/>
          <w:color w:val="000000"/>
          <w:kern w:val="0"/>
          <w:sz w:val="32"/>
          <w:szCs w:val="32"/>
          <w:lang w:val="en-US" w:eastAsia="zh-CN"/>
        </w:rPr>
        <w:t>4</w:t>
      </w:r>
      <w:r>
        <w:rPr>
          <w:rFonts w:hint="eastAsia" w:ascii="仿宋_GB2312" w:hAnsi="ˎ̥" w:eastAsia="仿宋_GB2312" w:cs="宋体"/>
          <w:color w:val="000000"/>
          <w:kern w:val="0"/>
          <w:sz w:val="32"/>
          <w:szCs w:val="32"/>
        </w:rPr>
        <w:t>日</w:t>
      </w:r>
    </w:p>
    <w:p w14:paraId="30CE9996">
      <w:pPr>
        <w:widowControl w:val="0"/>
        <w:kinsoku/>
        <w:autoSpaceDE/>
        <w:autoSpaceDN/>
        <w:adjustRightInd/>
        <w:snapToGrid/>
        <w:spacing w:line="574" w:lineRule="exact"/>
        <w:jc w:val="both"/>
        <w:textAlignment w:val="auto"/>
        <w:rPr>
          <w:rFonts w:hint="eastAsia" w:ascii="方正小标宋_GBK" w:hAnsi="Times New Roman" w:eastAsia="方正小标宋_GBK" w:cs="Times New Roman"/>
          <w:snapToGrid/>
          <w:color w:val="000000"/>
          <w:kern w:val="2"/>
          <w:sz w:val="44"/>
          <w:szCs w:val="44"/>
          <w:lang w:eastAsia="zh-CN"/>
        </w:rPr>
        <w:sectPr>
          <w:pgSz w:w="11906" w:h="16838"/>
          <w:pgMar w:top="1984" w:right="1417" w:bottom="1644" w:left="1417" w:header="851" w:footer="992" w:gutter="0"/>
          <w:cols w:space="425" w:num="1"/>
          <w:docGrid w:type="lines" w:linePitch="312" w:charSpace="0"/>
        </w:sectPr>
      </w:pPr>
    </w:p>
    <w:p w14:paraId="7E32E752">
      <w:pPr>
        <w:widowControl w:val="0"/>
        <w:kinsoku/>
        <w:autoSpaceDE/>
        <w:autoSpaceDN/>
        <w:adjustRightInd/>
        <w:snapToGrid/>
        <w:spacing w:line="574" w:lineRule="exact"/>
        <w:jc w:val="center"/>
        <w:textAlignment w:val="auto"/>
        <w:rPr>
          <w:rFonts w:hint="eastAsia" w:ascii="方正小标宋_GBK" w:hAnsi="Times New Roman" w:eastAsia="方正小标宋_GBK" w:cs="Times New Roman"/>
          <w:snapToGrid/>
          <w:color w:val="000000"/>
          <w:kern w:val="2"/>
          <w:sz w:val="44"/>
          <w:szCs w:val="44"/>
          <w:lang w:eastAsia="zh-CN"/>
        </w:rPr>
      </w:pPr>
      <w:r>
        <w:rPr>
          <w:rFonts w:hint="eastAsia" w:ascii="方正小标宋_GBK" w:hAnsi="Times New Roman" w:eastAsia="方正小标宋_GBK" w:cs="Times New Roman"/>
          <w:snapToGrid/>
          <w:color w:val="000000"/>
          <w:kern w:val="2"/>
          <w:sz w:val="44"/>
          <w:szCs w:val="44"/>
          <w:lang w:eastAsia="zh-CN"/>
        </w:rPr>
        <w:t>新庄孜街道深入开展人员密集场所“六类突出风险”专项排查整治工作方案</w:t>
      </w:r>
    </w:p>
    <w:p w14:paraId="5F8194F1"/>
    <w:p w14:paraId="1FC0EF62">
      <w:pPr>
        <w:widowControl w:val="0"/>
        <w:kinsoku/>
        <w:autoSpaceDE/>
        <w:autoSpaceDN/>
        <w:adjustRightInd/>
        <w:snapToGrid/>
        <w:spacing w:line="500" w:lineRule="exact"/>
        <w:ind w:firstLine="675" w:firstLineChars="211"/>
        <w:jc w:val="both"/>
        <w:textAlignment w:val="auto"/>
        <w:rPr>
          <w:rFonts w:hint="eastAsia" w:ascii="黑体" w:hAnsi="Times New Roman" w:eastAsia="黑体" w:cs="Times New Roman"/>
          <w:snapToGrid/>
          <w:kern w:val="2"/>
          <w:sz w:val="32"/>
          <w:szCs w:val="32"/>
          <w:lang w:eastAsia="zh-CN"/>
        </w:rPr>
      </w:pPr>
      <w:r>
        <w:rPr>
          <w:rFonts w:hint="eastAsia" w:ascii="黑体" w:hAnsi="Times New Roman" w:eastAsia="黑体" w:cs="Times New Roman"/>
          <w:snapToGrid/>
          <w:kern w:val="2"/>
          <w:sz w:val="32"/>
          <w:szCs w:val="32"/>
          <w:lang w:eastAsia="zh-CN"/>
        </w:rPr>
        <w:t>一、总体目标</w:t>
      </w:r>
    </w:p>
    <w:p w14:paraId="4452EF10">
      <w:pPr>
        <w:spacing w:line="560" w:lineRule="exact"/>
        <w:ind w:firstLine="640" w:firstLineChars="200"/>
        <w:rPr>
          <w:rFonts w:hint="eastAsia" w:ascii="仿宋_GB2312" w:hAnsi="ˎ̥" w:eastAsia="仿宋_GB2312" w:cs="宋体"/>
          <w:color w:val="000000"/>
          <w:kern w:val="0"/>
          <w:sz w:val="32"/>
          <w:szCs w:val="32"/>
          <w:lang w:val="en-US" w:eastAsia="zh-CN"/>
        </w:rPr>
      </w:pPr>
      <w:r>
        <w:rPr>
          <w:rFonts w:hint="eastAsia" w:ascii="仿宋_GB2312" w:hAnsi="ˎ̥" w:eastAsia="仿宋_GB2312" w:cs="宋体"/>
          <w:color w:val="000000"/>
          <w:kern w:val="0"/>
          <w:sz w:val="32"/>
          <w:szCs w:val="32"/>
          <w:lang w:val="en-US" w:eastAsia="zh-CN"/>
        </w:rPr>
        <w:t>认真贯彻习近平总书记关于安全生产重要论述，深入落实安全生产治本攻坚三年行动方案安排，坚持人民至上、生命至上，坚持问题导向、目标导向和结果导向，树牢底线思维，多措并举、综合施策，利用3个月的时间集中整治堵塞“生命通道”,违规设置防盗窗、广告牌，违规装修装饰，违规动火作业，违规敷设电气线路，违规使用燃气、醇基燃料等“六类突出风险”,全力防范事故亡人风险，有效防范遏制群死群伤火灾事故发生，全面提升消防安全本质水平。</w:t>
      </w:r>
    </w:p>
    <w:p w14:paraId="37DCD353">
      <w:pPr>
        <w:widowControl w:val="0"/>
        <w:kinsoku/>
        <w:autoSpaceDE/>
        <w:autoSpaceDN/>
        <w:adjustRightInd/>
        <w:snapToGrid/>
        <w:spacing w:line="500" w:lineRule="exact"/>
        <w:ind w:firstLine="675" w:firstLineChars="211"/>
        <w:jc w:val="both"/>
        <w:textAlignment w:val="auto"/>
        <w:rPr>
          <w:rFonts w:hint="eastAsia" w:ascii="黑体" w:hAnsi="Times New Roman" w:eastAsia="黑体" w:cs="Times New Roman"/>
          <w:snapToGrid/>
          <w:kern w:val="2"/>
          <w:sz w:val="32"/>
          <w:szCs w:val="32"/>
          <w:lang w:val="en-US" w:eastAsia="zh-CN"/>
        </w:rPr>
      </w:pPr>
      <w:r>
        <w:rPr>
          <w:rFonts w:hint="eastAsia" w:ascii="黑体" w:hAnsi="Times New Roman" w:eastAsia="黑体" w:cs="Times New Roman"/>
          <w:snapToGrid/>
          <w:kern w:val="2"/>
          <w:sz w:val="32"/>
          <w:szCs w:val="32"/>
          <w:lang w:val="en-US" w:eastAsia="zh-CN"/>
        </w:rPr>
        <w:t>二、排查整治范围</w:t>
      </w:r>
    </w:p>
    <w:p w14:paraId="4D202FC1">
      <w:pPr>
        <w:spacing w:line="560" w:lineRule="exact"/>
        <w:ind w:firstLine="640" w:firstLineChars="200"/>
        <w:rPr>
          <w:rFonts w:hint="eastAsia" w:ascii="仿宋_GB2312" w:hAnsi="ˎ̥" w:eastAsia="仿宋_GB2312" w:cs="宋体"/>
          <w:color w:val="000000"/>
          <w:kern w:val="0"/>
          <w:sz w:val="32"/>
          <w:szCs w:val="32"/>
          <w:lang w:val="en-US" w:eastAsia="zh-CN"/>
        </w:rPr>
      </w:pPr>
      <w:r>
        <w:rPr>
          <w:rFonts w:hint="eastAsia" w:ascii="仿宋_GB2312" w:hAnsi="ˎ̥" w:eastAsia="仿宋_GB2312" w:cs="宋体"/>
          <w:color w:val="000000"/>
          <w:kern w:val="0"/>
          <w:sz w:val="32"/>
          <w:szCs w:val="32"/>
          <w:lang w:val="en-US" w:eastAsia="zh-CN"/>
        </w:rPr>
        <w:t>全街道范围内的人员密集场所，即宾馆、饭店、商场、集贸市场以及公共娱乐场所等公众聚集场所和医院、学校、养老服务机构、托儿所、幼儿园、托管机构、劳动密集型企业、旅游、宗教活动场所等。</w:t>
      </w:r>
    </w:p>
    <w:p w14:paraId="35EDFBA7">
      <w:pPr>
        <w:widowControl w:val="0"/>
        <w:kinsoku/>
        <w:autoSpaceDE/>
        <w:autoSpaceDN/>
        <w:adjustRightInd/>
        <w:snapToGrid/>
        <w:spacing w:line="500" w:lineRule="exact"/>
        <w:ind w:firstLine="675" w:firstLineChars="211"/>
        <w:jc w:val="both"/>
        <w:textAlignment w:val="auto"/>
        <w:rPr>
          <w:rFonts w:hint="eastAsia" w:ascii="黑体" w:hAnsi="Times New Roman" w:eastAsia="黑体" w:cs="Times New Roman"/>
          <w:snapToGrid/>
          <w:kern w:val="2"/>
          <w:sz w:val="32"/>
          <w:szCs w:val="32"/>
          <w:lang w:val="en-US" w:eastAsia="zh-CN"/>
        </w:rPr>
      </w:pPr>
      <w:r>
        <w:rPr>
          <w:rFonts w:hint="eastAsia" w:ascii="黑体" w:hAnsi="Times New Roman" w:eastAsia="黑体" w:cs="Times New Roman"/>
          <w:snapToGrid/>
          <w:kern w:val="2"/>
          <w:sz w:val="32"/>
          <w:szCs w:val="32"/>
          <w:lang w:val="en-US" w:eastAsia="zh-CN"/>
        </w:rPr>
        <w:t>三、排查整治“六类突出风险”</w:t>
      </w:r>
    </w:p>
    <w:p w14:paraId="0E72C1D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zh-CN" w:bidi="ar-SA"/>
        </w:rPr>
      </w:pPr>
      <w:r>
        <w:rPr>
          <w:rFonts w:hint="eastAsia" w:ascii="楷体" w:hAnsi="楷体" w:eastAsia="楷体" w:cs="楷体"/>
          <w:bCs/>
          <w:snapToGrid/>
          <w:kern w:val="2"/>
          <w:sz w:val="32"/>
          <w:szCs w:val="32"/>
          <w:lang w:val="en-US" w:eastAsia="zh-CN" w:bidi="ar-SA"/>
        </w:rPr>
        <w:t>(一)堵塞“生命通道”。</w:t>
      </w:r>
      <w:r>
        <w:rPr>
          <w:rFonts w:hint="eastAsia" w:ascii="仿宋_GB2312" w:hAnsi="ˎ̥" w:eastAsia="仿宋_GB2312" w:cs="宋体"/>
          <w:snapToGrid w:val="0"/>
          <w:color w:val="000000"/>
          <w:kern w:val="0"/>
          <w:sz w:val="32"/>
          <w:szCs w:val="32"/>
          <w:lang w:val="en-US" w:eastAsia="zh-CN" w:bidi="ar-SA"/>
        </w:rPr>
        <w:t>疏散通道、安全出口禁止占用、堵塞、封闭。场所安全出口、疏散楼梯数量必须满足规范要求，不符合的要责令停业整改。严查占用、堵塞、封闭疏散通道、安全出口的违法行为，清理疏散通道、安全出口、敞开式外连廊堆放的可燃杂物、电动自行车等。疏散楼梯严禁采用易燃可燃材料制作。</w:t>
      </w:r>
    </w:p>
    <w:p w14:paraId="4674A4E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zh-CN" w:bidi="ar-SA"/>
        </w:rPr>
      </w:pPr>
      <w:r>
        <w:rPr>
          <w:rFonts w:hint="eastAsia" w:ascii="楷体" w:hAnsi="楷体" w:eastAsia="楷体" w:cs="楷体"/>
          <w:bCs/>
          <w:snapToGrid/>
          <w:kern w:val="2"/>
          <w:sz w:val="32"/>
          <w:szCs w:val="32"/>
          <w:lang w:val="en-US" w:eastAsia="zh-CN" w:bidi="ar-SA"/>
        </w:rPr>
        <w:t>(二)违规设置防盗窗、广告牌。</w:t>
      </w:r>
      <w:r>
        <w:rPr>
          <w:rFonts w:hint="eastAsia" w:ascii="仿宋_GB2312" w:hAnsi="ˎ̥" w:eastAsia="仿宋_GB2312" w:cs="宋体"/>
          <w:snapToGrid w:val="0"/>
          <w:color w:val="000000"/>
          <w:kern w:val="0"/>
          <w:sz w:val="32"/>
          <w:szCs w:val="32"/>
          <w:lang w:val="en-US" w:eastAsia="zh-CN" w:bidi="ar-SA"/>
        </w:rPr>
        <w:t>人员密集场所建筑门窗不得设置影响逃生和灭火救援的广告牌、电子屏、金属栅栏、防盗窗网等障碍物。已设置的，责令立即拆除；拒不拆除的，上报区城管局依法强制拆除。</w:t>
      </w:r>
    </w:p>
    <w:p w14:paraId="2BC3B68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zh-CN" w:bidi="ar-SA"/>
        </w:rPr>
      </w:pPr>
      <w:r>
        <w:rPr>
          <w:rFonts w:hint="eastAsia" w:ascii="楷体" w:hAnsi="楷体" w:eastAsia="楷体" w:cs="楷体"/>
          <w:bCs/>
          <w:snapToGrid/>
          <w:kern w:val="2"/>
          <w:sz w:val="32"/>
          <w:szCs w:val="32"/>
          <w:lang w:val="en-US" w:eastAsia="zh-CN" w:bidi="ar-SA"/>
        </w:rPr>
        <w:t>(三)违规装修装饰。</w:t>
      </w:r>
      <w:r>
        <w:rPr>
          <w:rFonts w:hint="eastAsia" w:ascii="仿宋_GB2312" w:hAnsi="ˎ̥" w:eastAsia="仿宋_GB2312" w:cs="宋体"/>
          <w:snapToGrid w:val="0"/>
          <w:color w:val="000000"/>
          <w:kern w:val="0"/>
          <w:sz w:val="32"/>
          <w:szCs w:val="32"/>
          <w:lang w:val="en-US" w:eastAsia="zh-CN" w:bidi="ar-SA"/>
        </w:rPr>
        <w:t>严禁使用易燃、可燃材料装修装饰或搭建人员活动、居住场所。人员密集场所装修材料必须选用符合国家标准且不低于B1级(难燃)的材料。顶棚、墙面、地面严禁使用塑料扣板、泡沫板、塑料绿植、假花等易燃、可燃材料装修、装饰。严禁使用泡沫夹芯板搭建人员活动、居住场所或在建筑内部使用泡沫夹芯板分隔房间。</w:t>
      </w:r>
    </w:p>
    <w:p w14:paraId="08AB788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zh-CN" w:bidi="ar-SA"/>
        </w:rPr>
      </w:pPr>
      <w:r>
        <w:rPr>
          <w:rFonts w:hint="eastAsia" w:ascii="楷体" w:hAnsi="楷体" w:eastAsia="楷体" w:cs="楷体"/>
          <w:bCs/>
          <w:snapToGrid/>
          <w:kern w:val="2"/>
          <w:sz w:val="32"/>
          <w:szCs w:val="32"/>
          <w:lang w:val="en-US" w:eastAsia="zh-CN" w:bidi="ar-SA"/>
        </w:rPr>
        <w:t>(四)违规动火作业。</w:t>
      </w:r>
      <w:r>
        <w:rPr>
          <w:rFonts w:hint="eastAsia" w:ascii="仿宋_GB2312" w:hAnsi="ˎ̥" w:eastAsia="仿宋_GB2312" w:cs="宋体"/>
          <w:snapToGrid w:val="0"/>
          <w:color w:val="000000"/>
          <w:kern w:val="0"/>
          <w:sz w:val="32"/>
          <w:szCs w:val="32"/>
          <w:lang w:val="en-US" w:eastAsia="zh-CN" w:bidi="ar-SA"/>
        </w:rPr>
        <w:t>人员密集场所严禁在使用或营业期间违规动火作业(包括电焊、气焊、气割作业及使用喷灯、打磨、砂轮、电钻等可能产生火焰、火花和炽热表面的临时性施工作业)。严禁无证动火、无审批(不规范审批)动火、无灭火应急措施动火、在使用或营业期间动火，动火作业区域与其他区域必须进行有效防火分隔。动火作业期间，应清除动火区域内及周围易燃、可燃物。作业现场应配置灭火器材，落实现场监护人和安全措施，保持疏散通道畅通。作业结束后，应进行安全检查，消除安全隐患。发生火灾、爆炸的，应立即组织疏散、报火警、实施扑救。</w:t>
      </w:r>
    </w:p>
    <w:p w14:paraId="19CE1C1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zh-CN" w:bidi="ar-SA"/>
        </w:rPr>
      </w:pPr>
      <w:r>
        <w:rPr>
          <w:rFonts w:hint="eastAsia" w:ascii="楷体" w:hAnsi="楷体" w:eastAsia="楷体" w:cs="楷体"/>
          <w:bCs/>
          <w:snapToGrid/>
          <w:kern w:val="2"/>
          <w:sz w:val="32"/>
          <w:szCs w:val="32"/>
          <w:lang w:val="en-US" w:eastAsia="zh-CN" w:bidi="ar-SA"/>
        </w:rPr>
        <w:t>(五)违规敷设电气线路。</w:t>
      </w:r>
      <w:r>
        <w:rPr>
          <w:rFonts w:hint="eastAsia" w:ascii="仿宋_GB2312" w:hAnsi="ˎ̥" w:eastAsia="仿宋_GB2312" w:cs="宋体"/>
          <w:snapToGrid w:val="0"/>
          <w:color w:val="000000"/>
          <w:kern w:val="0"/>
          <w:sz w:val="32"/>
          <w:szCs w:val="32"/>
          <w:lang w:val="en-US" w:eastAsia="zh-CN" w:bidi="ar-SA"/>
        </w:rPr>
        <w:t>严查人员密集场所电气线路敷设不规范、私拉乱接电线、未穿管保护，用电负荷超额、电源插座数量不足以及未设短路保护装置、使用无证、“三无”电器产品等问题。督促人员密集场所配备持证电工或委托持证电工敷设电气线路及定期维护检测。</w:t>
      </w:r>
    </w:p>
    <w:p w14:paraId="6FBA27C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zh-CN" w:bidi="ar-SA"/>
        </w:rPr>
      </w:pPr>
      <w:r>
        <w:rPr>
          <w:rFonts w:hint="eastAsia" w:ascii="楷体" w:hAnsi="楷体" w:eastAsia="楷体" w:cs="楷体"/>
          <w:bCs/>
          <w:snapToGrid/>
          <w:kern w:val="2"/>
          <w:sz w:val="32"/>
          <w:szCs w:val="32"/>
          <w:lang w:val="en-US" w:eastAsia="zh-CN" w:bidi="ar-SA"/>
        </w:rPr>
        <w:t>(六)违规使用燃气、醇基燃料。</w:t>
      </w:r>
      <w:r>
        <w:rPr>
          <w:rFonts w:hint="eastAsia" w:ascii="仿宋_GB2312" w:hAnsi="ˎ̥" w:eastAsia="仿宋_GB2312" w:cs="宋体"/>
          <w:snapToGrid w:val="0"/>
          <w:color w:val="000000"/>
          <w:kern w:val="0"/>
          <w:sz w:val="32"/>
          <w:szCs w:val="32"/>
          <w:lang w:val="en-US" w:eastAsia="zh-CN" w:bidi="ar-SA"/>
        </w:rPr>
        <w:t>严查违规使用燃气、醇基燃料等安全风险。设置在高层建筑和地下室、半地下室的场所严禁使用瓶装液化石油气。严禁擅自安装、改装、拆除户内燃气设施和燃气计量装置使用燃气，人员密集场所使用燃气应按要求规范安装可燃气体报警装置和紧急自动切断阀。使用醇基燃料等新型液体燃料的人员密集场所，应采购符合国家标准及相关规定的产品；严禁“油气混用”;要按要求设置事故切断阀，储罐应采用不燃材料并设置在建筑外或进行防火分隔，四周应设置围护结构，防止醇基燃料溢出流淌。</w:t>
      </w:r>
    </w:p>
    <w:p w14:paraId="5E485A41">
      <w:pPr>
        <w:widowControl w:val="0"/>
        <w:kinsoku/>
        <w:autoSpaceDE/>
        <w:autoSpaceDN/>
        <w:adjustRightInd/>
        <w:snapToGrid/>
        <w:spacing w:line="500" w:lineRule="exact"/>
        <w:ind w:firstLine="675" w:firstLineChars="211"/>
        <w:jc w:val="both"/>
        <w:textAlignment w:val="auto"/>
        <w:rPr>
          <w:rFonts w:hint="eastAsia" w:ascii="黑体" w:hAnsi="Times New Roman" w:eastAsia="黑体" w:cs="Times New Roman"/>
          <w:snapToGrid/>
          <w:kern w:val="2"/>
          <w:sz w:val="32"/>
          <w:szCs w:val="32"/>
          <w:lang w:eastAsia="zh-CN"/>
        </w:rPr>
      </w:pPr>
      <w:r>
        <w:rPr>
          <w:rFonts w:hint="eastAsia" w:ascii="黑体" w:hAnsi="Times New Roman" w:eastAsia="黑体" w:cs="Times New Roman"/>
          <w:snapToGrid/>
          <w:kern w:val="2"/>
          <w:sz w:val="32"/>
          <w:szCs w:val="32"/>
          <w:lang w:eastAsia="zh-CN"/>
        </w:rPr>
        <w:t>四、任务措施及时间安排</w:t>
      </w:r>
    </w:p>
    <w:p w14:paraId="321AE55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zh-CN" w:bidi="ar-SA"/>
        </w:rPr>
      </w:pPr>
      <w:r>
        <w:rPr>
          <w:rFonts w:hint="eastAsia" w:ascii="楷体" w:hAnsi="楷体" w:eastAsia="楷体" w:cs="楷体"/>
          <w:bCs/>
          <w:snapToGrid/>
          <w:kern w:val="2"/>
          <w:sz w:val="32"/>
          <w:szCs w:val="32"/>
          <w:lang w:val="en-US" w:eastAsia="zh-CN" w:bidi="ar-SA"/>
        </w:rPr>
        <w:t>(一)发动单位自查自改(即日起至6月底)。</w:t>
      </w:r>
      <w:r>
        <w:rPr>
          <w:rFonts w:hint="eastAsia" w:ascii="仿宋_GB2312" w:hAnsi="ˎ̥" w:eastAsia="仿宋_GB2312" w:cs="宋体"/>
          <w:snapToGrid w:val="0"/>
          <w:color w:val="000000"/>
          <w:kern w:val="0"/>
          <w:sz w:val="32"/>
          <w:szCs w:val="32"/>
          <w:lang w:val="en-US" w:eastAsia="zh-CN" w:bidi="ar-SA"/>
        </w:rPr>
        <w:t>全面发动各类人员密集场所紧盯“六类突出风险”,认真开展自查自改，畅通安全出口、疏散通道；拆除门窗设置的影响逃生和灭火救援的障碍物；清理易燃可燃装饰装修材料；严格动火作业安全管理；规范电气线路敷设和使用；安全操作使用燃气、醇基燃料等。6月底前完成自查自改工作。</w:t>
      </w:r>
    </w:p>
    <w:p w14:paraId="600D4BA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zh-CN" w:bidi="ar-SA"/>
        </w:rPr>
      </w:pPr>
      <w:r>
        <w:rPr>
          <w:rFonts w:hint="eastAsia" w:ascii="楷体" w:hAnsi="楷体" w:eastAsia="楷体" w:cs="楷体"/>
          <w:bCs/>
          <w:snapToGrid/>
          <w:kern w:val="2"/>
          <w:sz w:val="32"/>
          <w:szCs w:val="32"/>
          <w:lang w:val="en-US" w:eastAsia="zh-CN" w:bidi="ar-SA"/>
        </w:rPr>
        <w:t>(二)组织全面排查整治(6月1日至8月25日)。</w:t>
      </w:r>
      <w:r>
        <w:rPr>
          <w:rFonts w:hint="eastAsia" w:ascii="仿宋_GB2312" w:hAnsi="ˎ̥" w:eastAsia="仿宋_GB2312" w:cs="宋体"/>
          <w:snapToGrid w:val="0"/>
          <w:color w:val="000000"/>
          <w:kern w:val="0"/>
          <w:sz w:val="32"/>
          <w:szCs w:val="32"/>
          <w:lang w:val="en-US" w:eastAsia="zh-CN" w:bidi="ar-SA"/>
        </w:rPr>
        <w:t>专项排查整治实行“区领导包保街道、街道领导包保社区、社区干部包保片区”的三级包保模式，划分网格、责任到人。开展集中专项排查整治，逐月统计“六类突出风险”排查整治工作进度，项目式、清单化推进，确保8月底前全面完成排查整治工作。对排查发现的问题，能当场改正的，要现场督促立行立改；对需要时间整改的，要提出整改措施和建议，建立隐患清单、责任清单、整改清单，加强动态跟踪，逐项督促整改。对不及时整改极易造成人员伤亡的，隐患特别突出、违法行为特别严重的，及时上报行业主管部门。</w:t>
      </w:r>
    </w:p>
    <w:p w14:paraId="5E6B6B2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zh-CN" w:bidi="ar-SA"/>
        </w:rPr>
      </w:pPr>
      <w:r>
        <w:rPr>
          <w:rFonts w:hint="eastAsia" w:ascii="楷体" w:hAnsi="楷体" w:eastAsia="楷体" w:cs="楷体"/>
          <w:bCs/>
          <w:snapToGrid/>
          <w:kern w:val="2"/>
          <w:sz w:val="32"/>
          <w:szCs w:val="32"/>
          <w:lang w:val="en-US" w:eastAsia="zh-CN" w:bidi="ar-SA"/>
        </w:rPr>
        <w:t>(三)强化警示宣传教育(即日起至专项整治结束)。</w:t>
      </w:r>
      <w:r>
        <w:rPr>
          <w:rFonts w:hint="eastAsia" w:ascii="仿宋_GB2312" w:hAnsi="ˎ̥" w:eastAsia="仿宋_GB2312" w:cs="宋体"/>
          <w:snapToGrid w:val="0"/>
          <w:color w:val="000000"/>
          <w:kern w:val="0"/>
          <w:sz w:val="32"/>
          <w:szCs w:val="32"/>
          <w:lang w:val="en-US" w:eastAsia="zh-CN" w:bidi="ar-SA"/>
        </w:rPr>
        <w:t>通过传统媒体和新媒体平台，广泛宣传人员密集场所“六类突出风险”的危害性，普及消防安全应急常识。要做好群众工作，讲清“六类突出风险”的利害关系和法律责任，避免产生舆情。要广泛发动群众举报身边涉及“六类突出风险”的隐患问题和违法行为，拓宽举报投诉渠道，完善核查奖励制度，形成全民参与的浓厚氛围。</w:t>
      </w:r>
    </w:p>
    <w:p w14:paraId="2F68F66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Times New Roman" w:eastAsia="黑体" w:cs="Times New Roman"/>
          <w:snapToGrid/>
          <w:kern w:val="2"/>
          <w:sz w:val="32"/>
          <w:szCs w:val="32"/>
          <w:lang w:eastAsia="zh-CN"/>
        </w:rPr>
      </w:pPr>
      <w:r>
        <w:rPr>
          <w:rFonts w:hint="eastAsia" w:ascii="黑体" w:hAnsi="Times New Roman" w:eastAsia="黑体" w:cs="Times New Roman"/>
          <w:snapToGrid/>
          <w:kern w:val="2"/>
          <w:sz w:val="32"/>
          <w:szCs w:val="32"/>
          <w:lang w:eastAsia="zh-CN"/>
        </w:rPr>
        <w:t>五、责任</w:t>
      </w:r>
      <w:r>
        <w:rPr>
          <w:rFonts w:hint="eastAsia" w:ascii="黑体" w:hAnsi="Times New Roman" w:eastAsia="黑体" w:cs="Times New Roman"/>
          <w:snapToGrid/>
          <w:kern w:val="2"/>
          <w:sz w:val="32"/>
          <w:szCs w:val="32"/>
          <w:lang w:val="en-US" w:eastAsia="zh-CN"/>
        </w:rPr>
        <w:t>分工</w:t>
      </w:r>
    </w:p>
    <w:p w14:paraId="79807BF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en-US" w:bidi="ar-SA"/>
        </w:rPr>
      </w:pPr>
      <w:r>
        <w:rPr>
          <w:rFonts w:hint="eastAsia" w:ascii="仿宋_GB2312" w:hAnsi="ˎ̥" w:eastAsia="仿宋_GB2312" w:cs="宋体"/>
          <w:snapToGrid w:val="0"/>
          <w:color w:val="000000"/>
          <w:kern w:val="0"/>
          <w:sz w:val="32"/>
          <w:szCs w:val="32"/>
          <w:lang w:val="en-US" w:eastAsia="zh-CN" w:bidi="ar-SA"/>
        </w:rPr>
        <w:t>按照“党政同责、一岗双责、齐抓共管、失职追责”和“管行业必须管安全、管业务必须管安全、管生产经营必须管安全”的要求，明确职责任务，落实工作责任。</w:t>
      </w:r>
    </w:p>
    <w:p w14:paraId="2FD1AAEE">
      <w:pPr>
        <w:widowControl w:val="0"/>
        <w:kinsoku/>
        <w:autoSpaceDE/>
        <w:autoSpaceDN/>
        <w:adjustRightInd/>
        <w:snapToGrid/>
        <w:spacing w:line="500" w:lineRule="exact"/>
        <w:ind w:firstLine="675" w:firstLineChars="211"/>
        <w:jc w:val="both"/>
        <w:textAlignment w:val="auto"/>
        <w:rPr>
          <w:rFonts w:hint="eastAsia" w:ascii="黑体" w:hAnsi="Times New Roman" w:eastAsia="黑体" w:cs="Times New Roman"/>
          <w:snapToGrid/>
          <w:kern w:val="2"/>
          <w:sz w:val="32"/>
          <w:szCs w:val="32"/>
          <w:lang w:eastAsia="zh-CN"/>
        </w:rPr>
      </w:pPr>
      <w:r>
        <w:rPr>
          <w:rFonts w:hint="eastAsia" w:ascii="黑体" w:hAnsi="Times New Roman" w:eastAsia="黑体" w:cs="Times New Roman"/>
          <w:snapToGrid/>
          <w:kern w:val="2"/>
          <w:sz w:val="32"/>
          <w:szCs w:val="32"/>
          <w:lang w:eastAsia="zh-CN"/>
        </w:rPr>
        <w:t>六、工作要求</w:t>
      </w:r>
    </w:p>
    <w:p w14:paraId="5127DE6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zh-CN" w:bidi="ar-SA"/>
        </w:rPr>
      </w:pPr>
      <w:r>
        <w:rPr>
          <w:rFonts w:hint="eastAsia" w:ascii="楷体" w:hAnsi="楷体" w:eastAsia="楷体" w:cs="楷体"/>
          <w:bCs/>
          <w:snapToGrid/>
          <w:kern w:val="2"/>
          <w:sz w:val="32"/>
          <w:szCs w:val="32"/>
          <w:lang w:val="en-US" w:eastAsia="zh-CN" w:bidi="ar-SA"/>
        </w:rPr>
        <w:t>(一)高度重视，落实责任。</w:t>
      </w:r>
      <w:r>
        <w:rPr>
          <w:rFonts w:hint="eastAsia" w:ascii="仿宋_GB2312" w:hAnsi="ˎ̥" w:eastAsia="仿宋_GB2312" w:cs="宋体"/>
          <w:snapToGrid w:val="0"/>
          <w:color w:val="000000"/>
          <w:kern w:val="0"/>
          <w:sz w:val="32"/>
          <w:szCs w:val="32"/>
          <w:lang w:val="en-US" w:eastAsia="zh-CN" w:bidi="ar-SA"/>
        </w:rPr>
        <w:t>开展人员密集场所“六类突出风险”专项排查整治工作是贯彻落实习近平总书记重要指示精神的重要举措，是市政府常务会议要求部署开展的一项重要工作，各社区、各有关部门要充分认识开展专项排查整治的重要性，主要领导要亲自研究推动工作落实，紧紧抓住“六类突出风险”问题，细化措施要求，做到“情况清、底数明”,工作落实、任务落地，严防搞形势、走过场。</w:t>
      </w:r>
    </w:p>
    <w:p w14:paraId="75522D2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zh-CN" w:bidi="ar-SA"/>
        </w:rPr>
      </w:pPr>
      <w:r>
        <w:rPr>
          <w:rFonts w:hint="eastAsia" w:ascii="楷体" w:hAnsi="楷体" w:eastAsia="楷体" w:cs="楷体"/>
          <w:bCs/>
          <w:snapToGrid/>
          <w:kern w:val="2"/>
          <w:sz w:val="32"/>
          <w:szCs w:val="32"/>
          <w:lang w:val="en-US" w:eastAsia="zh-CN" w:bidi="ar-SA"/>
        </w:rPr>
        <w:t>(二)加强领导，统筹调度。</w:t>
      </w:r>
      <w:r>
        <w:rPr>
          <w:rFonts w:hint="eastAsia" w:ascii="仿宋_GB2312" w:hAnsi="ˎ̥" w:eastAsia="仿宋_GB2312" w:cs="宋体"/>
          <w:snapToGrid w:val="0"/>
          <w:color w:val="000000"/>
          <w:kern w:val="0"/>
          <w:sz w:val="32"/>
          <w:szCs w:val="32"/>
          <w:lang w:val="en-US" w:eastAsia="zh-CN" w:bidi="ar-SA"/>
        </w:rPr>
        <w:t>街道成立专项整治工作专班，由各包保社区领导作为召集人，由街道党政主要领导统筹调度，推进专项工作。将“六类突出风险”排查整治与治本攻坚三年行动等重点任务统筹结合、同步推进。强化系统治理、综合治理、源头治理、依法治理；综合运用执法查处、媒体曝光、舆论监督、信用监管等措施，坚持宣传教育与隐患整治、监管执法一体化推进，实现整治效果和社会效果相统一。</w:t>
      </w:r>
    </w:p>
    <w:p w14:paraId="229A0DD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zh-CN" w:bidi="ar-SA"/>
        </w:rPr>
      </w:pPr>
      <w:r>
        <w:rPr>
          <w:rFonts w:hint="eastAsia" w:ascii="楷体" w:hAnsi="楷体" w:eastAsia="楷体" w:cs="楷体"/>
          <w:bCs/>
          <w:snapToGrid/>
          <w:kern w:val="2"/>
          <w:sz w:val="32"/>
          <w:szCs w:val="32"/>
          <w:lang w:val="en-US" w:eastAsia="zh-CN" w:bidi="ar-SA"/>
        </w:rPr>
        <w:t>(三)齐抓共管，形成合力。</w:t>
      </w:r>
      <w:r>
        <w:rPr>
          <w:rFonts w:hint="eastAsia" w:ascii="仿宋_GB2312" w:hAnsi="ˎ̥" w:eastAsia="仿宋_GB2312" w:cs="宋体"/>
          <w:snapToGrid w:val="0"/>
          <w:color w:val="000000"/>
          <w:kern w:val="0"/>
          <w:sz w:val="32"/>
          <w:szCs w:val="32"/>
          <w:lang w:val="en-US" w:eastAsia="zh-CN" w:bidi="ar-SA"/>
        </w:rPr>
        <w:t>街道各相关部门切实履行安全监管和行业管理责任，职能交叉、多头管理的行业领域，要厘清职责，加强协调，防止推诿扯皮。部门之间要建立定期信息沟通和联合执法机制，及时通报专项治理工作进展，有针对性地采取措施，形成执法合力。同时要按照“谁主管、谁负责”原则，落实定人、定岗、定责措施，把各项工作抓实、抓好、抓细。</w:t>
      </w:r>
    </w:p>
    <w:p w14:paraId="4258D84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zh-CN" w:bidi="ar-SA"/>
        </w:rPr>
      </w:pPr>
      <w:r>
        <w:rPr>
          <w:rFonts w:hint="eastAsia" w:ascii="楷体" w:hAnsi="楷体" w:eastAsia="楷体" w:cs="楷体"/>
          <w:bCs/>
          <w:snapToGrid/>
          <w:kern w:val="2"/>
          <w:sz w:val="32"/>
          <w:szCs w:val="32"/>
          <w:lang w:val="en-US" w:eastAsia="zh-CN" w:bidi="ar-SA"/>
        </w:rPr>
        <w:t>(四)强化督导，严肃问效。</w:t>
      </w:r>
      <w:r>
        <w:rPr>
          <w:rFonts w:hint="eastAsia" w:ascii="仿宋_GB2312" w:hAnsi="ˎ̥" w:eastAsia="仿宋_GB2312" w:cs="宋体"/>
          <w:snapToGrid w:val="0"/>
          <w:color w:val="000000"/>
          <w:kern w:val="0"/>
          <w:sz w:val="32"/>
          <w:szCs w:val="32"/>
          <w:lang w:val="en-US" w:eastAsia="zh-CN" w:bidi="ar-SA"/>
        </w:rPr>
        <w:t>人员密集场所“六类突出风险”专项排查整治列入年度安全生产和消防工作考核巡查、季度督导、暗访督察工作。各相关部门、社区要建立专项治理常抓常议机制，定期总结推进及时研究解决工作难题和重大事项。街道专项排查整治工作专班将每月随机开展明查暗访、督导检查，对行动迟缓、工作敷衍、成效不明显的，将予以通报批评、警示约谈；对工作责任不落实、隐患整治不彻底、监管执法不严格导致事故发生或灾害扩大的，按程序启动责任倒查机制，依法依规严肃追责问责。</w:t>
      </w:r>
    </w:p>
    <w:p w14:paraId="53B142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ˎ̥" w:eastAsia="仿宋_GB2312" w:cs="宋体"/>
          <w:snapToGrid w:val="0"/>
          <w:color w:val="000000"/>
          <w:kern w:val="0"/>
          <w:sz w:val="32"/>
          <w:szCs w:val="32"/>
          <w:lang w:val="en-US" w:eastAsia="zh-CN" w:bidi="ar-SA"/>
        </w:rPr>
      </w:pPr>
      <w:r>
        <w:rPr>
          <w:rFonts w:hint="eastAsia" w:ascii="仿宋_GB2312" w:hAnsi="ˎ̥" w:eastAsia="仿宋_GB2312" w:cs="宋体"/>
          <w:snapToGrid w:val="0"/>
          <w:color w:val="000000"/>
          <w:kern w:val="0"/>
          <w:sz w:val="32"/>
          <w:szCs w:val="32"/>
          <w:lang w:val="en-US" w:eastAsia="zh-CN" w:bidi="ar-SA"/>
        </w:rPr>
        <w:t>各社区、各有关部门每月23日前报送《人员密集场所“六类突出风险”专项排查整治情况统计表》至街道安委办。9月1日前报送专项排查整治工作总结。</w:t>
      </w:r>
    </w:p>
    <w:p w14:paraId="36628B5E">
      <w:pPr>
        <w:keepNext w:val="0"/>
        <w:keepLines w:val="0"/>
        <w:pageBreakBefore w:val="0"/>
        <w:widowControl w:val="0"/>
        <w:kinsoku/>
        <w:wordWrap/>
        <w:overflowPunct/>
        <w:topLinePunct w:val="0"/>
        <w:autoSpaceDE/>
        <w:autoSpaceDN/>
        <w:bidi w:val="0"/>
        <w:adjustRightInd w:val="0"/>
        <w:snapToGrid w:val="0"/>
        <w:spacing w:line="560" w:lineRule="exact"/>
        <w:ind w:left="1927" w:leftChars="308" w:hanging="1280" w:hangingChars="400"/>
        <w:textAlignment w:val="auto"/>
        <w:rPr>
          <w:rFonts w:hint="default" w:ascii="仿宋_GB2312" w:hAnsi="ˎ̥" w:eastAsia="仿宋_GB2312" w:cs="宋体"/>
          <w:snapToGrid w:val="0"/>
          <w:color w:val="000000"/>
          <w:kern w:val="0"/>
          <w:sz w:val="32"/>
          <w:szCs w:val="32"/>
          <w:lang w:val="en-US" w:eastAsia="zh-CN" w:bidi="ar-SA"/>
        </w:rPr>
      </w:pPr>
      <w:r>
        <w:rPr>
          <w:rFonts w:hint="eastAsia" w:ascii="仿宋_GB2312" w:hAnsi="ˎ̥" w:eastAsia="仿宋_GB2312" w:cs="宋体"/>
          <w:snapToGrid w:val="0"/>
          <w:color w:val="000000"/>
          <w:kern w:val="0"/>
          <w:sz w:val="32"/>
          <w:szCs w:val="32"/>
          <w:lang w:val="en-US" w:eastAsia="zh-CN" w:bidi="ar-SA"/>
        </w:rPr>
        <w:t>附件：1. 新庄孜街道人员密集场所“六类突出风险”专项排查整治工作小组</w:t>
      </w:r>
      <w:bookmarkStart w:id="0" w:name="_GoBack"/>
      <w:bookmarkEnd w:id="0"/>
    </w:p>
    <w:p w14:paraId="7382AB7E">
      <w:pPr>
        <w:keepNext w:val="0"/>
        <w:keepLines w:val="0"/>
        <w:pageBreakBefore w:val="0"/>
        <w:widowControl w:val="0"/>
        <w:kinsoku/>
        <w:wordWrap/>
        <w:overflowPunct/>
        <w:topLinePunct w:val="0"/>
        <w:autoSpaceDE/>
        <w:autoSpaceDN/>
        <w:bidi w:val="0"/>
        <w:adjustRightInd w:val="0"/>
        <w:snapToGrid w:val="0"/>
        <w:spacing w:line="560" w:lineRule="exact"/>
        <w:ind w:left="1924" w:leftChars="764" w:hanging="320" w:hangingChars="100"/>
        <w:textAlignment w:val="auto"/>
        <w:rPr>
          <w:rFonts w:hint="default" w:ascii="仿宋_GB2312" w:hAnsi="ˎ̥" w:eastAsia="仿宋_GB2312" w:cs="宋体"/>
          <w:snapToGrid w:val="0"/>
          <w:color w:val="000000"/>
          <w:kern w:val="0"/>
          <w:sz w:val="32"/>
          <w:szCs w:val="32"/>
          <w:lang w:val="en-US" w:eastAsia="zh-CN" w:bidi="ar-SA"/>
        </w:rPr>
      </w:pPr>
      <w:r>
        <w:rPr>
          <w:rFonts w:hint="eastAsia" w:ascii="仿宋_GB2312" w:hAnsi="ˎ̥" w:eastAsia="仿宋_GB2312" w:cs="宋体"/>
          <w:snapToGrid w:val="0"/>
          <w:color w:val="000000"/>
          <w:kern w:val="0"/>
          <w:sz w:val="32"/>
          <w:szCs w:val="32"/>
          <w:lang w:val="en-US" w:eastAsia="zh-CN" w:bidi="ar-SA"/>
        </w:rPr>
        <w:t>2. 新庄孜街道领导包保专项排查整治工作分工</w:t>
      </w:r>
    </w:p>
    <w:p w14:paraId="03224F0D">
      <w:pPr>
        <w:keepNext w:val="0"/>
        <w:keepLines w:val="0"/>
        <w:pageBreakBefore w:val="0"/>
        <w:widowControl w:val="0"/>
        <w:kinsoku/>
        <w:wordWrap/>
        <w:overflowPunct/>
        <w:topLinePunct w:val="0"/>
        <w:autoSpaceDE/>
        <w:autoSpaceDN/>
        <w:bidi w:val="0"/>
        <w:adjustRightInd w:val="0"/>
        <w:snapToGrid w:val="0"/>
        <w:spacing w:line="560" w:lineRule="exact"/>
        <w:ind w:left="1924" w:leftChars="764" w:hanging="320" w:hangingChars="100"/>
        <w:textAlignment w:val="auto"/>
        <w:rPr>
          <w:rFonts w:hint="eastAsia" w:ascii="仿宋_GB2312" w:hAnsi="ˎ̥" w:eastAsia="仿宋_GB2312" w:cs="宋体"/>
          <w:snapToGrid w:val="0"/>
          <w:color w:val="000000"/>
          <w:kern w:val="0"/>
          <w:sz w:val="32"/>
          <w:szCs w:val="32"/>
          <w:lang w:val="en-US" w:eastAsia="zh-CN" w:bidi="ar-SA"/>
        </w:rPr>
      </w:pPr>
      <w:r>
        <w:rPr>
          <w:rFonts w:hint="eastAsia" w:ascii="仿宋_GB2312" w:hAnsi="ˎ̥" w:eastAsia="仿宋_GB2312" w:cs="宋体"/>
          <w:snapToGrid w:val="0"/>
          <w:color w:val="000000"/>
          <w:kern w:val="0"/>
          <w:sz w:val="32"/>
          <w:szCs w:val="32"/>
          <w:lang w:val="en-US" w:eastAsia="zh-CN" w:bidi="ar-SA"/>
        </w:rPr>
        <w:t>3. 人员密集场所“六类突出风险”专项排查整治情况统计表</w:t>
      </w:r>
    </w:p>
    <w:p w14:paraId="458AC390">
      <w:pPr>
        <w:rPr>
          <w:rFonts w:ascii="Times New Roman" w:hAnsi="Times New Roman" w:eastAsia="方正仿宋_GBK" w:cs="Times New Roman"/>
          <w:color w:val="000000"/>
          <w:spacing w:val="2"/>
          <w:kern w:val="13"/>
          <w:sz w:val="32"/>
          <w:szCs w:val="32"/>
        </w:rPr>
      </w:pPr>
      <w:r>
        <w:rPr>
          <w:rFonts w:ascii="Times New Roman" w:hAnsi="Times New Roman" w:eastAsia="方正仿宋_GBK" w:cs="Times New Roman"/>
          <w:color w:val="000000"/>
          <w:spacing w:val="2"/>
          <w:kern w:val="13"/>
          <w:sz w:val="32"/>
          <w:szCs w:val="32"/>
        </w:rPr>
        <w:br w:type="page"/>
      </w:r>
    </w:p>
    <w:p w14:paraId="65AF463A">
      <w:pPr>
        <w:spacing w:before="121" w:line="224" w:lineRule="auto"/>
        <w:ind w:left="23"/>
        <w:rPr>
          <w:rFonts w:hint="eastAsia" w:ascii="黑体" w:hAnsi="黑体" w:eastAsia="黑体" w:cs="黑体"/>
          <w:b/>
          <w:bCs/>
          <w:color w:val="304050"/>
          <w:spacing w:val="-20"/>
          <w:sz w:val="37"/>
          <w:szCs w:val="37"/>
          <w:lang w:val="en-US" w:eastAsia="zh-CN"/>
        </w:rPr>
      </w:pPr>
      <w:r>
        <w:rPr>
          <w:rFonts w:hint="eastAsia" w:ascii="黑体" w:hAnsi="黑体" w:eastAsia="黑体" w:cs="黑体"/>
          <w:b/>
          <w:bCs/>
          <w:color w:val="304050"/>
          <w:spacing w:val="-20"/>
          <w:sz w:val="37"/>
          <w:szCs w:val="37"/>
          <w:lang w:eastAsia="zh-CN"/>
        </w:rPr>
        <w:t>附件</w:t>
      </w:r>
      <w:r>
        <w:rPr>
          <w:rFonts w:hint="eastAsia" w:ascii="黑体" w:hAnsi="黑体" w:eastAsia="黑体" w:cs="黑体"/>
          <w:b/>
          <w:bCs/>
          <w:color w:val="304050"/>
          <w:spacing w:val="-20"/>
          <w:sz w:val="37"/>
          <w:szCs w:val="37"/>
          <w:lang w:val="en-US" w:eastAsia="zh-CN"/>
        </w:rPr>
        <w:t xml:space="preserve"> 1</w:t>
      </w:r>
    </w:p>
    <w:p w14:paraId="210F4307">
      <w:pPr>
        <w:pStyle w:val="5"/>
        <w:rPr>
          <w:rFonts w:hint="eastAsia" w:ascii="黑体" w:hAnsi="黑体" w:eastAsia="黑体" w:cs="黑体"/>
          <w:b/>
          <w:bCs/>
          <w:color w:val="304050"/>
          <w:spacing w:val="-20"/>
          <w:sz w:val="37"/>
          <w:szCs w:val="37"/>
          <w:lang w:val="en-US" w:eastAsia="zh-CN"/>
        </w:rPr>
      </w:pPr>
    </w:p>
    <w:p w14:paraId="571DD9C7">
      <w:pPr>
        <w:widowControl w:val="0"/>
        <w:kinsoku/>
        <w:autoSpaceDE/>
        <w:autoSpaceDN/>
        <w:adjustRightInd/>
        <w:snapToGrid/>
        <w:spacing w:line="574" w:lineRule="exact"/>
        <w:jc w:val="center"/>
        <w:textAlignment w:val="auto"/>
        <w:rPr>
          <w:rFonts w:hint="eastAsia" w:ascii="方正小标宋_GBK" w:hAnsi="Times New Roman" w:eastAsia="方正小标宋_GBK" w:cs="Times New Roman"/>
          <w:snapToGrid/>
          <w:color w:val="000000"/>
          <w:kern w:val="2"/>
          <w:sz w:val="44"/>
          <w:szCs w:val="44"/>
          <w:lang w:eastAsia="zh-CN"/>
        </w:rPr>
      </w:pPr>
      <w:r>
        <w:rPr>
          <w:rFonts w:hint="eastAsia" w:ascii="方正小标宋_GBK" w:hAnsi="Times New Roman" w:eastAsia="方正小标宋_GBK" w:cs="Times New Roman"/>
          <w:snapToGrid/>
          <w:color w:val="000000"/>
          <w:kern w:val="2"/>
          <w:sz w:val="44"/>
          <w:szCs w:val="44"/>
          <w:lang w:eastAsia="zh-CN"/>
        </w:rPr>
        <w:t>新庄孜街道人员密集场所“六类突出风险”</w:t>
      </w:r>
    </w:p>
    <w:p w14:paraId="74900B08">
      <w:pPr>
        <w:widowControl w:val="0"/>
        <w:kinsoku/>
        <w:autoSpaceDE/>
        <w:autoSpaceDN/>
        <w:adjustRightInd/>
        <w:snapToGrid/>
        <w:spacing w:line="574" w:lineRule="exact"/>
        <w:jc w:val="center"/>
        <w:textAlignment w:val="auto"/>
        <w:rPr>
          <w:rFonts w:hint="eastAsia" w:ascii="方正小标宋_GBK" w:hAnsi="Times New Roman" w:eastAsia="方正小标宋_GBK" w:cs="Times New Roman"/>
          <w:snapToGrid/>
          <w:color w:val="000000"/>
          <w:kern w:val="2"/>
          <w:sz w:val="44"/>
          <w:szCs w:val="44"/>
          <w:lang w:eastAsia="zh-CN"/>
        </w:rPr>
      </w:pPr>
      <w:r>
        <w:rPr>
          <w:rFonts w:hint="eastAsia" w:ascii="方正小标宋_GBK" w:hAnsi="Times New Roman" w:eastAsia="方正小标宋_GBK" w:cs="Times New Roman"/>
          <w:snapToGrid/>
          <w:color w:val="000000"/>
          <w:kern w:val="2"/>
          <w:sz w:val="44"/>
          <w:szCs w:val="44"/>
          <w:lang w:eastAsia="zh-CN"/>
        </w:rPr>
        <w:t>专项排查整治工作专班</w:t>
      </w:r>
    </w:p>
    <w:p w14:paraId="3E23B084">
      <w:pPr>
        <w:pStyle w:val="5"/>
        <w:rPr>
          <w:rFonts w:hint="eastAsia" w:ascii="方正小标宋_GBK" w:hAnsi="Times New Roman" w:eastAsia="方正小标宋_GBK" w:cs="Times New Roman"/>
          <w:snapToGrid/>
          <w:color w:val="000000"/>
          <w:kern w:val="2"/>
          <w:sz w:val="44"/>
          <w:szCs w:val="44"/>
          <w:lang w:eastAsia="zh-CN"/>
        </w:rPr>
      </w:pPr>
    </w:p>
    <w:p w14:paraId="3DEB086E">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39" w:firstLineChars="200"/>
        <w:textAlignment w:val="baseline"/>
        <w:rPr>
          <w:rFonts w:ascii="楷体" w:hAnsi="楷体" w:eastAsia="楷体" w:cs="楷体"/>
          <w:sz w:val="37"/>
          <w:szCs w:val="37"/>
        </w:rPr>
      </w:pPr>
      <w:r>
        <w:rPr>
          <w:rFonts w:ascii="楷体" w:hAnsi="楷体" w:eastAsia="楷体" w:cs="楷体"/>
          <w:b/>
          <w:bCs/>
          <w:spacing w:val="-26"/>
          <w:sz w:val="37"/>
          <w:szCs w:val="37"/>
        </w:rPr>
        <w:t>组</w:t>
      </w:r>
      <w:r>
        <w:rPr>
          <w:rFonts w:ascii="楷体" w:hAnsi="楷体" w:eastAsia="楷体" w:cs="楷体"/>
          <w:spacing w:val="33"/>
          <w:sz w:val="37"/>
          <w:szCs w:val="37"/>
        </w:rPr>
        <w:t xml:space="preserve">  </w:t>
      </w:r>
      <w:r>
        <w:rPr>
          <w:rFonts w:ascii="楷体" w:hAnsi="楷体" w:eastAsia="楷体" w:cs="楷体"/>
          <w:b/>
          <w:bCs/>
          <w:spacing w:val="-26"/>
          <w:sz w:val="37"/>
          <w:szCs w:val="37"/>
        </w:rPr>
        <w:t>长：</w:t>
      </w:r>
    </w:p>
    <w:p w14:paraId="77F9AF9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776" w:firstLineChars="200"/>
        <w:textAlignment w:val="baseline"/>
        <w:rPr>
          <w:rFonts w:hint="eastAsia"/>
          <w:spacing w:val="9"/>
          <w:lang w:eastAsia="zh-CN"/>
        </w:rPr>
      </w:pPr>
      <w:r>
        <w:rPr>
          <w:rFonts w:hint="eastAsia"/>
          <w:spacing w:val="9"/>
          <w:lang w:eastAsia="zh-CN"/>
        </w:rPr>
        <w:t>吴</w:t>
      </w:r>
      <w:r>
        <w:rPr>
          <w:rFonts w:hint="eastAsia"/>
          <w:spacing w:val="9"/>
          <w:lang w:val="en-US" w:eastAsia="zh-CN"/>
        </w:rPr>
        <w:t xml:space="preserve">  赛</w:t>
      </w:r>
      <w:r>
        <w:rPr>
          <w:rFonts w:hint="eastAsia"/>
          <w:spacing w:val="9"/>
          <w:lang w:eastAsia="zh-CN"/>
        </w:rPr>
        <w:t xml:space="preserve">  新庄孜街道办事处副主任</w:t>
      </w:r>
    </w:p>
    <w:p w14:paraId="356640F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27" w:firstLineChars="200"/>
        <w:textAlignment w:val="baseline"/>
      </w:pPr>
      <w:r>
        <w:rPr>
          <w:b/>
          <w:bCs/>
          <w:spacing w:val="-29"/>
        </w:rPr>
        <w:t>成</w:t>
      </w:r>
      <w:r>
        <w:rPr>
          <w:spacing w:val="40"/>
        </w:rPr>
        <w:t xml:space="preserve">  </w:t>
      </w:r>
      <w:r>
        <w:rPr>
          <w:b/>
          <w:bCs/>
          <w:spacing w:val="-29"/>
        </w:rPr>
        <w:t>员：</w:t>
      </w:r>
    </w:p>
    <w:p w14:paraId="6A05C5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776" w:firstLineChars="200"/>
        <w:textAlignment w:val="baseline"/>
        <w:rPr>
          <w:rFonts w:hint="eastAsia"/>
          <w:spacing w:val="9"/>
          <w:lang w:eastAsia="zh-CN"/>
        </w:rPr>
      </w:pPr>
      <w:r>
        <w:rPr>
          <w:rFonts w:hint="eastAsia"/>
          <w:spacing w:val="9"/>
          <w:lang w:eastAsia="zh-CN"/>
        </w:rPr>
        <w:t>蔡云玲  建东社区书记、主任</w:t>
      </w:r>
    </w:p>
    <w:p w14:paraId="3CB4D00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776" w:firstLineChars="200"/>
        <w:textAlignment w:val="baseline"/>
        <w:rPr>
          <w:rFonts w:hint="eastAsia"/>
          <w:spacing w:val="9"/>
          <w:lang w:eastAsia="zh-CN"/>
        </w:rPr>
      </w:pPr>
      <w:r>
        <w:rPr>
          <w:rFonts w:hint="eastAsia"/>
          <w:spacing w:val="9"/>
          <w:lang w:eastAsia="zh-CN"/>
        </w:rPr>
        <w:t>朱</w:t>
      </w:r>
      <w:r>
        <w:rPr>
          <w:rFonts w:hint="eastAsia"/>
          <w:spacing w:val="9"/>
          <w:lang w:val="en-US" w:eastAsia="zh-CN"/>
        </w:rPr>
        <w:t xml:space="preserve">  靖</w:t>
      </w:r>
      <w:r>
        <w:rPr>
          <w:rFonts w:hint="eastAsia"/>
          <w:spacing w:val="9"/>
          <w:lang w:eastAsia="zh-CN"/>
        </w:rPr>
        <w:t xml:space="preserve">  治东社区书记、主任</w:t>
      </w:r>
    </w:p>
    <w:p w14:paraId="2BE8C9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776" w:firstLineChars="200"/>
        <w:textAlignment w:val="baseline"/>
        <w:rPr>
          <w:rFonts w:hint="eastAsia"/>
          <w:spacing w:val="9"/>
          <w:lang w:eastAsia="zh-CN"/>
        </w:rPr>
      </w:pPr>
      <w:r>
        <w:rPr>
          <w:rFonts w:hint="eastAsia"/>
          <w:spacing w:val="9"/>
          <w:lang w:eastAsia="zh-CN"/>
        </w:rPr>
        <w:t>马媛媛  团结社区书记、主任</w:t>
      </w:r>
    </w:p>
    <w:p w14:paraId="5E26D44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776" w:firstLineChars="200"/>
        <w:textAlignment w:val="baseline"/>
        <w:rPr>
          <w:rFonts w:hint="eastAsia"/>
          <w:spacing w:val="9"/>
          <w:lang w:eastAsia="zh-CN"/>
        </w:rPr>
      </w:pPr>
      <w:r>
        <w:rPr>
          <w:rFonts w:hint="eastAsia"/>
          <w:spacing w:val="9"/>
          <w:lang w:eastAsia="zh-CN"/>
        </w:rPr>
        <w:t>芦</w:t>
      </w:r>
      <w:r>
        <w:rPr>
          <w:rFonts w:hint="eastAsia"/>
          <w:spacing w:val="9"/>
          <w:lang w:val="en-US" w:eastAsia="zh-CN"/>
        </w:rPr>
        <w:t xml:space="preserve">  敏</w:t>
      </w:r>
      <w:r>
        <w:rPr>
          <w:rFonts w:hint="eastAsia"/>
          <w:spacing w:val="9"/>
          <w:lang w:eastAsia="zh-CN"/>
        </w:rPr>
        <w:t xml:space="preserve">  胜利社区书记、主任</w:t>
      </w:r>
    </w:p>
    <w:p w14:paraId="2D5CDB5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776" w:firstLineChars="200"/>
        <w:textAlignment w:val="baseline"/>
        <w:rPr>
          <w:rFonts w:hint="eastAsia"/>
          <w:spacing w:val="9"/>
          <w:lang w:eastAsia="zh-CN"/>
        </w:rPr>
      </w:pPr>
      <w:r>
        <w:rPr>
          <w:rFonts w:hint="eastAsia"/>
          <w:spacing w:val="9"/>
          <w:lang w:eastAsia="zh-CN"/>
        </w:rPr>
        <w:t>张</w:t>
      </w:r>
      <w:r>
        <w:rPr>
          <w:rFonts w:hint="eastAsia"/>
          <w:spacing w:val="9"/>
          <w:lang w:val="en-US" w:eastAsia="zh-CN"/>
        </w:rPr>
        <w:t xml:space="preserve">  云</w:t>
      </w:r>
      <w:r>
        <w:rPr>
          <w:rFonts w:hint="eastAsia"/>
          <w:spacing w:val="9"/>
          <w:lang w:eastAsia="zh-CN"/>
        </w:rPr>
        <w:t xml:space="preserve">  新培社区书记、主任</w:t>
      </w:r>
    </w:p>
    <w:p w14:paraId="7E0655B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776" w:firstLineChars="200"/>
        <w:textAlignment w:val="baseline"/>
        <w:rPr>
          <w:rFonts w:hint="eastAsia"/>
          <w:spacing w:val="9"/>
          <w:lang w:eastAsia="zh-CN"/>
        </w:rPr>
      </w:pPr>
      <w:r>
        <w:rPr>
          <w:rFonts w:hint="eastAsia"/>
          <w:spacing w:val="9"/>
          <w:lang w:eastAsia="zh-CN"/>
        </w:rPr>
        <w:t>王福凤  治西社区书记、主任</w:t>
      </w:r>
    </w:p>
    <w:p w14:paraId="503719B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776" w:firstLineChars="200"/>
        <w:textAlignment w:val="baseline"/>
        <w:rPr>
          <w:rFonts w:hint="eastAsia"/>
          <w:spacing w:val="9"/>
          <w:lang w:eastAsia="zh-CN"/>
        </w:rPr>
      </w:pPr>
      <w:r>
        <w:rPr>
          <w:rFonts w:hint="eastAsia"/>
          <w:spacing w:val="9"/>
          <w:lang w:eastAsia="zh-CN"/>
        </w:rPr>
        <w:t>朱</w:t>
      </w:r>
      <w:r>
        <w:rPr>
          <w:rFonts w:hint="eastAsia"/>
          <w:spacing w:val="9"/>
          <w:lang w:val="en-US" w:eastAsia="zh-CN"/>
        </w:rPr>
        <w:t xml:space="preserve">  莲</w:t>
      </w:r>
      <w:r>
        <w:rPr>
          <w:rFonts w:hint="eastAsia"/>
          <w:spacing w:val="9"/>
          <w:lang w:eastAsia="zh-CN"/>
        </w:rPr>
        <w:t xml:space="preserve">  化工社区书记、主任</w:t>
      </w:r>
    </w:p>
    <w:p w14:paraId="4C5D146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776" w:firstLineChars="200"/>
        <w:textAlignment w:val="baseline"/>
        <w:rPr>
          <w:rFonts w:hint="eastAsia"/>
          <w:spacing w:val="9"/>
          <w:lang w:eastAsia="zh-CN"/>
        </w:rPr>
      </w:pPr>
      <w:r>
        <w:rPr>
          <w:rFonts w:hint="eastAsia"/>
          <w:spacing w:val="9"/>
          <w:lang w:eastAsia="zh-CN"/>
        </w:rPr>
        <w:t>候茂娟  矿北社区书记、主任</w:t>
      </w:r>
    </w:p>
    <w:p w14:paraId="62D5A61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776" w:firstLineChars="200"/>
        <w:textAlignment w:val="baseline"/>
        <w:rPr>
          <w:rFonts w:hint="default"/>
          <w:spacing w:val="9"/>
          <w:lang w:val="en-US" w:eastAsia="zh-CN"/>
        </w:rPr>
      </w:pPr>
      <w:r>
        <w:rPr>
          <w:rFonts w:hint="eastAsia"/>
          <w:spacing w:val="9"/>
          <w:lang w:eastAsia="zh-CN"/>
        </w:rPr>
        <w:t>李时响</w:t>
      </w:r>
      <w:r>
        <w:rPr>
          <w:rFonts w:hint="eastAsia"/>
          <w:spacing w:val="9"/>
          <w:lang w:val="en-US" w:eastAsia="zh-CN"/>
        </w:rPr>
        <w:t xml:space="preserve">  街道应急办工作人员</w:t>
      </w:r>
    </w:p>
    <w:p w14:paraId="4E3E1FEC">
      <w:pPr>
        <w:rPr>
          <w:rFonts w:hint="eastAsia"/>
          <w:lang w:eastAsia="zh-CN"/>
        </w:rPr>
      </w:pPr>
      <w:r>
        <w:rPr>
          <w:rFonts w:hint="eastAsia"/>
          <w:lang w:eastAsia="zh-CN"/>
        </w:rPr>
        <w:br w:type="page"/>
      </w:r>
    </w:p>
    <w:p w14:paraId="7520BA6B">
      <w:pPr>
        <w:pStyle w:val="2"/>
        <w:spacing w:before="78" w:line="222" w:lineRule="auto"/>
        <w:ind w:left="560"/>
        <w:rPr>
          <w:sz w:val="38"/>
          <w:szCs w:val="38"/>
        </w:rPr>
      </w:pPr>
      <w:r>
        <w:rPr>
          <w:b/>
          <w:bCs/>
          <w:color w:val="203040"/>
          <w:spacing w:val="24"/>
          <w:sz w:val="38"/>
          <w:szCs w:val="38"/>
        </w:rPr>
        <w:t>附件2</w:t>
      </w:r>
    </w:p>
    <w:p w14:paraId="49380929">
      <w:pPr>
        <w:spacing w:before="326" w:line="222" w:lineRule="auto"/>
        <w:jc w:val="center"/>
        <w:rPr>
          <w:rFonts w:ascii="黑体" w:hAnsi="黑体" w:eastAsia="黑体" w:cs="黑体"/>
          <w:b/>
          <w:bCs/>
          <w:spacing w:val="-7"/>
          <w:sz w:val="53"/>
          <w:szCs w:val="53"/>
        </w:rPr>
      </w:pPr>
      <w:r>
        <w:rPr>
          <w:rFonts w:ascii="黑体" w:hAnsi="黑体" w:eastAsia="黑体" w:cs="黑体"/>
          <w:b/>
          <w:bCs/>
          <w:spacing w:val="-7"/>
          <w:sz w:val="53"/>
          <w:szCs w:val="53"/>
        </w:rPr>
        <w:t>街道领导包保专项排查整治工作分工</w:t>
      </w:r>
    </w:p>
    <w:tbl>
      <w:tblPr>
        <w:tblStyle w:val="8"/>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2383"/>
        <w:gridCol w:w="1965"/>
        <w:gridCol w:w="3654"/>
      </w:tblGrid>
      <w:tr w14:paraId="6251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133" w:type="dxa"/>
            <w:vAlign w:val="center"/>
          </w:tcPr>
          <w:p w14:paraId="07CF4C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序号</w:t>
            </w:r>
          </w:p>
        </w:tc>
        <w:tc>
          <w:tcPr>
            <w:tcW w:w="2383" w:type="dxa"/>
            <w:vAlign w:val="center"/>
          </w:tcPr>
          <w:p w14:paraId="3F0871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村（社区）</w:t>
            </w:r>
          </w:p>
        </w:tc>
        <w:tc>
          <w:tcPr>
            <w:tcW w:w="1965" w:type="dxa"/>
            <w:vAlign w:val="center"/>
          </w:tcPr>
          <w:p w14:paraId="0D83F6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包保领导</w:t>
            </w:r>
          </w:p>
        </w:tc>
        <w:tc>
          <w:tcPr>
            <w:tcW w:w="3654" w:type="dxa"/>
            <w:vAlign w:val="center"/>
          </w:tcPr>
          <w:p w14:paraId="0575C2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职务</w:t>
            </w:r>
          </w:p>
        </w:tc>
      </w:tr>
      <w:tr w14:paraId="607F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3" w:type="dxa"/>
            <w:vAlign w:val="center"/>
          </w:tcPr>
          <w:p w14:paraId="3EBBA6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1</w:t>
            </w:r>
          </w:p>
        </w:tc>
        <w:tc>
          <w:tcPr>
            <w:tcW w:w="2383" w:type="dxa"/>
            <w:vAlign w:val="center"/>
          </w:tcPr>
          <w:p w14:paraId="7CA4CF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团结社区、胜利社区</w:t>
            </w:r>
          </w:p>
        </w:tc>
        <w:tc>
          <w:tcPr>
            <w:tcW w:w="1965" w:type="dxa"/>
            <w:vAlign w:val="center"/>
          </w:tcPr>
          <w:p w14:paraId="0B3487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Cs/>
                <w:sz w:val="32"/>
                <w:szCs w:val="32"/>
                <w:vertAlign w:val="baseline"/>
                <w:lang w:val="en-US" w:eastAsia="zh-CN"/>
              </w:rPr>
            </w:pPr>
            <w:r>
              <w:rPr>
                <w:rFonts w:hint="eastAsia" w:ascii="仿宋_GB2312" w:eastAsia="仿宋_GB2312" w:cs="Times New Roman"/>
                <w:bCs/>
                <w:kern w:val="0"/>
                <w:sz w:val="32"/>
                <w:szCs w:val="32"/>
                <w:lang w:val="en-US" w:eastAsia="zh-CN"/>
              </w:rPr>
              <w:t>何娇娇</w:t>
            </w:r>
          </w:p>
        </w:tc>
        <w:tc>
          <w:tcPr>
            <w:tcW w:w="3654" w:type="dxa"/>
            <w:vAlign w:val="center"/>
          </w:tcPr>
          <w:p w14:paraId="365C7D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s="Times New Roman"/>
                <w:bCs/>
                <w:kern w:val="0"/>
                <w:sz w:val="32"/>
                <w:szCs w:val="32"/>
                <w:lang w:val="en-US" w:eastAsia="zh-CN"/>
              </w:rPr>
            </w:pPr>
            <w:r>
              <w:rPr>
                <w:rFonts w:hint="eastAsia" w:ascii="仿宋_GB2312" w:eastAsia="仿宋_GB2312" w:cs="Times New Roman"/>
                <w:bCs/>
                <w:kern w:val="0"/>
                <w:sz w:val="32"/>
                <w:szCs w:val="32"/>
                <w:lang w:val="en-US" w:eastAsia="zh-CN"/>
              </w:rPr>
              <w:t>街道街道党工委书记</w:t>
            </w:r>
          </w:p>
        </w:tc>
      </w:tr>
      <w:tr w14:paraId="7031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3" w:type="dxa"/>
            <w:vAlign w:val="center"/>
          </w:tcPr>
          <w:p w14:paraId="63EF48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2</w:t>
            </w:r>
          </w:p>
        </w:tc>
        <w:tc>
          <w:tcPr>
            <w:tcW w:w="2383" w:type="dxa"/>
            <w:vAlign w:val="center"/>
          </w:tcPr>
          <w:p w14:paraId="264992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建东社区、化工社区</w:t>
            </w:r>
          </w:p>
        </w:tc>
        <w:tc>
          <w:tcPr>
            <w:tcW w:w="1965" w:type="dxa"/>
            <w:vAlign w:val="center"/>
          </w:tcPr>
          <w:p w14:paraId="7BB369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宋玉鹏</w:t>
            </w:r>
          </w:p>
        </w:tc>
        <w:tc>
          <w:tcPr>
            <w:tcW w:w="3654" w:type="dxa"/>
            <w:vAlign w:val="center"/>
          </w:tcPr>
          <w:p w14:paraId="7CBD9D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s="Times New Roman"/>
                <w:bCs/>
                <w:kern w:val="0"/>
                <w:sz w:val="32"/>
                <w:szCs w:val="32"/>
                <w:lang w:val="en-US" w:eastAsia="zh-CN"/>
              </w:rPr>
            </w:pPr>
            <w:r>
              <w:rPr>
                <w:rFonts w:hint="eastAsia" w:ascii="仿宋_GB2312" w:eastAsia="仿宋_GB2312" w:cs="Times New Roman"/>
                <w:bCs/>
                <w:kern w:val="0"/>
                <w:sz w:val="32"/>
                <w:szCs w:val="32"/>
                <w:lang w:val="en-US" w:eastAsia="zh-CN"/>
              </w:rPr>
              <w:t>街道党工委副书记、办事处主任</w:t>
            </w:r>
          </w:p>
        </w:tc>
      </w:tr>
      <w:tr w14:paraId="7A51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3" w:type="dxa"/>
            <w:vAlign w:val="center"/>
          </w:tcPr>
          <w:p w14:paraId="467496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3</w:t>
            </w:r>
          </w:p>
        </w:tc>
        <w:tc>
          <w:tcPr>
            <w:tcW w:w="2383" w:type="dxa"/>
            <w:vAlign w:val="center"/>
          </w:tcPr>
          <w:p w14:paraId="544071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新培社区</w:t>
            </w:r>
          </w:p>
        </w:tc>
        <w:tc>
          <w:tcPr>
            <w:tcW w:w="1965" w:type="dxa"/>
            <w:vAlign w:val="center"/>
          </w:tcPr>
          <w:p w14:paraId="3E051B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圣祝寿</w:t>
            </w:r>
          </w:p>
        </w:tc>
        <w:tc>
          <w:tcPr>
            <w:tcW w:w="3654" w:type="dxa"/>
            <w:vAlign w:val="center"/>
          </w:tcPr>
          <w:p w14:paraId="3798F6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s="Times New Roman"/>
                <w:bCs/>
                <w:kern w:val="0"/>
                <w:sz w:val="32"/>
                <w:szCs w:val="32"/>
                <w:lang w:val="en-US" w:eastAsia="zh-CN"/>
              </w:rPr>
            </w:pPr>
            <w:r>
              <w:rPr>
                <w:rFonts w:hint="eastAsia" w:ascii="仿宋_GB2312" w:eastAsia="仿宋_GB2312" w:cs="Times New Roman"/>
                <w:bCs/>
                <w:kern w:val="0"/>
                <w:sz w:val="32"/>
                <w:szCs w:val="32"/>
                <w:lang w:val="en-US" w:eastAsia="zh-CN"/>
              </w:rPr>
              <w:t>街道人大工委主任</w:t>
            </w:r>
          </w:p>
        </w:tc>
      </w:tr>
      <w:tr w14:paraId="361A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3" w:type="dxa"/>
            <w:vAlign w:val="center"/>
          </w:tcPr>
          <w:p w14:paraId="2B3EE9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4</w:t>
            </w:r>
          </w:p>
        </w:tc>
        <w:tc>
          <w:tcPr>
            <w:tcW w:w="2383" w:type="dxa"/>
            <w:vAlign w:val="center"/>
          </w:tcPr>
          <w:p w14:paraId="78C3D1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治东社区</w:t>
            </w:r>
          </w:p>
        </w:tc>
        <w:tc>
          <w:tcPr>
            <w:tcW w:w="1965" w:type="dxa"/>
            <w:vAlign w:val="center"/>
          </w:tcPr>
          <w:p w14:paraId="3BA858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俞芹</w:t>
            </w:r>
          </w:p>
        </w:tc>
        <w:tc>
          <w:tcPr>
            <w:tcW w:w="3654" w:type="dxa"/>
            <w:vAlign w:val="center"/>
          </w:tcPr>
          <w:p w14:paraId="559E3E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s="Times New Roman"/>
                <w:bCs/>
                <w:kern w:val="0"/>
                <w:sz w:val="32"/>
                <w:szCs w:val="32"/>
                <w:lang w:val="en-US" w:eastAsia="zh-CN"/>
              </w:rPr>
            </w:pPr>
            <w:r>
              <w:rPr>
                <w:rFonts w:hint="eastAsia" w:ascii="仿宋_GB2312" w:eastAsia="仿宋_GB2312" w:cs="Times New Roman"/>
                <w:bCs/>
                <w:kern w:val="0"/>
                <w:sz w:val="32"/>
                <w:szCs w:val="32"/>
                <w:lang w:val="en-US" w:eastAsia="zh-CN"/>
              </w:rPr>
              <w:t>街道党工委副书记</w:t>
            </w:r>
          </w:p>
        </w:tc>
      </w:tr>
      <w:tr w14:paraId="5D39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3" w:type="dxa"/>
            <w:vAlign w:val="center"/>
          </w:tcPr>
          <w:p w14:paraId="6A923D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5</w:t>
            </w:r>
          </w:p>
        </w:tc>
        <w:tc>
          <w:tcPr>
            <w:tcW w:w="2383" w:type="dxa"/>
            <w:vAlign w:val="center"/>
          </w:tcPr>
          <w:p w14:paraId="7C0D4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矿北社区</w:t>
            </w:r>
          </w:p>
        </w:tc>
        <w:tc>
          <w:tcPr>
            <w:tcW w:w="1965" w:type="dxa"/>
            <w:vAlign w:val="center"/>
          </w:tcPr>
          <w:p w14:paraId="2152D0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吴赛</w:t>
            </w:r>
          </w:p>
        </w:tc>
        <w:tc>
          <w:tcPr>
            <w:tcW w:w="3654" w:type="dxa"/>
            <w:vAlign w:val="center"/>
          </w:tcPr>
          <w:p w14:paraId="3EEC78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s="Times New Roman"/>
                <w:bCs/>
                <w:kern w:val="0"/>
                <w:sz w:val="32"/>
                <w:szCs w:val="32"/>
                <w:lang w:val="en-US" w:eastAsia="zh-CN"/>
              </w:rPr>
            </w:pPr>
            <w:r>
              <w:rPr>
                <w:rFonts w:hint="eastAsia" w:ascii="仿宋_GB2312" w:eastAsia="仿宋_GB2312" w:cs="Times New Roman"/>
                <w:bCs/>
                <w:kern w:val="0"/>
                <w:sz w:val="32"/>
                <w:szCs w:val="32"/>
                <w:lang w:val="en-US" w:eastAsia="zh-CN"/>
              </w:rPr>
              <w:t>街道办事处副主任</w:t>
            </w:r>
          </w:p>
        </w:tc>
      </w:tr>
      <w:tr w14:paraId="5179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3" w:type="dxa"/>
            <w:vAlign w:val="center"/>
          </w:tcPr>
          <w:p w14:paraId="19416A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6</w:t>
            </w:r>
          </w:p>
        </w:tc>
        <w:tc>
          <w:tcPr>
            <w:tcW w:w="2383" w:type="dxa"/>
            <w:vAlign w:val="center"/>
          </w:tcPr>
          <w:p w14:paraId="499BE8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治西社区</w:t>
            </w:r>
          </w:p>
        </w:tc>
        <w:tc>
          <w:tcPr>
            <w:tcW w:w="1965" w:type="dxa"/>
            <w:vAlign w:val="center"/>
          </w:tcPr>
          <w:p w14:paraId="6B498E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Cs/>
                <w:sz w:val="32"/>
                <w:szCs w:val="32"/>
                <w:vertAlign w:val="baseline"/>
                <w:lang w:val="en-US" w:eastAsia="zh-CN"/>
              </w:rPr>
            </w:pPr>
            <w:r>
              <w:rPr>
                <w:rFonts w:hint="eastAsia" w:ascii="Times New Roman" w:hAnsi="Times New Roman" w:eastAsia="仿宋_GB2312" w:cs="仿宋_GB2312"/>
                <w:bCs/>
                <w:sz w:val="32"/>
                <w:szCs w:val="32"/>
                <w:vertAlign w:val="baseline"/>
                <w:lang w:val="en-US" w:eastAsia="zh-CN"/>
              </w:rPr>
              <w:t>周浩</w:t>
            </w:r>
          </w:p>
        </w:tc>
        <w:tc>
          <w:tcPr>
            <w:tcW w:w="3654" w:type="dxa"/>
            <w:vAlign w:val="center"/>
          </w:tcPr>
          <w:p w14:paraId="75742A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s="Times New Roman"/>
                <w:bCs/>
                <w:kern w:val="0"/>
                <w:sz w:val="32"/>
                <w:szCs w:val="32"/>
                <w:lang w:val="en-US" w:eastAsia="zh-CN"/>
              </w:rPr>
            </w:pPr>
            <w:r>
              <w:rPr>
                <w:rFonts w:hint="eastAsia" w:ascii="仿宋_GB2312" w:eastAsia="仿宋_GB2312" w:cs="Times New Roman"/>
                <w:bCs/>
                <w:kern w:val="0"/>
                <w:sz w:val="32"/>
                <w:szCs w:val="32"/>
                <w:lang w:val="en-US" w:eastAsia="zh-CN"/>
              </w:rPr>
              <w:t>街道纪工委书记</w:t>
            </w:r>
          </w:p>
        </w:tc>
      </w:tr>
    </w:tbl>
    <w:p w14:paraId="2BFEB36A">
      <w:pPr>
        <w:rPr>
          <w:rFonts w:hint="default"/>
          <w:lang w:val="en-US" w:eastAsia="zh-CN"/>
        </w:rPr>
        <w:sectPr>
          <w:pgSz w:w="11906" w:h="16838"/>
          <w:pgMar w:top="1984" w:right="1417" w:bottom="1644" w:left="1417" w:header="851" w:footer="992" w:gutter="0"/>
          <w:cols w:space="425" w:num="1"/>
          <w:docGrid w:type="lines" w:linePitch="312" w:charSpace="0"/>
        </w:sectPr>
      </w:pPr>
    </w:p>
    <w:p w14:paraId="3DCA9C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w:t>
      </w:r>
      <w:r>
        <w:rPr>
          <w:rFonts w:hint="eastAsia" w:ascii="Times New Roman" w:hAnsi="Times New Roman" w:eastAsia="仿宋_GB2312" w:cs="Times New Roman"/>
          <w:sz w:val="32"/>
          <w:szCs w:val="32"/>
          <w:lang w:val="en-US" w:eastAsia="zh-CN"/>
        </w:rPr>
        <w:t>3</w:t>
      </w:r>
    </w:p>
    <w:p w14:paraId="0B07AAC2">
      <w:pPr>
        <w:spacing w:line="6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val="en-US" w:eastAsia="zh-CN"/>
        </w:rPr>
        <w:t>人员密集场所“六类突出风险”专项排查整治</w:t>
      </w:r>
      <w:r>
        <w:rPr>
          <w:rFonts w:hint="eastAsia" w:ascii="方正小标宋_GBK" w:hAnsi="方正小标宋_GBK" w:eastAsia="方正小标宋_GBK" w:cs="方正小标宋_GBK"/>
          <w:color w:val="000000"/>
          <w:sz w:val="44"/>
          <w:szCs w:val="44"/>
        </w:rPr>
        <w:t>情况统计表</w:t>
      </w:r>
    </w:p>
    <w:p w14:paraId="2EC6154C">
      <w:pPr>
        <w:spacing w:line="600" w:lineRule="exact"/>
        <w:jc w:val="both"/>
        <w:rPr>
          <w:rFonts w:hint="eastAsia"/>
          <w:color w:val="000000"/>
          <w:sz w:val="28"/>
          <w:lang w:eastAsia="zh-CN"/>
        </w:rPr>
      </w:pPr>
    </w:p>
    <w:p w14:paraId="33CED0B3">
      <w:pPr>
        <w:spacing w:line="600" w:lineRule="exact"/>
        <w:jc w:val="both"/>
        <w:rPr>
          <w:rFonts w:hint="eastAsia" w:ascii="楷体_GB2312" w:hAnsi="楷体_GB2312" w:eastAsia="楷体_GB2312" w:cs="楷体_GB2312"/>
          <w:color w:val="000000"/>
          <w:sz w:val="28"/>
        </w:rPr>
      </w:pPr>
      <w:r>
        <w:rPr>
          <w:rFonts w:hint="eastAsia" w:ascii="楷体_GB2312" w:hAnsi="楷体_GB2312" w:eastAsia="楷体_GB2312" w:cs="楷体_GB2312"/>
          <w:color w:val="000000"/>
          <w:sz w:val="28"/>
          <w:lang w:eastAsia="zh-CN"/>
        </w:rPr>
        <w:t>填报</w:t>
      </w:r>
      <w:r>
        <w:rPr>
          <w:rFonts w:hint="eastAsia" w:ascii="楷体_GB2312" w:hAnsi="楷体_GB2312" w:eastAsia="楷体_GB2312" w:cs="楷体_GB2312"/>
          <w:color w:val="000000"/>
          <w:sz w:val="28"/>
          <w:lang w:val="en-US" w:eastAsia="zh-CN"/>
        </w:rPr>
        <w:t>单位：</w:t>
      </w:r>
      <w:r>
        <w:rPr>
          <w:rFonts w:hint="eastAsia" w:ascii="楷体_GB2312" w:hAnsi="楷体_GB2312" w:eastAsia="楷体_GB2312" w:cs="楷体_GB2312"/>
          <w:color w:val="000000"/>
          <w:sz w:val="28"/>
          <w:u w:val="single"/>
          <w:lang w:val="en-US" w:eastAsia="zh-CN"/>
        </w:rPr>
        <w:t xml:space="preserve">            </w:t>
      </w:r>
      <w:r>
        <w:rPr>
          <w:rFonts w:hint="eastAsia" w:ascii="楷体_GB2312" w:hAnsi="楷体_GB2312" w:eastAsia="楷体_GB2312" w:cs="楷体_GB2312"/>
          <w:color w:val="000000"/>
          <w:sz w:val="28"/>
          <w:lang w:val="en-US" w:eastAsia="zh-CN"/>
        </w:rPr>
        <w:t>社区</w:t>
      </w:r>
      <w:r>
        <w:rPr>
          <w:rFonts w:hint="eastAsia" w:ascii="楷体_GB2312" w:hAnsi="楷体_GB2312" w:eastAsia="楷体_GB2312" w:cs="楷体_GB2312"/>
          <w:color w:val="000000"/>
          <w:sz w:val="28"/>
        </w:rPr>
        <w:t xml:space="preserve">            </w:t>
      </w:r>
      <w:r>
        <w:rPr>
          <w:rFonts w:hint="eastAsia" w:ascii="楷体_GB2312" w:hAnsi="楷体_GB2312" w:eastAsia="楷体_GB2312" w:cs="楷体_GB2312"/>
          <w:color w:val="000000"/>
          <w:sz w:val="28"/>
          <w:lang w:val="en-US" w:eastAsia="zh-CN"/>
        </w:rPr>
        <w:t xml:space="preserve">             </w:t>
      </w:r>
      <w:r>
        <w:rPr>
          <w:rFonts w:hint="eastAsia" w:ascii="楷体_GB2312" w:hAnsi="楷体_GB2312" w:eastAsia="楷体_GB2312" w:cs="楷体_GB2312"/>
          <w:color w:val="000000"/>
          <w:sz w:val="28"/>
        </w:rPr>
        <w:t xml:space="preserve">    </w:t>
      </w:r>
      <w:r>
        <w:rPr>
          <w:rFonts w:hint="eastAsia" w:ascii="楷体_GB2312" w:hAnsi="楷体_GB2312" w:eastAsia="楷体_GB2312" w:cs="楷体_GB2312"/>
          <w:color w:val="000000"/>
          <w:sz w:val="28"/>
          <w:lang w:val="en-US" w:eastAsia="zh-CN"/>
        </w:rPr>
        <w:t xml:space="preserve"> </w:t>
      </w:r>
      <w:r>
        <w:rPr>
          <w:rFonts w:hint="eastAsia" w:ascii="楷体_GB2312" w:hAnsi="楷体_GB2312" w:eastAsia="楷体_GB2312" w:cs="楷体_GB2312"/>
          <w:color w:val="000000"/>
          <w:sz w:val="28"/>
        </w:rPr>
        <w:t>统计日期：</w:t>
      </w:r>
      <w:r>
        <w:rPr>
          <w:rFonts w:hint="eastAsia" w:ascii="楷体_GB2312" w:hAnsi="楷体_GB2312" w:eastAsia="楷体_GB2312" w:cs="楷体_GB2312"/>
          <w:color w:val="000000"/>
          <w:sz w:val="28"/>
          <w:lang w:val="en-US" w:eastAsia="zh-CN"/>
        </w:rPr>
        <w:t xml:space="preserve">    </w:t>
      </w:r>
      <w:r>
        <w:rPr>
          <w:rFonts w:hint="eastAsia" w:ascii="楷体_GB2312" w:hAnsi="楷体_GB2312" w:eastAsia="楷体_GB2312" w:cs="楷体_GB2312"/>
          <w:color w:val="000000"/>
          <w:sz w:val="28"/>
        </w:rPr>
        <w:t>年</w:t>
      </w:r>
      <w:r>
        <w:rPr>
          <w:rFonts w:hint="eastAsia" w:ascii="楷体_GB2312" w:hAnsi="楷体_GB2312" w:eastAsia="楷体_GB2312" w:cs="楷体_GB2312"/>
          <w:color w:val="000000"/>
          <w:sz w:val="28"/>
          <w:lang w:val="en-US" w:eastAsia="zh-CN"/>
        </w:rPr>
        <w:t xml:space="preserve">   </w:t>
      </w:r>
      <w:r>
        <w:rPr>
          <w:rFonts w:hint="eastAsia" w:ascii="楷体_GB2312" w:hAnsi="楷体_GB2312" w:eastAsia="楷体_GB2312" w:cs="楷体_GB2312"/>
          <w:color w:val="000000"/>
          <w:sz w:val="28"/>
        </w:rPr>
        <w:t>月</w:t>
      </w:r>
      <w:r>
        <w:rPr>
          <w:rFonts w:hint="eastAsia" w:ascii="楷体_GB2312" w:hAnsi="楷体_GB2312" w:eastAsia="楷体_GB2312" w:cs="楷体_GB2312"/>
          <w:color w:val="000000"/>
          <w:sz w:val="28"/>
          <w:lang w:val="en-US" w:eastAsia="zh-CN"/>
        </w:rPr>
        <w:t xml:space="preserve">   </w:t>
      </w:r>
      <w:r>
        <w:rPr>
          <w:rFonts w:hint="eastAsia" w:ascii="楷体_GB2312" w:hAnsi="楷体_GB2312" w:eastAsia="楷体_GB2312" w:cs="楷体_GB2312"/>
          <w:color w:val="000000"/>
          <w:sz w:val="28"/>
        </w:rPr>
        <w:t xml:space="preserve">日 </w:t>
      </w:r>
    </w:p>
    <w:tbl>
      <w:tblPr>
        <w:tblStyle w:val="7"/>
        <w:tblW w:w="15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70"/>
        <w:gridCol w:w="1423"/>
        <w:gridCol w:w="1417"/>
        <w:gridCol w:w="1701"/>
        <w:gridCol w:w="1276"/>
        <w:gridCol w:w="1433"/>
        <w:gridCol w:w="992"/>
        <w:gridCol w:w="890"/>
        <w:gridCol w:w="1105"/>
        <w:gridCol w:w="886"/>
        <w:gridCol w:w="1050"/>
        <w:gridCol w:w="1038"/>
      </w:tblGrid>
      <w:tr w14:paraId="358D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1277" w:type="dxa"/>
            <w:tcBorders>
              <w:tl2br w:val="single" w:color="auto" w:sz="4" w:space="0"/>
            </w:tcBorders>
            <w:noWrap w:val="0"/>
            <w:vAlign w:val="center"/>
          </w:tcPr>
          <w:p w14:paraId="1BCE8C5B">
            <w:pPr>
              <w:spacing w:line="360" w:lineRule="exact"/>
              <w:jc w:val="center"/>
              <w:rPr>
                <w:rFonts w:hint="eastAsia" w:ascii="黑体" w:hAnsi="黑体" w:eastAsia="黑体" w:cs="黑体"/>
                <w:color w:val="000000"/>
                <w:sz w:val="24"/>
              </w:rPr>
            </w:pPr>
            <w:r>
              <w:rPr>
                <w:rFonts w:hint="eastAsia" w:ascii="黑体" w:hAnsi="黑体" w:eastAsia="黑体" w:cs="黑体"/>
                <w:color w:val="000000"/>
                <w:sz w:val="24"/>
              </w:rPr>
              <w:t xml:space="preserve">    项目</w:t>
            </w:r>
          </w:p>
          <w:p w14:paraId="586E4DC8">
            <w:pPr>
              <w:spacing w:line="360" w:lineRule="exact"/>
              <w:rPr>
                <w:rFonts w:hint="eastAsia" w:ascii="黑体" w:hAnsi="黑体" w:eastAsia="黑体" w:cs="黑体"/>
                <w:sz w:val="24"/>
              </w:rPr>
            </w:pPr>
            <w:r>
              <w:rPr>
                <w:rFonts w:hint="eastAsia" w:ascii="黑体" w:hAnsi="黑体" w:eastAsia="黑体" w:cs="黑体"/>
                <w:sz w:val="24"/>
              </w:rPr>
              <w:t>数量</w:t>
            </w:r>
          </w:p>
        </w:tc>
        <w:tc>
          <w:tcPr>
            <w:tcW w:w="1270" w:type="dxa"/>
            <w:noWrap w:val="0"/>
            <w:vAlign w:val="center"/>
          </w:tcPr>
          <w:p w14:paraId="4AE402AC">
            <w:pPr>
              <w:spacing w:line="360" w:lineRule="exact"/>
              <w:jc w:val="center"/>
              <w:rPr>
                <w:rFonts w:hint="eastAsia" w:ascii="黑体" w:hAnsi="黑体" w:eastAsia="黑体" w:cs="黑体"/>
                <w:color w:val="000000"/>
                <w:sz w:val="24"/>
              </w:rPr>
            </w:pPr>
            <w:r>
              <w:rPr>
                <w:rFonts w:hint="eastAsia" w:ascii="黑体" w:hAnsi="黑体" w:eastAsia="黑体" w:cs="黑体"/>
                <w:color w:val="000000"/>
                <w:sz w:val="24"/>
              </w:rPr>
              <w:t>排查</w:t>
            </w:r>
            <w:r>
              <w:rPr>
                <w:rFonts w:hint="eastAsia" w:ascii="黑体" w:hAnsi="黑体" w:eastAsia="黑体" w:cs="黑体"/>
                <w:color w:val="000000"/>
                <w:sz w:val="24"/>
                <w:lang w:eastAsia="zh-CN"/>
              </w:rPr>
              <w:t>人员密集场所</w:t>
            </w:r>
            <w:r>
              <w:rPr>
                <w:rFonts w:hint="eastAsia" w:ascii="黑体" w:hAnsi="黑体" w:eastAsia="黑体" w:cs="黑体"/>
                <w:color w:val="000000"/>
                <w:sz w:val="24"/>
              </w:rPr>
              <w:t>（家）</w:t>
            </w:r>
          </w:p>
        </w:tc>
        <w:tc>
          <w:tcPr>
            <w:tcW w:w="1423" w:type="dxa"/>
            <w:noWrap w:val="0"/>
            <w:vAlign w:val="center"/>
          </w:tcPr>
          <w:p w14:paraId="7EE99277">
            <w:pPr>
              <w:spacing w:line="360" w:lineRule="exact"/>
              <w:jc w:val="center"/>
              <w:rPr>
                <w:rFonts w:hint="eastAsia" w:ascii="黑体" w:hAnsi="黑体" w:eastAsia="黑体" w:cs="黑体"/>
                <w:color w:val="000000"/>
                <w:sz w:val="24"/>
              </w:rPr>
            </w:pPr>
            <w:r>
              <w:rPr>
                <w:rFonts w:hint="eastAsia" w:ascii="黑体" w:hAnsi="黑体" w:eastAsia="黑体" w:cs="黑体"/>
                <w:bCs/>
                <w:color w:val="000000"/>
                <w:sz w:val="24"/>
              </w:rPr>
              <w:t>整治占用、堵塞、封闭疏散通道、安全出口的问题隐患</w:t>
            </w:r>
            <w:r>
              <w:rPr>
                <w:rFonts w:hint="eastAsia" w:ascii="黑体" w:hAnsi="黑体" w:eastAsia="黑体" w:cs="黑体"/>
                <w:color w:val="000000"/>
                <w:sz w:val="24"/>
              </w:rPr>
              <w:t>（处）</w:t>
            </w:r>
          </w:p>
        </w:tc>
        <w:tc>
          <w:tcPr>
            <w:tcW w:w="1417" w:type="dxa"/>
            <w:noWrap w:val="0"/>
            <w:vAlign w:val="center"/>
          </w:tcPr>
          <w:p w14:paraId="12930E49">
            <w:pPr>
              <w:spacing w:line="360" w:lineRule="exact"/>
              <w:jc w:val="center"/>
              <w:rPr>
                <w:rFonts w:hint="eastAsia" w:ascii="黑体" w:hAnsi="黑体" w:eastAsia="黑体" w:cs="黑体"/>
                <w:color w:val="000000"/>
                <w:sz w:val="24"/>
              </w:rPr>
            </w:pPr>
            <w:r>
              <w:rPr>
                <w:rFonts w:hint="eastAsia" w:ascii="黑体" w:hAnsi="黑体" w:eastAsia="黑体" w:cs="黑体"/>
                <w:bCs/>
                <w:color w:val="000000"/>
                <w:sz w:val="24"/>
              </w:rPr>
              <w:t>拆除门窗设置影响逃生和灭火救援的铁栅栏、铁丝网</w:t>
            </w:r>
            <w:r>
              <w:rPr>
                <w:rFonts w:hint="eastAsia" w:ascii="黑体" w:hAnsi="黑体" w:eastAsia="黑体" w:cs="黑体"/>
                <w:bCs/>
                <w:color w:val="000000"/>
                <w:sz w:val="24"/>
                <w:lang w:eastAsia="zh-CN"/>
              </w:rPr>
              <w:t>、广告牌</w:t>
            </w:r>
            <w:r>
              <w:rPr>
                <w:rFonts w:hint="eastAsia" w:ascii="黑体" w:hAnsi="黑体" w:eastAsia="黑体" w:cs="黑体"/>
                <w:bCs/>
                <w:color w:val="000000"/>
                <w:sz w:val="24"/>
              </w:rPr>
              <w:t>等障碍物</w:t>
            </w:r>
            <w:r>
              <w:rPr>
                <w:rFonts w:hint="eastAsia" w:ascii="黑体" w:hAnsi="黑体" w:eastAsia="黑体" w:cs="黑体"/>
                <w:color w:val="000000"/>
                <w:sz w:val="24"/>
              </w:rPr>
              <w:t>（处）</w:t>
            </w:r>
          </w:p>
        </w:tc>
        <w:tc>
          <w:tcPr>
            <w:tcW w:w="1701" w:type="dxa"/>
            <w:noWrap w:val="0"/>
            <w:vAlign w:val="center"/>
          </w:tcPr>
          <w:p w14:paraId="25F0C1AD">
            <w:pPr>
              <w:spacing w:line="36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清理使用易燃、可燃材料装修装饰或搭建人员活动、居住场所（处）</w:t>
            </w:r>
          </w:p>
        </w:tc>
        <w:tc>
          <w:tcPr>
            <w:tcW w:w="1276" w:type="dxa"/>
            <w:noWrap w:val="0"/>
            <w:vAlign w:val="center"/>
          </w:tcPr>
          <w:p w14:paraId="0FD38F9F">
            <w:pPr>
              <w:spacing w:line="360" w:lineRule="exact"/>
              <w:jc w:val="center"/>
              <w:rPr>
                <w:rFonts w:hint="eastAsia" w:ascii="黑体" w:hAnsi="黑体" w:eastAsia="黑体" w:cs="黑体"/>
                <w:color w:val="000000"/>
                <w:sz w:val="24"/>
                <w:lang w:eastAsia="zh-CN"/>
              </w:rPr>
            </w:pPr>
            <w:r>
              <w:rPr>
                <w:rFonts w:hint="eastAsia" w:ascii="黑体" w:hAnsi="黑体" w:eastAsia="黑体" w:cs="黑体"/>
                <w:bCs/>
                <w:color w:val="000000"/>
                <w:sz w:val="24"/>
                <w:lang w:eastAsia="zh-CN"/>
              </w:rPr>
              <w:t>查处违规动火作业（家）</w:t>
            </w:r>
          </w:p>
        </w:tc>
        <w:tc>
          <w:tcPr>
            <w:tcW w:w="1433" w:type="dxa"/>
            <w:noWrap w:val="0"/>
            <w:vAlign w:val="center"/>
          </w:tcPr>
          <w:p w14:paraId="46915FA0">
            <w:pPr>
              <w:spacing w:line="360" w:lineRule="exact"/>
              <w:jc w:val="center"/>
              <w:rPr>
                <w:rFonts w:hint="eastAsia" w:ascii="黑体" w:hAnsi="黑体" w:eastAsia="黑体" w:cs="黑体"/>
                <w:color w:val="000000"/>
                <w:sz w:val="24"/>
              </w:rPr>
            </w:pPr>
            <w:r>
              <w:rPr>
                <w:rFonts w:hint="eastAsia" w:ascii="黑体" w:hAnsi="黑体" w:eastAsia="黑体" w:cs="黑体"/>
                <w:color w:val="000000"/>
                <w:sz w:val="24"/>
                <w:lang w:eastAsia="zh-CN"/>
              </w:rPr>
              <w:t>督促落实电气线路规范敷设及维护</w:t>
            </w:r>
            <w:r>
              <w:rPr>
                <w:rFonts w:hint="eastAsia" w:ascii="黑体" w:hAnsi="黑体" w:eastAsia="黑体" w:cs="黑体"/>
                <w:color w:val="000000"/>
                <w:sz w:val="24"/>
              </w:rPr>
              <w:t>（</w:t>
            </w:r>
            <w:r>
              <w:rPr>
                <w:rFonts w:hint="eastAsia" w:ascii="黑体" w:hAnsi="黑体" w:eastAsia="黑体" w:cs="黑体"/>
                <w:color w:val="000000"/>
                <w:sz w:val="24"/>
                <w:lang w:eastAsia="zh-CN"/>
              </w:rPr>
              <w:t>家</w:t>
            </w:r>
            <w:r>
              <w:rPr>
                <w:rFonts w:hint="eastAsia" w:ascii="黑体" w:hAnsi="黑体" w:eastAsia="黑体" w:cs="黑体"/>
                <w:color w:val="000000"/>
                <w:sz w:val="24"/>
              </w:rPr>
              <w:t>）</w:t>
            </w:r>
          </w:p>
        </w:tc>
        <w:tc>
          <w:tcPr>
            <w:tcW w:w="992" w:type="dxa"/>
            <w:noWrap w:val="0"/>
            <w:vAlign w:val="center"/>
          </w:tcPr>
          <w:p w14:paraId="13C48FEC">
            <w:pPr>
              <w:spacing w:line="360" w:lineRule="exact"/>
              <w:jc w:val="center"/>
              <w:rPr>
                <w:rFonts w:hint="eastAsia" w:ascii="黑体" w:hAnsi="黑体" w:eastAsia="黑体" w:cs="黑体"/>
                <w:color w:val="000000"/>
                <w:sz w:val="24"/>
              </w:rPr>
            </w:pPr>
            <w:r>
              <w:rPr>
                <w:rFonts w:hint="eastAsia" w:ascii="黑体" w:hAnsi="黑体" w:eastAsia="黑体" w:cs="黑体"/>
                <w:color w:val="000000"/>
                <w:sz w:val="24"/>
                <w:lang w:eastAsia="zh-CN"/>
              </w:rPr>
              <w:t>查处违规使用燃气、醇基燃料（家）</w:t>
            </w:r>
          </w:p>
        </w:tc>
        <w:tc>
          <w:tcPr>
            <w:tcW w:w="890" w:type="dxa"/>
            <w:noWrap w:val="0"/>
            <w:vAlign w:val="center"/>
          </w:tcPr>
          <w:p w14:paraId="0171B561">
            <w:pPr>
              <w:spacing w:line="360" w:lineRule="exact"/>
              <w:jc w:val="center"/>
              <w:rPr>
                <w:rFonts w:hint="eastAsia" w:ascii="黑体" w:hAnsi="黑体" w:eastAsia="黑体" w:cs="黑体"/>
                <w:color w:val="000000"/>
                <w:sz w:val="24"/>
              </w:rPr>
            </w:pPr>
            <w:r>
              <w:rPr>
                <w:rFonts w:hint="eastAsia" w:ascii="黑体" w:hAnsi="黑体" w:eastAsia="黑体" w:cs="黑体"/>
                <w:color w:val="000000"/>
                <w:sz w:val="24"/>
              </w:rPr>
              <w:t>依法实施警告（人）</w:t>
            </w:r>
          </w:p>
        </w:tc>
        <w:tc>
          <w:tcPr>
            <w:tcW w:w="1105" w:type="dxa"/>
            <w:noWrap w:val="0"/>
            <w:vAlign w:val="center"/>
          </w:tcPr>
          <w:p w14:paraId="7D408774">
            <w:pPr>
              <w:spacing w:line="360" w:lineRule="exact"/>
              <w:jc w:val="center"/>
              <w:rPr>
                <w:rFonts w:hint="eastAsia" w:ascii="黑体" w:hAnsi="黑体" w:eastAsia="黑体" w:cs="黑体"/>
                <w:color w:val="000000"/>
                <w:sz w:val="24"/>
              </w:rPr>
            </w:pPr>
            <w:r>
              <w:rPr>
                <w:rFonts w:hint="eastAsia" w:ascii="黑体" w:hAnsi="黑体" w:eastAsia="黑体" w:cs="黑体"/>
                <w:color w:val="000000"/>
                <w:sz w:val="24"/>
              </w:rPr>
              <w:t>依法实施罚款处罚（家）</w:t>
            </w:r>
          </w:p>
        </w:tc>
        <w:tc>
          <w:tcPr>
            <w:tcW w:w="886" w:type="dxa"/>
            <w:noWrap w:val="0"/>
            <w:vAlign w:val="center"/>
          </w:tcPr>
          <w:p w14:paraId="42BB687A">
            <w:pPr>
              <w:spacing w:line="36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依法查封、关停（家）</w:t>
            </w:r>
          </w:p>
        </w:tc>
        <w:tc>
          <w:tcPr>
            <w:tcW w:w="1050" w:type="dxa"/>
            <w:noWrap w:val="0"/>
            <w:vAlign w:val="center"/>
          </w:tcPr>
          <w:p w14:paraId="798490E7">
            <w:pPr>
              <w:spacing w:line="360" w:lineRule="exact"/>
              <w:jc w:val="center"/>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rPr>
              <w:t>依法实施行政拘留（人）</w:t>
            </w:r>
          </w:p>
        </w:tc>
        <w:tc>
          <w:tcPr>
            <w:tcW w:w="1038" w:type="dxa"/>
            <w:noWrap w:val="0"/>
            <w:vAlign w:val="center"/>
          </w:tcPr>
          <w:p w14:paraId="1D8DFD11">
            <w:pPr>
              <w:spacing w:line="360" w:lineRule="exact"/>
              <w:jc w:val="center"/>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rPr>
              <w:t>依法追究刑事责任（人）</w:t>
            </w:r>
          </w:p>
        </w:tc>
      </w:tr>
      <w:tr w14:paraId="56F7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277" w:type="dxa"/>
            <w:noWrap w:val="0"/>
            <w:vAlign w:val="center"/>
          </w:tcPr>
          <w:p w14:paraId="3444619E">
            <w:pPr>
              <w:keepNext w:val="0"/>
              <w:keepLines w:val="0"/>
              <w:widowControl/>
              <w:suppressLineNumbers w:val="0"/>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i w:val="0"/>
                <w:color w:val="000000"/>
                <w:kern w:val="0"/>
                <w:sz w:val="24"/>
                <w:szCs w:val="24"/>
                <w:u w:val="none"/>
                <w:lang w:val="en-US" w:eastAsia="zh-CN" w:bidi="ar"/>
              </w:rPr>
              <w:t>本月</w:t>
            </w:r>
          </w:p>
        </w:tc>
        <w:tc>
          <w:tcPr>
            <w:tcW w:w="1270" w:type="dxa"/>
            <w:noWrap w:val="0"/>
            <w:vAlign w:val="center"/>
          </w:tcPr>
          <w:p w14:paraId="4D92E9CC">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p>
        </w:tc>
        <w:tc>
          <w:tcPr>
            <w:tcW w:w="1423" w:type="dxa"/>
            <w:noWrap w:val="0"/>
            <w:vAlign w:val="center"/>
          </w:tcPr>
          <w:p w14:paraId="34E0ADE0">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1417" w:type="dxa"/>
            <w:noWrap w:val="0"/>
            <w:vAlign w:val="center"/>
          </w:tcPr>
          <w:p w14:paraId="217C1991">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1701" w:type="dxa"/>
            <w:noWrap w:val="0"/>
            <w:vAlign w:val="center"/>
          </w:tcPr>
          <w:p w14:paraId="5056EFFB">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1276" w:type="dxa"/>
            <w:noWrap w:val="0"/>
            <w:vAlign w:val="center"/>
          </w:tcPr>
          <w:p w14:paraId="561B13C2">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p>
        </w:tc>
        <w:tc>
          <w:tcPr>
            <w:tcW w:w="1433" w:type="dxa"/>
            <w:noWrap w:val="0"/>
            <w:vAlign w:val="center"/>
          </w:tcPr>
          <w:p w14:paraId="4291460E">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p>
        </w:tc>
        <w:tc>
          <w:tcPr>
            <w:tcW w:w="992" w:type="dxa"/>
            <w:noWrap w:val="0"/>
            <w:vAlign w:val="center"/>
          </w:tcPr>
          <w:p w14:paraId="3823AB2F">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p>
        </w:tc>
        <w:tc>
          <w:tcPr>
            <w:tcW w:w="890" w:type="dxa"/>
            <w:noWrap w:val="0"/>
            <w:vAlign w:val="center"/>
          </w:tcPr>
          <w:p w14:paraId="52E37A84">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1105" w:type="dxa"/>
            <w:noWrap w:val="0"/>
            <w:vAlign w:val="center"/>
          </w:tcPr>
          <w:p w14:paraId="44DD397F">
            <w:pPr>
              <w:keepNext w:val="0"/>
              <w:keepLines w:val="0"/>
              <w:widowControl/>
              <w:suppressLineNumbers w:val="0"/>
              <w:jc w:val="center"/>
              <w:textAlignment w:val="center"/>
              <w:rPr>
                <w:color w:val="000000"/>
                <w:sz w:val="24"/>
              </w:rPr>
            </w:pPr>
          </w:p>
        </w:tc>
        <w:tc>
          <w:tcPr>
            <w:tcW w:w="886" w:type="dxa"/>
            <w:noWrap w:val="0"/>
            <w:vAlign w:val="center"/>
          </w:tcPr>
          <w:p w14:paraId="35750F0E">
            <w:pPr>
              <w:keepNext w:val="0"/>
              <w:keepLines w:val="0"/>
              <w:widowControl/>
              <w:suppressLineNumbers w:val="0"/>
              <w:jc w:val="center"/>
              <w:textAlignment w:val="center"/>
              <w:rPr>
                <w:color w:val="000000"/>
                <w:sz w:val="24"/>
              </w:rPr>
            </w:pPr>
          </w:p>
        </w:tc>
        <w:tc>
          <w:tcPr>
            <w:tcW w:w="1050" w:type="dxa"/>
            <w:noWrap w:val="0"/>
            <w:vAlign w:val="center"/>
          </w:tcPr>
          <w:p w14:paraId="53C5BC57">
            <w:pPr>
              <w:keepNext w:val="0"/>
              <w:keepLines w:val="0"/>
              <w:widowControl/>
              <w:suppressLineNumbers w:val="0"/>
              <w:jc w:val="center"/>
              <w:textAlignment w:val="center"/>
              <w:rPr>
                <w:color w:val="000000"/>
                <w:sz w:val="24"/>
              </w:rPr>
            </w:pPr>
          </w:p>
        </w:tc>
        <w:tc>
          <w:tcPr>
            <w:tcW w:w="1038" w:type="dxa"/>
            <w:noWrap w:val="0"/>
            <w:vAlign w:val="center"/>
          </w:tcPr>
          <w:p w14:paraId="569FBE9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647A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77" w:type="dxa"/>
            <w:noWrap w:val="0"/>
            <w:vAlign w:val="center"/>
          </w:tcPr>
          <w:p w14:paraId="3DBC7918">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color w:val="000000"/>
                <w:kern w:val="0"/>
                <w:sz w:val="24"/>
                <w:szCs w:val="24"/>
                <w:u w:val="none"/>
                <w:lang w:val="en-US" w:eastAsia="zh-CN" w:bidi="ar"/>
              </w:rPr>
              <w:t>累计</w:t>
            </w:r>
          </w:p>
        </w:tc>
        <w:tc>
          <w:tcPr>
            <w:tcW w:w="1270" w:type="dxa"/>
            <w:noWrap w:val="0"/>
            <w:vAlign w:val="center"/>
          </w:tcPr>
          <w:p w14:paraId="7433E42D">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1423" w:type="dxa"/>
            <w:noWrap w:val="0"/>
            <w:vAlign w:val="center"/>
          </w:tcPr>
          <w:p w14:paraId="0F4D3EA4">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1417" w:type="dxa"/>
            <w:noWrap w:val="0"/>
            <w:vAlign w:val="center"/>
          </w:tcPr>
          <w:p w14:paraId="402E808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1701" w:type="dxa"/>
            <w:noWrap w:val="0"/>
            <w:vAlign w:val="center"/>
          </w:tcPr>
          <w:p w14:paraId="38C4B163">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1276" w:type="dxa"/>
            <w:noWrap w:val="0"/>
            <w:vAlign w:val="center"/>
          </w:tcPr>
          <w:p w14:paraId="750CA9B3">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p>
        </w:tc>
        <w:tc>
          <w:tcPr>
            <w:tcW w:w="1433" w:type="dxa"/>
            <w:noWrap w:val="0"/>
            <w:vAlign w:val="center"/>
          </w:tcPr>
          <w:p w14:paraId="1718823A">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p>
        </w:tc>
        <w:tc>
          <w:tcPr>
            <w:tcW w:w="992" w:type="dxa"/>
            <w:noWrap w:val="0"/>
            <w:vAlign w:val="center"/>
          </w:tcPr>
          <w:p w14:paraId="72D33A60">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p>
        </w:tc>
        <w:tc>
          <w:tcPr>
            <w:tcW w:w="890" w:type="dxa"/>
            <w:noWrap w:val="0"/>
            <w:vAlign w:val="center"/>
          </w:tcPr>
          <w:p w14:paraId="0F59EC60">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1105" w:type="dxa"/>
            <w:noWrap w:val="0"/>
            <w:vAlign w:val="center"/>
          </w:tcPr>
          <w:p w14:paraId="7D67617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886" w:type="dxa"/>
            <w:noWrap w:val="0"/>
            <w:vAlign w:val="center"/>
          </w:tcPr>
          <w:p w14:paraId="7B3A2080">
            <w:pPr>
              <w:keepNext w:val="0"/>
              <w:keepLines w:val="0"/>
              <w:widowControl/>
              <w:suppressLineNumbers w:val="0"/>
              <w:jc w:val="center"/>
              <w:textAlignment w:val="center"/>
              <w:rPr>
                <w:color w:val="000000"/>
                <w:sz w:val="24"/>
              </w:rPr>
            </w:pPr>
          </w:p>
        </w:tc>
        <w:tc>
          <w:tcPr>
            <w:tcW w:w="1050" w:type="dxa"/>
            <w:noWrap w:val="0"/>
            <w:vAlign w:val="center"/>
          </w:tcPr>
          <w:p w14:paraId="66324B87">
            <w:pPr>
              <w:keepNext w:val="0"/>
              <w:keepLines w:val="0"/>
              <w:widowControl/>
              <w:suppressLineNumbers w:val="0"/>
              <w:jc w:val="center"/>
              <w:textAlignment w:val="center"/>
              <w:rPr>
                <w:color w:val="000000"/>
                <w:sz w:val="24"/>
              </w:rPr>
            </w:pPr>
          </w:p>
        </w:tc>
        <w:tc>
          <w:tcPr>
            <w:tcW w:w="1038" w:type="dxa"/>
            <w:noWrap w:val="0"/>
            <w:vAlign w:val="center"/>
          </w:tcPr>
          <w:p w14:paraId="2B4CA6B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14:paraId="6A5CE92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21E16487">
      <w:pPr>
        <w:pStyle w:val="5"/>
        <w:rPr>
          <w:rFonts w:hint="default"/>
          <w:lang w:val="en-US" w:eastAsia="zh-CN"/>
        </w:rPr>
      </w:pPr>
    </w:p>
    <w:sectPr>
      <w:footerReference r:id="rId5" w:type="default"/>
      <w:pgSz w:w="16838" w:h="11906" w:orient="landscape"/>
      <w:pgMar w:top="1984" w:right="1531" w:bottom="1531" w:left="1531" w:header="851" w:footer="1531" w:gutter="0"/>
      <w:pgBorders>
        <w:top w:val="none" w:sz="0" w:space="0"/>
        <w:left w:val="none" w:sz="0" w:space="0"/>
        <w:bottom w:val="none" w:sz="0" w:space="0"/>
        <w:right w:val="none" w:sz="0" w:space="0"/>
      </w:pgBorders>
      <w:pgNumType w:fmt="decimal"/>
      <w:cols w:space="720" w:num="1"/>
      <w:rtlGutter w:val="0"/>
      <w:docGrid w:type="lines" w:linePitch="32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简体">
    <w:altName w:val="宋体"/>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0A01">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86327"/>
    <w:rsid w:val="32C3700B"/>
    <w:rsid w:val="55D86327"/>
    <w:rsid w:val="61913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7"/>
      <w:szCs w:val="3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qFormat/>
    <w:uiPriority w:val="0"/>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3615</Words>
  <Characters>3628</Characters>
  <Lines>0</Lines>
  <Paragraphs>0</Paragraphs>
  <TotalTime>53</TotalTime>
  <ScaleCrop>false</ScaleCrop>
  <LinksUpToDate>false</LinksUpToDate>
  <CharactersWithSpaces>3724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2025-06-10T08:24:00Z</dcterms:created>
  <dc:creator>风  起 、风又☞停</dc:creator>
  <cp:lastModifiedBy>WPS_1697186249</cp:lastModifiedBy>
  <cp:lastPrinted>2025-06-11T09:32:08Z</cp:lastPrinted>
  <dcterms:modified xsi:type="dcterms:W3CDTF">2025-06-11T09:46:48Z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114627FB2281418CA548F3FFF098DF9F_11</vt:lpwstr>
  </property>
  <property fmtid="{D5CDD505-2E9C-101B-9397-08002B2CF9AE}" pid="4" name="KSOTemplateDocerSaveRecord">
    <vt:lpwstr>eyJoZGlkIjoiZTkwMjFhYmY2ODNiNWVkMWU5YWYzMGIyYTkwOTZhMTMiLCJ1c2VySWQiOiIxNTQ5MzM5MTI3In0=</vt:lpwstr>
  </property>
</Properties>
</file>