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3872D">
      <w:pPr>
        <w:spacing w:before="91" w:line="224" w:lineRule="auto"/>
        <w:ind w:left="536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5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15"/>
          <w:sz w:val="28"/>
          <w:szCs w:val="28"/>
        </w:rPr>
        <w:t>件</w:t>
      </w:r>
      <w:r>
        <w:rPr>
          <w:rFonts w:hint="eastAsia"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15"/>
          <w:sz w:val="28"/>
          <w:szCs w:val="28"/>
        </w:rPr>
        <w:t>3</w:t>
      </w:r>
    </w:p>
    <w:p w14:paraId="2E8305BB">
      <w:pPr>
        <w:spacing w:line="315" w:lineRule="auto"/>
        <w:rPr>
          <w:rFonts w:hint="eastAsia" w:ascii="宋体" w:hAnsi="宋体" w:eastAsia="宋体" w:cs="宋体"/>
          <w:sz w:val="21"/>
        </w:rPr>
      </w:pPr>
    </w:p>
    <w:p w14:paraId="3D58F325">
      <w:pPr>
        <w:spacing w:line="315" w:lineRule="auto"/>
        <w:rPr>
          <w:rFonts w:hint="eastAsia" w:ascii="宋体" w:hAnsi="宋体" w:eastAsia="宋体" w:cs="宋体"/>
          <w:sz w:val="21"/>
        </w:rPr>
      </w:pPr>
    </w:p>
    <w:p w14:paraId="3D2CFB29">
      <w:pPr>
        <w:spacing w:before="111" w:line="218" w:lineRule="auto"/>
        <w:ind w:left="1467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spacing w:val="-8"/>
          <w:sz w:val="34"/>
          <w:szCs w:val="34"/>
          <w:lang w:val="en-US" w:eastAsia="zh-CN"/>
        </w:rPr>
        <w:t>区人社局</w:t>
      </w:r>
      <w:r>
        <w:rPr>
          <w:rFonts w:hint="eastAsia" w:ascii="宋体" w:hAnsi="宋体" w:eastAsia="宋体" w:cs="宋体"/>
          <w:b/>
          <w:bCs/>
          <w:spacing w:val="-8"/>
          <w:sz w:val="34"/>
          <w:szCs w:val="34"/>
        </w:rPr>
        <w:t>转移支付202</w:t>
      </w:r>
      <w:r>
        <w:rPr>
          <w:rFonts w:hint="eastAsia" w:ascii="宋体" w:hAnsi="宋体" w:eastAsia="宋体" w:cs="宋体"/>
          <w:b/>
          <w:bCs/>
          <w:spacing w:val="-8"/>
          <w:sz w:val="34"/>
          <w:szCs w:val="3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-8"/>
          <w:sz w:val="34"/>
          <w:szCs w:val="34"/>
        </w:rPr>
        <w:t>年度绩效自评报告</w:t>
      </w:r>
    </w:p>
    <w:p w14:paraId="128BD691">
      <w:pPr>
        <w:spacing w:before="198" w:line="221" w:lineRule="auto"/>
        <w:outlineLvl w:val="0"/>
        <w:rPr>
          <w:rFonts w:hint="eastAsia" w:ascii="宋体" w:hAnsi="宋体" w:eastAsia="宋体" w:cs="宋体"/>
          <w:b/>
          <w:bCs/>
          <w:spacing w:val="-8"/>
          <w:sz w:val="28"/>
          <w:szCs w:val="28"/>
        </w:rPr>
      </w:pPr>
    </w:p>
    <w:p w14:paraId="70B645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0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8"/>
          <w:sz w:val="28"/>
          <w:szCs w:val="28"/>
        </w:rPr>
        <w:t>一</w:t>
      </w:r>
      <w:r>
        <w:rPr>
          <w:rFonts w:hint="eastAsia"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28"/>
          <w:szCs w:val="28"/>
        </w:rPr>
        <w:t>、绩效目标分解下达情况</w:t>
      </w:r>
    </w:p>
    <w:p w14:paraId="0A33DC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rPr>
          <w:rFonts w:hint="eastAsia" w:ascii="宋体" w:hAnsi="宋体" w:eastAsia="宋体" w:cs="宋体"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1．资金下达预算及项目情况。20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年根据项目的实际需求，共计申请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就业补助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资金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201.601313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万元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分别用于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就业见习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项目、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大学生基层特岗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项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目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，所有资金已下达。</w:t>
      </w:r>
    </w:p>
    <w:p w14:paraId="21F359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rPr>
          <w:rFonts w:hint="eastAsia" w:ascii="宋体" w:hAnsi="宋体" w:eastAsia="宋体" w:cs="宋体"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2．资金项目绩效目标设定情况。所有项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目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，根据产出指标、效益指标和满意度指标进行设定。其中，产出指标分为数量指标、质量指标、时效指标和成本指标；效益指标分为经济效益、社会效益、生态效益和可持续影响；满意度指标主要是提升服务对象的满意度。</w:t>
      </w:r>
    </w:p>
    <w:p w14:paraId="478C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22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0"/>
          <w:sz w:val="28"/>
          <w:szCs w:val="28"/>
        </w:rPr>
        <w:t>二、</w:t>
      </w:r>
      <w:r>
        <w:rPr>
          <w:rFonts w:hint="eastAsia"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10"/>
          <w:sz w:val="28"/>
          <w:szCs w:val="28"/>
        </w:rPr>
        <w:t>绩效情况分析</w:t>
      </w:r>
    </w:p>
    <w:p w14:paraId="0E3E5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8" w:firstLineChars="200"/>
        <w:textAlignment w:val="baseline"/>
        <w:rPr>
          <w:rFonts w:hint="eastAsia" w:ascii="宋体" w:hAnsi="宋体" w:eastAsia="宋体" w:cs="宋体"/>
          <w:b/>
          <w:bCs/>
          <w:spacing w:val="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4"/>
          <w:sz w:val="28"/>
          <w:szCs w:val="28"/>
        </w:rPr>
        <w:t>(一)资金投入情况分析。</w:t>
      </w:r>
    </w:p>
    <w:p w14:paraId="13BCAD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rPr>
          <w:rFonts w:hint="eastAsia" w:ascii="宋体" w:hAnsi="宋体" w:eastAsia="宋体" w:cs="宋体"/>
          <w:b/>
          <w:bCs/>
          <w:spacing w:val="4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1．项目资金到位情况分析。20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区人社局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申请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就业补助资金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资金全部到位。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2．项目资金执行情况分析。目前，所有的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就业补助资金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资金已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成拨付，拨付率100%。</w:t>
      </w:r>
    </w:p>
    <w:p w14:paraId="76FBE4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 w:firstLineChars="200"/>
        <w:textAlignment w:val="baseline"/>
        <w:rPr>
          <w:rFonts w:hint="eastAsia" w:ascii="宋体" w:hAnsi="宋体" w:eastAsia="宋体" w:cs="宋体"/>
          <w:b/>
          <w:bCs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position w:val="20"/>
          <w:sz w:val="28"/>
          <w:szCs w:val="28"/>
        </w:rPr>
        <w:t>(二)资金管理情况分析。</w:t>
      </w:r>
    </w:p>
    <w:p w14:paraId="05A9D3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rPr>
          <w:rFonts w:hint="eastAsia" w:ascii="宋体" w:hAnsi="宋体" w:eastAsia="宋体" w:cs="宋体"/>
          <w:b/>
          <w:bCs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项目资金管理情况分析。根据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实际工作开展需要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，按照序时进度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推进工作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，每到支付节点，由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局本级完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成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报材料，经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领导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审核后，拨付项目资金。</w:t>
      </w:r>
    </w:p>
    <w:p w14:paraId="12C9D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 w:firstLineChars="200"/>
        <w:textAlignment w:val="baseline"/>
        <w:rPr>
          <w:rFonts w:hint="eastAsia" w:ascii="宋体" w:hAnsi="宋体" w:eastAsia="宋体" w:cs="宋体"/>
          <w:spacing w:val="3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position w:val="20"/>
          <w:sz w:val="28"/>
          <w:szCs w:val="28"/>
        </w:rPr>
        <w:t>(三)总体绩效目标完成情况分析。</w:t>
      </w:r>
      <w:r>
        <w:rPr>
          <w:rFonts w:hint="eastAsia" w:ascii="宋体" w:hAnsi="宋体" w:eastAsia="宋体" w:cs="宋体"/>
          <w:spacing w:val="32"/>
          <w:position w:val="20"/>
          <w:sz w:val="28"/>
          <w:szCs w:val="28"/>
        </w:rPr>
        <w:t xml:space="preserve"> </w:t>
      </w:r>
    </w:p>
    <w:p w14:paraId="3C491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8" w:firstLineChars="200"/>
        <w:textAlignment w:val="baseline"/>
        <w:rPr>
          <w:rFonts w:hint="eastAsia" w:ascii="宋体" w:hAnsi="宋体" w:eastAsia="宋体" w:cs="宋体"/>
          <w:spacing w:val="3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pacing w:val="32"/>
          <w:position w:val="20"/>
          <w:sz w:val="28"/>
          <w:szCs w:val="28"/>
        </w:rPr>
        <w:t>根据八公山区实际，结合本单位工作需要，及时发放大学生基层特岗人员及就业见习人员补贴资金，保障八公山区大学生基层特岗及就业见习人员补贴工作，有效推进八公山区就业补助资金发放</w:t>
      </w:r>
      <w:r>
        <w:rPr>
          <w:rFonts w:hint="eastAsia" w:ascii="宋体" w:hAnsi="宋体" w:eastAsia="宋体" w:cs="宋体"/>
          <w:spacing w:val="32"/>
          <w:position w:val="20"/>
          <w:sz w:val="28"/>
          <w:szCs w:val="28"/>
          <w:lang w:eastAsia="zh-CN"/>
        </w:rPr>
        <w:t>，稳就业，保基本民生</w:t>
      </w:r>
      <w:r>
        <w:rPr>
          <w:rFonts w:hint="eastAsia" w:ascii="宋体" w:hAnsi="宋体" w:eastAsia="宋体" w:cs="宋体"/>
          <w:spacing w:val="32"/>
          <w:position w:val="20"/>
          <w:sz w:val="28"/>
          <w:szCs w:val="28"/>
        </w:rPr>
        <w:t>。</w:t>
      </w:r>
    </w:p>
    <w:p w14:paraId="5735C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宋体" w:hAnsi="宋体" w:eastAsia="宋体" w:cs="宋体"/>
          <w:spacing w:val="23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position w:val="20"/>
          <w:sz w:val="28"/>
          <w:szCs w:val="28"/>
        </w:rPr>
        <w:t>(四)绩效指标完成情况分析。</w:t>
      </w:r>
      <w:r>
        <w:rPr>
          <w:rFonts w:hint="eastAsia" w:ascii="宋体" w:hAnsi="宋体" w:eastAsia="宋体" w:cs="宋体"/>
          <w:spacing w:val="23"/>
          <w:position w:val="20"/>
          <w:sz w:val="28"/>
          <w:szCs w:val="28"/>
        </w:rPr>
        <w:t xml:space="preserve"> </w:t>
      </w:r>
    </w:p>
    <w:p w14:paraId="075A7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rPr>
          <w:rFonts w:hint="eastAsia" w:ascii="宋体" w:hAnsi="宋体" w:eastAsia="宋体" w:cs="宋体"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</w:rPr>
        <w:t>1.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数量指标完成情况分析。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就业资金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全年实际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保障总人数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85人次，</w:t>
      </w:r>
      <w:r>
        <w:rPr>
          <w:rFonts w:hint="eastAsia" w:ascii="宋体" w:hAnsi="宋体" w:eastAsia="宋体" w:cs="宋体"/>
          <w:spacing w:val="32"/>
          <w:position w:val="20"/>
          <w:sz w:val="28"/>
          <w:szCs w:val="28"/>
        </w:rPr>
        <w:t>保障八公山区大学生基层特岗及就业见习人员补贴工作</w:t>
      </w:r>
      <w:r>
        <w:rPr>
          <w:rFonts w:hint="eastAsia" w:ascii="宋体" w:hAnsi="宋体" w:eastAsia="宋体" w:cs="宋体"/>
          <w:spacing w:val="32"/>
          <w:position w:val="20"/>
          <w:sz w:val="28"/>
          <w:szCs w:val="28"/>
          <w:lang w:eastAsia="zh-CN"/>
        </w:rPr>
        <w:t>。</w:t>
      </w:r>
    </w:p>
    <w:p w14:paraId="36F80B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rPr>
          <w:rFonts w:hint="default"/>
          <w:lang w:val="en-US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2.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质量指标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成情况分析。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按时足额拨付资金，资金支付执行率≥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90%，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全年实际完成值100%。</w:t>
      </w:r>
    </w:p>
    <w:p w14:paraId="15717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3.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时效指标完成情况分析。就业资金支出时效性≤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30天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，全年实际支出时效性≤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30天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。</w:t>
      </w:r>
    </w:p>
    <w:p w14:paraId="424107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4.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成本指标完成情况分析。就业见习人员资金拨付按照2000元/人或1400元/人标准发放，大学生基层特岗按照实际工作情况进行发放。</w:t>
      </w:r>
    </w:p>
    <w:p w14:paraId="213621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经济效益指标完成情况分析。明显提高八公山区高校毕业生就业率程度。</w:t>
      </w:r>
    </w:p>
    <w:p w14:paraId="30E3F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社会效益指标完成情况分析。大力支持高校毕业生就业，提高八公山区高校毕业生就业率。</w:t>
      </w:r>
    </w:p>
    <w:p w14:paraId="7FC05B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可持续影响指标完成情况分析。进一步加大就业工作实施力度，保持经济平稳较快发展，充分构建就业工作长效机制，发挥就业资金使用效益，提高高校毕业生就业率。</w:t>
      </w:r>
    </w:p>
    <w:p w14:paraId="267BA1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rPr>
          <w:rFonts w:hint="eastAsia" w:ascii="宋体" w:hAnsi="宋体" w:eastAsia="宋体" w:cs="宋体"/>
          <w:spacing w:val="23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服务对象满意度指标完成情况分析。满意度指标值≧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95%，全年实际完成值100%</w:t>
      </w:r>
    </w:p>
    <w:p w14:paraId="3B6B22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8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三、</w:t>
      </w:r>
      <w:r>
        <w:rPr>
          <w:rFonts w:hint="eastAsia"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偏离绩效目标的原因和下一步改进措施</w:t>
      </w:r>
    </w:p>
    <w:p w14:paraId="120E72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outlineLvl w:val="0"/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下一步措施：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2024年提前进行部署，积极宣传和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落实各项就业服务政策。积极履行政府职能，创造公平公正的就业环境。</w:t>
      </w:r>
    </w:p>
    <w:p w14:paraId="37A557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26" w:firstLineChars="200"/>
        <w:textAlignment w:val="baseline"/>
        <w:outlineLvl w:val="0"/>
        <w:rPr>
          <w:rFonts w:hint="eastAsia" w:ascii="宋体" w:hAnsi="宋体" w:eastAsia="宋体" w:cs="宋体"/>
          <w:b/>
          <w:bCs/>
          <w:spacing w:val="-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四、</w:t>
      </w:r>
      <w:r>
        <w:rPr>
          <w:rFonts w:hint="eastAsia"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绩效自评结果拟应用和公开情况</w:t>
      </w:r>
    </w:p>
    <w:p w14:paraId="6E0030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26" w:firstLineChars="200"/>
        <w:textAlignment w:val="baseline"/>
        <w:outlineLvl w:val="0"/>
        <w:rPr>
          <w:rFonts w:hint="eastAsia" w:ascii="宋体" w:hAnsi="宋体" w:eastAsia="宋体" w:cs="宋体"/>
          <w:b/>
          <w:bCs/>
          <w:spacing w:val="-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2024年，我区将进一步加大政策落实力度，不断扩大就业岗位。深入实施就业优先战略，推动形成经济高质量发展与就业扩容提质互促互进良性循环，充分发挥就业专项资金的作用。</w:t>
      </w:r>
    </w:p>
    <w:p w14:paraId="081675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26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五、</w:t>
      </w:r>
      <w:r>
        <w:rPr>
          <w:rFonts w:hint="eastAsia"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其他需要说明的问题</w:t>
      </w:r>
    </w:p>
    <w:p w14:paraId="3A14A4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56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无</w:t>
      </w:r>
    </w:p>
    <w:p w14:paraId="5B35B6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58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6"/>
          <w:sz w:val="28"/>
          <w:szCs w:val="28"/>
        </w:rPr>
        <w:t>六、</w:t>
      </w:r>
      <w:r>
        <w:rPr>
          <w:rFonts w:hint="eastAsia"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28"/>
          <w:szCs w:val="28"/>
        </w:rPr>
        <w:t>附件</w:t>
      </w:r>
    </w:p>
    <w:p w14:paraId="54F660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56" w:firstLineChars="200"/>
        <w:textAlignment w:val="baseline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见附件二</w:t>
      </w:r>
    </w:p>
    <w:sectPr>
      <w:footerReference r:id="rId5" w:type="default"/>
      <w:type w:val="continuous"/>
      <w:pgSz w:w="11900" w:h="16820"/>
      <w:pgMar w:top="1429" w:right="1785" w:bottom="400" w:left="1619" w:header="0" w:footer="0" w:gutter="0"/>
      <w:cols w:equalWidth="0" w:num="1">
        <w:col w:w="84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4017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BjMjU4Mzg5Mjc2NDBiYjY1NWU0YTdmODY3MWE2NmQifQ=="/>
    <w:docVar w:name="KSO_WPS_MARK_KEY" w:val="9bccfcb0-0c11-40d8-869b-50ac15145984"/>
  </w:docVars>
  <w:rsids>
    <w:rsidRoot w:val="00000000"/>
    <w:rsid w:val="02B0537A"/>
    <w:rsid w:val="03500781"/>
    <w:rsid w:val="0C77233A"/>
    <w:rsid w:val="10FA71C4"/>
    <w:rsid w:val="18FC203B"/>
    <w:rsid w:val="22227926"/>
    <w:rsid w:val="22EC1AEA"/>
    <w:rsid w:val="2C183950"/>
    <w:rsid w:val="2E9F5C62"/>
    <w:rsid w:val="32677044"/>
    <w:rsid w:val="42BB357B"/>
    <w:rsid w:val="42E47C90"/>
    <w:rsid w:val="4CAA3CF8"/>
    <w:rsid w:val="4CBF0B25"/>
    <w:rsid w:val="52102850"/>
    <w:rsid w:val="602045A6"/>
    <w:rsid w:val="606160F8"/>
    <w:rsid w:val="643E324C"/>
    <w:rsid w:val="657276C8"/>
    <w:rsid w:val="737F2F3A"/>
    <w:rsid w:val="781B7715"/>
    <w:rsid w:val="7AE00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1073</Words>
  <Characters>1127</Characters>
  <TotalTime>3</TotalTime>
  <ScaleCrop>false</ScaleCrop>
  <LinksUpToDate>false</LinksUpToDate>
  <CharactersWithSpaces>1138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2023-04-18T09:28:00Z</dcterms:created>
  <dc:creator>Kingsoft-PDF</dc:creator>
  <cp:lastModifiedBy>道颜i</cp:lastModifiedBy>
  <dcterms:modified xsi:type="dcterms:W3CDTF">2025-06-06T01:27:06Z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2023-04-18T09:29:00Z</vt:filetime>
  </property>
  <property fmtid="{D5CDD505-2E9C-101B-9397-08002B2CF9AE}" pid="4" name="UsrData">
    <vt:lpwstr>643df24ca2d7b000154435ed</vt:lpwstr>
  </property>
  <property fmtid="{D5CDD505-2E9C-101B-9397-08002B2CF9AE}" pid="5" name="KSOProductBuildVer">
    <vt:lpwstr>2052-12.1.0.21171</vt:lpwstr>
  </property>
  <property fmtid="{D5CDD505-2E9C-101B-9397-08002B2CF9AE}" pid="6" name="ICV">
    <vt:lpwstr>42D5E48B70FE4C818A0730509E405072_13</vt:lpwstr>
  </property>
  <property fmtid="{D5CDD505-2E9C-101B-9397-08002B2CF9AE}" pid="7" name="KSOTemplateDocerSaveRecord">
    <vt:lpwstr>eyJoZGlkIjoiMTJkMmFjNzkwMzk5YmY4ZmE5MGJjZDZkYTdlMGJjMGIiLCJ1c2VySWQiOiIzMTk5OTgwNTcifQ==</vt:lpwstr>
  </property>
</Properties>
</file>