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212CA">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14:paraId="2FD7E492">
      <w:pPr>
        <w:spacing w:line="315" w:lineRule="auto"/>
        <w:rPr>
          <w:rFonts w:hint="eastAsia" w:ascii="宋体" w:hAnsi="宋体" w:eastAsia="宋体" w:cs="宋体"/>
          <w:sz w:val="21"/>
        </w:rPr>
      </w:pPr>
    </w:p>
    <w:p w14:paraId="4C308E5E">
      <w:pPr>
        <w:spacing w:line="315" w:lineRule="auto"/>
        <w:rPr>
          <w:rFonts w:hint="eastAsia" w:ascii="宋体" w:hAnsi="宋体" w:eastAsia="宋体" w:cs="宋体"/>
          <w:sz w:val="21"/>
        </w:rPr>
      </w:pPr>
    </w:p>
    <w:p w14:paraId="02A6954E">
      <w:pPr>
        <w:keepNext w:val="0"/>
        <w:keepLines w:val="0"/>
        <w:pageBreakBefore w:val="0"/>
        <w:widowControl/>
        <w:kinsoku w:val="0"/>
        <w:wordWrap/>
        <w:overflowPunct/>
        <w:topLinePunct w:val="0"/>
        <w:autoSpaceDE w:val="0"/>
        <w:autoSpaceDN w:val="0"/>
        <w:bidi w:val="0"/>
        <w:adjustRightInd w:val="0"/>
        <w:snapToGrid w:val="0"/>
        <w:spacing w:before="111" w:after="0" w:afterLines="100" w:line="219" w:lineRule="auto"/>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pacing w:val="-8"/>
          <w:sz w:val="44"/>
          <w:szCs w:val="44"/>
          <w:lang w:val="en-US" w:eastAsia="zh-CN"/>
        </w:rPr>
        <w:t>基本药物制度补助资金</w:t>
      </w:r>
      <w:r>
        <w:rPr>
          <w:rFonts w:hint="eastAsia" w:ascii="方正小标宋简体" w:hAnsi="方正小标宋简体" w:eastAsia="方正小标宋简体" w:cs="方正小标宋简体"/>
          <w:b/>
          <w:bCs/>
          <w:spacing w:val="-8"/>
          <w:sz w:val="44"/>
          <w:szCs w:val="44"/>
        </w:rPr>
        <w:t>202</w:t>
      </w:r>
      <w:r>
        <w:rPr>
          <w:rFonts w:hint="eastAsia" w:ascii="方正小标宋简体" w:hAnsi="方正小标宋简体" w:eastAsia="方正小标宋简体" w:cs="方正小标宋简体"/>
          <w:b/>
          <w:bCs/>
          <w:spacing w:val="-8"/>
          <w:sz w:val="44"/>
          <w:szCs w:val="44"/>
          <w:lang w:val="en-US" w:eastAsia="zh-CN"/>
        </w:rPr>
        <w:t>4</w:t>
      </w:r>
      <w:r>
        <w:rPr>
          <w:rFonts w:hint="eastAsia" w:ascii="方正小标宋简体" w:hAnsi="方正小标宋简体" w:eastAsia="方正小标宋简体" w:cs="方正小标宋简体"/>
          <w:b/>
          <w:bCs/>
          <w:spacing w:val="-8"/>
          <w:sz w:val="44"/>
          <w:szCs w:val="44"/>
        </w:rPr>
        <w:t>年度绩效</w:t>
      </w:r>
      <w:r>
        <w:rPr>
          <w:rFonts w:hint="eastAsia" w:ascii="方正小标宋简体" w:hAnsi="方正小标宋简体" w:eastAsia="方正小标宋简体" w:cs="方正小标宋简体"/>
          <w:b/>
          <w:bCs/>
          <w:spacing w:val="-8"/>
          <w:sz w:val="44"/>
          <w:szCs w:val="44"/>
          <w:lang w:val="en-US" w:eastAsia="zh-CN"/>
        </w:rPr>
        <w:t xml:space="preserve">            </w:t>
      </w:r>
      <w:r>
        <w:rPr>
          <w:rFonts w:hint="eastAsia" w:ascii="方正小标宋简体" w:hAnsi="方正小标宋简体" w:eastAsia="方正小标宋简体" w:cs="方正小标宋简体"/>
          <w:b/>
          <w:bCs/>
          <w:spacing w:val="-8"/>
          <w:sz w:val="44"/>
          <w:szCs w:val="44"/>
        </w:rPr>
        <w:t>自评报告</w:t>
      </w:r>
    </w:p>
    <w:p w14:paraId="5B1D877A">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14:paraId="7DFC83C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根据《淮南市财政局 淮南市卫生健康委员会关于下达2024年中央卫生健康部分补助资金的通知》社[2024]16号文件，下达我区基本药物制度补助项目资金总额30万元。</w:t>
      </w:r>
    </w:p>
    <w:p w14:paraId="35C7AAB2">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14:paraId="3C9DD0D0">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14:paraId="24FD7E9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2024年度基本药物制度补助项目资金合计30万元，全部为中央资金，截至目前，基本药物制度补助项目资金30万元已经全部执行完毕，资金使用率100%。</w:t>
      </w:r>
    </w:p>
    <w:p w14:paraId="67A5B28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基本药物制度补助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省医疗保障局</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w:t>
      </w:r>
      <w:r>
        <w:rPr>
          <w:rFonts w:hint="default" w:ascii="Times New Roman" w:hAnsi="Times New Roman" w:eastAsia="仿宋_GB2312" w:cs="Times New Roman"/>
          <w:sz w:val="32"/>
          <w:szCs w:val="32"/>
          <w:lang w:val="en-US" w:eastAsia="zh-CN"/>
        </w:rPr>
        <w:t>关于</w:t>
      </w:r>
      <w:r>
        <w:rPr>
          <w:rFonts w:hint="eastAsia" w:ascii="Times New Roman" w:hAnsi="Times New Roman" w:eastAsia="仿宋_GB2312" w:cs="Times New Roman"/>
          <w:sz w:val="32"/>
          <w:szCs w:val="32"/>
          <w:lang w:val="en-US" w:eastAsia="zh-CN"/>
        </w:rPr>
        <w:t>修订安徽省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1174</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14:paraId="185B169F">
      <w:pPr>
        <w:spacing w:before="215" w:line="553" w:lineRule="exact"/>
        <w:ind w:firstLine="659" w:firstLineChars="200"/>
        <w:jc w:val="both"/>
        <w:rPr>
          <w:rFonts w:hint="eastAsia" w:ascii="宋体" w:hAnsi="宋体" w:eastAsia="宋体" w:cs="宋体"/>
          <w:sz w:val="28"/>
          <w:szCs w:val="28"/>
        </w:rPr>
      </w:pPr>
      <w:r>
        <w:rPr>
          <w:rFonts w:hint="eastAsia" w:ascii="仿宋_GB2312" w:hAnsi="仿宋_GB2312" w:eastAsia="仿宋_GB2312" w:cs="仿宋_GB2312"/>
          <w:b/>
          <w:bCs/>
          <w:spacing w:val="4"/>
          <w:sz w:val="32"/>
          <w:szCs w:val="32"/>
        </w:rPr>
        <w:t xml:space="preserve">(二)资金管理情况分析。 </w:t>
      </w:r>
    </w:p>
    <w:p w14:paraId="5204E89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1.资金分配科学性。严格按照转移支付管理制度以及资金管理办法规定的范围和标准分配资金。</w:t>
      </w:r>
    </w:p>
    <w:p w14:paraId="24DD27D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2.资金下达及时性。严格按照预算法及其实施条例、转移支付管理制度规定以及资金管理办法规定的时限要求分解下达。</w:t>
      </w:r>
    </w:p>
    <w:p w14:paraId="1734A54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3.资金拨付合规性。严格按照国库集中支付制度有关规定支付资金，未出现违规将资金从国库转入财政专户或支付到预算单位实有资金账户等问题。</w:t>
      </w:r>
    </w:p>
    <w:p w14:paraId="5F8BB18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4.资金使用规范性。严格按照下达预算的科目和项目执行，未出现截留、挤占、挪用或擅自调整等问题。</w:t>
      </w:r>
    </w:p>
    <w:p w14:paraId="3F60B5B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5.资金执行准确性。按照上级下达和本级预算安排的金额执行，不存在执行数偏离预算数较多的问题。</w:t>
      </w:r>
    </w:p>
    <w:p w14:paraId="1A35007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6.预算绩效管理情况。在细化下达预算时同步下达绩效目标，将有关资金纳入本级预算或对下转移支付绩效管理，开展绩效监控和绩效评价。</w:t>
      </w:r>
    </w:p>
    <w:p w14:paraId="07F13BF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7.支出责任履行情况。对共同财政事权转移支付，按照财政事权和支出责任划分有关规定,足额安排资金履行本级支出责任。</w:t>
      </w:r>
    </w:p>
    <w:p w14:paraId="0E4115AF">
      <w:pPr>
        <w:spacing w:before="212" w:line="555"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14:paraId="3DB11639">
      <w:pPr>
        <w:keepNext w:val="0"/>
        <w:keepLines w:val="0"/>
        <w:pageBreakBefore w:val="0"/>
        <w:widowControl/>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仿宋_GB2312" w:hAnsi="仿宋_GB2312" w:eastAsia="仿宋_GB2312" w:cs="仿宋_GB2312"/>
          <w:b/>
          <w:bCs/>
          <w:spacing w:val="4"/>
          <w:sz w:val="32"/>
          <w:szCs w:val="32"/>
        </w:rPr>
      </w:pPr>
      <w:r>
        <w:rPr>
          <w:rFonts w:hint="eastAsia" w:ascii="仿宋_GB2312" w:hAnsi="宋体" w:eastAsia="仿宋_GB2312" w:cs="仿宋_GB2312"/>
          <w:i w:val="0"/>
          <w:iCs w:val="0"/>
          <w:caps w:val="0"/>
          <w:color w:val="000000"/>
          <w:spacing w:val="0"/>
          <w:sz w:val="32"/>
          <w:szCs w:val="32"/>
          <w:shd w:val="clear" w:fill="FFFFFF"/>
          <w:lang w:eastAsia="zh-CN"/>
        </w:rPr>
        <w:t>基本药物制度补助</w:t>
      </w:r>
      <w:r>
        <w:rPr>
          <w:rFonts w:hint="default" w:ascii="仿宋_GB2312" w:hAnsi="宋体" w:eastAsia="仿宋_GB2312" w:cs="仿宋_GB2312"/>
          <w:i w:val="0"/>
          <w:iCs w:val="0"/>
          <w:caps w:val="0"/>
          <w:color w:val="000000"/>
          <w:spacing w:val="0"/>
          <w:sz w:val="32"/>
          <w:szCs w:val="32"/>
          <w:shd w:val="clear" w:fill="FFFFFF"/>
          <w:lang w:val="en-US" w:eastAsia="zh-CN"/>
        </w:rPr>
        <w:t>项目资金</w:t>
      </w:r>
      <w:r>
        <w:rPr>
          <w:rFonts w:hint="eastAsia" w:ascii="仿宋_GB2312" w:hAnsi="宋体" w:eastAsia="仿宋_GB2312" w:cs="仿宋_GB2312"/>
          <w:i w:val="0"/>
          <w:iCs w:val="0"/>
          <w:caps w:val="0"/>
          <w:color w:val="000000"/>
          <w:spacing w:val="0"/>
          <w:sz w:val="32"/>
          <w:szCs w:val="32"/>
          <w:shd w:val="clear" w:fill="FFFFFF"/>
          <w:lang w:val="en-US" w:eastAsia="zh-CN"/>
        </w:rPr>
        <w:t>用于</w:t>
      </w:r>
      <w:r>
        <w:rPr>
          <w:rFonts w:hint="eastAsia" w:ascii="仿宋_GB2312" w:hAnsi="仿宋_GB2312" w:eastAsia="仿宋_GB2312" w:cs="仿宋_GB2312"/>
          <w:b w:val="0"/>
          <w:bCs w:val="0"/>
          <w:spacing w:val="4"/>
          <w:sz w:val="32"/>
          <w:szCs w:val="32"/>
          <w:lang w:val="en-US" w:eastAsia="zh-CN"/>
        </w:rPr>
        <w:t>基层医疗机构顺利实施</w:t>
      </w:r>
      <w:r>
        <w:rPr>
          <w:rFonts w:hint="eastAsia" w:ascii="仿宋_GB2312" w:hAnsi="宋体" w:eastAsia="仿宋_GB2312" w:cs="仿宋_GB2312"/>
          <w:i w:val="0"/>
          <w:iCs w:val="0"/>
          <w:caps w:val="0"/>
          <w:color w:val="000000"/>
          <w:spacing w:val="0"/>
          <w:sz w:val="32"/>
          <w:szCs w:val="32"/>
          <w:shd w:val="clear" w:fill="FFFFFF"/>
          <w:lang w:eastAsia="zh-CN"/>
        </w:rPr>
        <w:t>基本药物制度</w:t>
      </w:r>
      <w:r>
        <w:rPr>
          <w:rFonts w:hint="eastAsia" w:ascii="仿宋_GB2312" w:hAnsi="仿宋_GB2312" w:eastAsia="仿宋_GB2312" w:cs="仿宋_GB2312"/>
          <w:b w:val="0"/>
          <w:bCs w:val="0"/>
          <w:spacing w:val="4"/>
          <w:sz w:val="32"/>
          <w:szCs w:val="32"/>
          <w:lang w:val="en-US" w:eastAsia="zh-CN"/>
        </w:rPr>
        <w:t>：</w:t>
      </w:r>
      <w:r>
        <w:rPr>
          <w:rFonts w:hint="eastAsia" w:ascii="仿宋_GB2312" w:hAnsi="宋体" w:eastAsia="仿宋_GB2312" w:cs="仿宋_GB2312"/>
          <w:i w:val="0"/>
          <w:iCs w:val="0"/>
          <w:caps w:val="0"/>
          <w:color w:val="000000"/>
          <w:spacing w:val="0"/>
          <w:sz w:val="32"/>
          <w:szCs w:val="32"/>
          <w:shd w:val="clear" w:fill="FFFFFF"/>
          <w:lang w:val="en-US" w:eastAsia="zh-CN"/>
        </w:rPr>
        <w:t>一是村卫生室药品零差率；二是</w:t>
      </w:r>
      <w:r>
        <w:rPr>
          <w:rFonts w:hint="eastAsia" w:ascii="Times New Roman" w:hAnsi="Times New Roman" w:eastAsia="仿宋_GB2312" w:cs="Times New Roman"/>
          <w:sz w:val="32"/>
          <w:szCs w:val="32"/>
          <w:lang w:val="en-US" w:eastAsia="zh-CN"/>
        </w:rPr>
        <w:t>两镇卫生院在编在岗及退休人员绩效工资补助，均已发放完成。保证所有政府办基层医疗卫生机构实施国家基本药物制度，推进综合改革顺利进行；对实施国家基本药物制度的村卫生室给予补助，支持国家基本药物制度在村卫生室顺利实施，基层医疗卫生机构服务质量进一步提高。</w:t>
      </w:r>
    </w:p>
    <w:p w14:paraId="60F125D2">
      <w:pPr>
        <w:spacing w:before="208" w:line="554" w:lineRule="exact"/>
        <w:ind w:firstLine="659" w:firstLineChars="200"/>
        <w:jc w:val="both"/>
        <w:rPr>
          <w:rFonts w:hint="eastAsia" w:ascii="宋体" w:hAnsi="宋体" w:eastAsia="宋体" w:cs="宋体"/>
          <w:sz w:val="28"/>
          <w:szCs w:val="28"/>
        </w:rPr>
      </w:pPr>
      <w:r>
        <w:rPr>
          <w:rFonts w:hint="eastAsia" w:ascii="仿宋_GB2312" w:hAnsi="仿宋_GB2312" w:eastAsia="仿宋_GB2312" w:cs="仿宋_GB2312"/>
          <w:b/>
          <w:bCs/>
          <w:spacing w:val="4"/>
          <w:sz w:val="32"/>
          <w:szCs w:val="32"/>
        </w:rPr>
        <w:t>(四)绩效指标完成情况分析。</w:t>
      </w:r>
      <w:r>
        <w:rPr>
          <w:rFonts w:hint="eastAsia" w:ascii="宋体" w:hAnsi="宋体" w:eastAsia="宋体" w:cs="宋体"/>
          <w:spacing w:val="23"/>
          <w:position w:val="20"/>
          <w:sz w:val="28"/>
          <w:szCs w:val="28"/>
        </w:rPr>
        <w:t xml:space="preserve"> </w:t>
      </w:r>
    </w:p>
    <w:p w14:paraId="2124569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1.数量指标：实施基本药物制度的政府办基层医疗卫生机构占比达到100%；实施基本药物制度的村卫生室占比达到100%，已完成。</w:t>
      </w:r>
    </w:p>
    <w:p w14:paraId="5F6A120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2.质量指标：基层医疗卫生机构“优质服务基层行”活动开展评价机构数比例大于等于95%，基层医疗卫生机构“优质服务基层行”活动达到基本标准及以上的比例大于等于80%，已完成。</w:t>
      </w:r>
    </w:p>
    <w:p w14:paraId="748A05B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3.成本指标：基本药物制度补助资金30万元，其中：药品零差率3.14万元，乡镇卫生院在编在岗及退休人员绩效工资补助26.86万元均已支付完成，预算执行进度为100%。</w:t>
      </w:r>
    </w:p>
    <w:p w14:paraId="44E613E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4.经济效益指标：乡村医生收入保持稳定，药品零差率的实施使乡村医生收入保持稳定。</w:t>
      </w:r>
    </w:p>
    <w:p w14:paraId="1D6E51D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5.可持续影响指标：基本药物制度保持中长期在基层持续实施。</w:t>
      </w:r>
    </w:p>
    <w:p w14:paraId="2ABF288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6.服务对象满意度指标：对基本药物制度补助满意度大于等于80%，已完成。</w:t>
      </w:r>
    </w:p>
    <w:p w14:paraId="043A4979">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14:paraId="169A23C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按照项目绩效指标要求，项目全面完成，未偏离预期目标，资金使用规范。下一步将继续加强资金管理，专款专用，提高资金使用效率。</w:t>
      </w:r>
    </w:p>
    <w:p w14:paraId="2568DF2B">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14:paraId="6C1AA27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财政资金平台系统中录入的基本药物制度补助资金支出数据及时准确、真实可靠。资金对应安排项目形成实物工作量情况、项目推进及管理情况，跟踪掌握项目绩效目标执行情况，已经达到预期效果。</w:t>
      </w: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中央财政基本药物制度补助资金</w:t>
      </w:r>
      <w:r>
        <w:rPr>
          <w:rFonts w:hint="default" w:ascii="Times New Roman" w:hAnsi="Times New Roman" w:eastAsia="仿宋_GB2312" w:cs="Times New Roman"/>
          <w:sz w:val="32"/>
          <w:szCs w:val="32"/>
          <w:lang w:val="en-US" w:eastAsia="zh-CN"/>
        </w:rPr>
        <w:t>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14:paraId="60C9B9A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绩效自评结果已公开，并按文件要求在2025年4月10日之前在门户网站进行公开。</w:t>
      </w:r>
    </w:p>
    <w:p w14:paraId="1C2B1DE7">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14:paraId="461B1EC9">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中央巡视、各级审计和财政监督中发现的问题及其所涉及的金额。</w:t>
      </w:r>
    </w:p>
    <w:p w14:paraId="10E7056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六、</w:t>
      </w:r>
      <w:r>
        <w:rPr>
          <w:rFonts w:hint="eastAsia" w:ascii="黑体" w:hAnsi="黑体" w:eastAsia="黑体" w:cs="黑体"/>
          <w:b/>
          <w:bCs/>
          <w:spacing w:val="-8"/>
          <w:sz w:val="32"/>
          <w:szCs w:val="32"/>
        </w:rPr>
        <w:t>附件</w:t>
      </w:r>
    </w:p>
    <w:p w14:paraId="13BFA7E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2024年中央基本药物制度补助资金绩效目标自评表</w:t>
      </w:r>
      <w:r>
        <w:rPr>
          <w:rFonts w:hint="eastAsia" w:ascii="Times New Roman" w:hAnsi="Times New Roman" w:eastAsia="仿宋_GB2312" w:cs="Times New Roman"/>
          <w:sz w:val="32"/>
          <w:szCs w:val="32"/>
          <w:lang w:val="en-US" w:eastAsia="zh-CN"/>
        </w:rPr>
        <w:t>。</w:t>
      </w:r>
    </w:p>
    <w:p w14:paraId="5FC38D06">
      <w:pPr>
        <w:spacing w:before="200" w:line="870" w:lineRule="exact"/>
        <w:jc w:val="both"/>
        <w:textAlignment w:val="center"/>
      </w:pPr>
    </w:p>
    <w:p w14:paraId="3C075AC4">
      <w:pPr>
        <w:spacing w:before="200" w:line="870" w:lineRule="exact"/>
        <w:textAlignment w:val="center"/>
      </w:pPr>
      <w:bookmarkStart w:id="0" w:name="_GoBack"/>
      <w:bookmarkEnd w:id="0"/>
    </w:p>
    <w:p w14:paraId="7FE67355">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14:paraId="78DE1F5A">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2025年3月10日</w:t>
      </w:r>
    </w:p>
    <w:p w14:paraId="433139A7">
      <w:pPr>
        <w:spacing w:before="200" w:line="870" w:lineRule="exact"/>
        <w:textAlignment w:val="center"/>
      </w:pPr>
    </w:p>
    <w:p w14:paraId="3D19DE73">
      <w:pPr>
        <w:spacing w:before="200" w:line="870" w:lineRule="exact"/>
        <w:textAlignment w:val="center"/>
      </w:pP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011C">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E181F"/>
    <w:multiLevelType w:val="singleLevel"/>
    <w:tmpl w:val="00BE181F"/>
    <w:lvl w:ilvl="0" w:tentative="0">
      <w:start w:val="4"/>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Tk4MGE5YjkwMzI1Y2Q2NWFjM2E3MTI3MDUxNzMyNTYifQ=="/>
  </w:docVars>
  <w:rsids>
    <w:rsidRoot w:val="00000000"/>
    <w:rsid w:val="02B0537A"/>
    <w:rsid w:val="03500781"/>
    <w:rsid w:val="0C77233A"/>
    <w:rsid w:val="10FA71C4"/>
    <w:rsid w:val="22EC1AEA"/>
    <w:rsid w:val="2C183950"/>
    <w:rsid w:val="2D8404BB"/>
    <w:rsid w:val="2E9F5C62"/>
    <w:rsid w:val="32677044"/>
    <w:rsid w:val="42BB357B"/>
    <w:rsid w:val="42E47C90"/>
    <w:rsid w:val="4CBF0B25"/>
    <w:rsid w:val="52102850"/>
    <w:rsid w:val="536F7E06"/>
    <w:rsid w:val="5E411367"/>
    <w:rsid w:val="602045A6"/>
    <w:rsid w:val="643E324C"/>
    <w:rsid w:val="657276C8"/>
    <w:rsid w:val="6A6F07F3"/>
    <w:rsid w:val="7245608B"/>
    <w:rsid w:val="737F2F3A"/>
    <w:rsid w:val="781B77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1652</Words>
  <Characters>1724</Characters>
  <TotalTime>4</TotalTime>
  <ScaleCrop>false</ScaleCrop>
  <LinksUpToDate>false</LinksUpToDate>
  <CharactersWithSpaces>1853</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2025-03-07T02:34:43Z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2052-12.1.0.20305</vt:lpwstr>
  </property>
  <property fmtid="{D5CDD505-2E9C-101B-9397-08002B2CF9AE}" pid="6" name="ICV">
    <vt:lpwstr>C1C79C95190A4FB08FEFB33168FB600B_13</vt:lpwstr>
  </property>
  <property fmtid="{D5CDD505-2E9C-101B-9397-08002B2CF9AE}" pid="7" name="KSOTemplateDocerSaveRecord">
    <vt:lpwstr>eyJoZGlkIjoiNmYwOGIzNDc1NDM5MmE4N2MzMTExY2RkMjMzZGY3ZjQiLCJ1c2VySWQiOiI2MzkzODIyNDMifQ==</vt:lpwstr>
  </property>
</Properties>
</file>