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212CA">
      <w:pPr>
        <w:spacing w:before="91" w:line="224" w:lineRule="auto"/>
        <w:ind w:left="536"/>
        <w:rPr>
          <w:rFonts w:hint="eastAsia" w:ascii="宋体" w:hAnsi="宋体" w:eastAsia="宋体" w:cs="宋体"/>
          <w:sz w:val="28"/>
          <w:szCs w:val="28"/>
        </w:rPr>
      </w:pPr>
      <w:r>
        <w:rPr>
          <w:rFonts w:hint="eastAsia" w:ascii="宋体" w:hAnsi="宋体" w:eastAsia="宋体" w:cs="宋体"/>
          <w:b/>
          <w:bCs/>
          <w:spacing w:val="-15"/>
          <w:sz w:val="28"/>
          <w:szCs w:val="28"/>
        </w:rPr>
        <w:t>附</w:t>
      </w:r>
      <w:r>
        <w:rPr>
          <w:rFonts w:hint="eastAsia" w:ascii="宋体" w:hAnsi="宋体" w:eastAsia="宋体" w:cs="宋体"/>
          <w:spacing w:val="-50"/>
          <w:sz w:val="28"/>
          <w:szCs w:val="28"/>
        </w:rPr>
        <w:t xml:space="preserve"> </w:t>
      </w:r>
      <w:r>
        <w:rPr>
          <w:rFonts w:hint="eastAsia" w:ascii="宋体" w:hAnsi="宋体" w:eastAsia="宋体" w:cs="宋体"/>
          <w:b/>
          <w:bCs/>
          <w:spacing w:val="-15"/>
          <w:sz w:val="28"/>
          <w:szCs w:val="28"/>
        </w:rPr>
        <w:t>件</w:t>
      </w:r>
      <w:r>
        <w:rPr>
          <w:rFonts w:hint="eastAsia" w:ascii="宋体" w:hAnsi="宋体" w:eastAsia="宋体" w:cs="宋体"/>
          <w:spacing w:val="-48"/>
          <w:sz w:val="28"/>
          <w:szCs w:val="28"/>
        </w:rPr>
        <w:t xml:space="preserve"> </w:t>
      </w:r>
      <w:r>
        <w:rPr>
          <w:rFonts w:hint="eastAsia" w:ascii="宋体" w:hAnsi="宋体" w:eastAsia="宋体" w:cs="宋体"/>
          <w:b/>
          <w:bCs/>
          <w:spacing w:val="-15"/>
          <w:sz w:val="28"/>
          <w:szCs w:val="28"/>
        </w:rPr>
        <w:t>3</w:t>
      </w:r>
    </w:p>
    <w:p w14:paraId="2FD7E492">
      <w:pPr>
        <w:spacing w:line="315" w:lineRule="auto"/>
        <w:rPr>
          <w:rFonts w:hint="eastAsia" w:ascii="宋体" w:hAnsi="宋体" w:eastAsia="宋体" w:cs="宋体"/>
          <w:sz w:val="21"/>
        </w:rPr>
      </w:pPr>
    </w:p>
    <w:p w14:paraId="4C308E5E">
      <w:pPr>
        <w:spacing w:line="315" w:lineRule="auto"/>
        <w:rPr>
          <w:rFonts w:hint="eastAsia" w:ascii="宋体" w:hAnsi="宋体" w:eastAsia="宋体" w:cs="宋体"/>
          <w:sz w:val="21"/>
        </w:rPr>
      </w:pPr>
    </w:p>
    <w:p w14:paraId="42387DFD">
      <w:pPr>
        <w:spacing w:before="111" w:line="218" w:lineRule="auto"/>
        <w:jc w:val="center"/>
        <w:rPr>
          <w:rFonts w:hint="eastAsia" w:ascii="方正小标宋简体" w:hAnsi="方正小标宋简体" w:eastAsia="方正小标宋简体" w:cs="方正小标宋简体"/>
          <w:b/>
          <w:bCs/>
          <w:spacing w:val="-8"/>
          <w:sz w:val="44"/>
          <w:szCs w:val="44"/>
          <w:lang w:val="en-US" w:eastAsia="zh-CN"/>
        </w:rPr>
      </w:pPr>
      <w:r>
        <w:rPr>
          <w:rFonts w:hint="eastAsia" w:ascii="方正小标宋简体" w:hAnsi="方正小标宋简体" w:eastAsia="方正小标宋简体" w:cs="方正小标宋简体"/>
          <w:b/>
          <w:bCs/>
          <w:spacing w:val="-8"/>
          <w:sz w:val="44"/>
          <w:szCs w:val="44"/>
          <w:lang w:val="en-US" w:eastAsia="zh-CN"/>
        </w:rPr>
        <w:t xml:space="preserve">计划生育转移支付资金2023年度绩效   </w:t>
      </w:r>
    </w:p>
    <w:p w14:paraId="77D386C2">
      <w:pPr>
        <w:spacing w:before="111" w:line="218" w:lineRule="auto"/>
        <w:jc w:val="center"/>
        <w:rPr>
          <w:rFonts w:hint="eastAsia" w:ascii="方正小标宋简体" w:hAnsi="方正小标宋简体" w:eastAsia="方正小标宋简体" w:cs="方正小标宋简体"/>
          <w:b/>
          <w:bCs/>
          <w:spacing w:val="-8"/>
          <w:sz w:val="44"/>
          <w:szCs w:val="44"/>
          <w:lang w:val="en-US" w:eastAsia="zh-CN"/>
        </w:rPr>
      </w:pPr>
      <w:r>
        <w:rPr>
          <w:rFonts w:hint="eastAsia" w:ascii="方正小标宋简体" w:hAnsi="方正小标宋简体" w:eastAsia="方正小标宋简体" w:cs="方正小标宋简体"/>
          <w:b/>
          <w:bCs/>
          <w:spacing w:val="-8"/>
          <w:sz w:val="44"/>
          <w:szCs w:val="44"/>
          <w:lang w:val="en-US" w:eastAsia="zh-CN"/>
        </w:rPr>
        <w:t xml:space="preserve"> 自评报告</w:t>
      </w:r>
    </w:p>
    <w:p w14:paraId="19639AFD">
      <w:pPr>
        <w:spacing w:before="202" w:line="222" w:lineRule="auto"/>
        <w:ind w:left="3722"/>
        <w:rPr>
          <w:rFonts w:hint="eastAsia" w:ascii="宋体" w:hAnsi="宋体" w:eastAsia="宋体" w:cs="宋体"/>
          <w:sz w:val="28"/>
          <w:szCs w:val="28"/>
        </w:rPr>
      </w:pPr>
    </w:p>
    <w:p w14:paraId="11D41BC5">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一 、绩效目标分解下达情况</w:t>
      </w:r>
    </w:p>
    <w:p w14:paraId="5EE666EF">
      <w:pPr>
        <w:spacing w:before="213" w:line="574" w:lineRule="exact"/>
        <w:ind w:firstLine="640" w:firstLineChars="200"/>
        <w:jc w:val="both"/>
        <w:rPr>
          <w:rFonts w:hint="eastAsia" w:ascii="宋体" w:hAnsi="宋体" w:eastAsia="宋体" w:cs="宋体"/>
          <w:sz w:val="28"/>
          <w:szCs w:val="28"/>
        </w:rPr>
      </w:pPr>
      <w:r>
        <w:rPr>
          <w:rFonts w:hint="eastAsia" w:ascii="Times New Roman" w:hAnsi="Times New Roman" w:eastAsia="仿宋_GB2312" w:cs="Times New Roman"/>
          <w:sz w:val="32"/>
          <w:szCs w:val="32"/>
          <w:lang w:val="en-US" w:eastAsia="zh-CN"/>
        </w:rPr>
        <w:t>根据《淮南市财政局 淮南市卫生健康委员会关于下达2024年中央卫生健康部分补助资金的通知》社[2024] 16号、《淮南市财政局 淮南市卫生健康委员会关于清算下达2024年中央和省财政部分卫生健康补助资金的通知》淮财社[2024] 143号文件，下达我区中央计划生育转移支付资金236万元。</w:t>
      </w:r>
    </w:p>
    <w:p w14:paraId="55EF6CC0">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二、 绩效情况分析</w:t>
      </w:r>
    </w:p>
    <w:p w14:paraId="30BF4EEF">
      <w:pPr>
        <w:spacing w:before="213" w:line="221" w:lineRule="auto"/>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(一)资金投入情况分析。</w:t>
      </w:r>
    </w:p>
    <w:p w14:paraId="0C0C9B26">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2024年度计划生育转移支付补助项目资金合计236万元，截至目前，计划生育转移支付补助项目资金236万元已经全部执行完毕，资金使用率100%。</w:t>
      </w:r>
    </w:p>
    <w:p w14:paraId="0167432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计划生育转移支付补助</w:t>
      </w:r>
      <w:r>
        <w:rPr>
          <w:rFonts w:hint="default" w:ascii="Times New Roman" w:hAnsi="Times New Roman" w:eastAsia="仿宋_GB2312" w:cs="Times New Roman"/>
          <w:sz w:val="32"/>
          <w:szCs w:val="32"/>
          <w:lang w:val="en-US" w:eastAsia="zh-CN"/>
        </w:rPr>
        <w:t>项目资金严格按照《</w:t>
      </w:r>
      <w:r>
        <w:rPr>
          <w:rFonts w:hint="eastAsia" w:ascii="Times New Roman" w:hAnsi="Times New Roman" w:eastAsia="仿宋_GB2312" w:cs="Times New Roman"/>
          <w:sz w:val="32"/>
          <w:szCs w:val="32"/>
          <w:lang w:val="en-US" w:eastAsia="zh-CN"/>
        </w:rPr>
        <w:t>安徽省</w:t>
      </w:r>
      <w:r>
        <w:rPr>
          <w:rFonts w:hint="default" w:ascii="Times New Roman" w:hAnsi="Times New Roman" w:eastAsia="仿宋_GB2312" w:cs="Times New Roman"/>
          <w:sz w:val="32"/>
          <w:szCs w:val="32"/>
          <w:lang w:val="en-US" w:eastAsia="zh-CN"/>
        </w:rPr>
        <w:t>财政厅</w:t>
      </w:r>
      <w:r>
        <w:rPr>
          <w:rFonts w:hint="eastAsia" w:ascii="Times New Roman" w:hAnsi="Times New Roman" w:eastAsia="仿宋_GB2312" w:cs="Times New Roman"/>
          <w:sz w:val="32"/>
          <w:szCs w:val="32"/>
          <w:lang w:val="en-US" w:eastAsia="zh-CN"/>
        </w:rPr>
        <w:t xml:space="preserve"> 安徽</w:t>
      </w:r>
      <w:r>
        <w:rPr>
          <w:rFonts w:hint="default" w:ascii="Times New Roman" w:hAnsi="Times New Roman" w:eastAsia="仿宋_GB2312" w:cs="Times New Roman"/>
          <w:sz w:val="32"/>
          <w:szCs w:val="32"/>
          <w:lang w:val="en-US" w:eastAsia="zh-CN"/>
        </w:rPr>
        <w:t>省医疗保障局</w:t>
      </w:r>
      <w:r>
        <w:rPr>
          <w:rFonts w:hint="eastAsia" w:ascii="Times New Roman" w:hAnsi="Times New Roman" w:eastAsia="仿宋_GB2312" w:cs="Times New Roman"/>
          <w:sz w:val="32"/>
          <w:szCs w:val="32"/>
          <w:lang w:val="en-US" w:eastAsia="zh-CN"/>
        </w:rPr>
        <w:t xml:space="preserve"> 安徽</w:t>
      </w:r>
      <w:r>
        <w:rPr>
          <w:rFonts w:hint="default" w:ascii="Times New Roman" w:hAnsi="Times New Roman" w:eastAsia="仿宋_GB2312" w:cs="Times New Roman"/>
          <w:sz w:val="32"/>
          <w:szCs w:val="32"/>
          <w:lang w:val="en-US" w:eastAsia="zh-CN"/>
        </w:rPr>
        <w:t>省卫生健康委</w:t>
      </w:r>
      <w:r>
        <w:rPr>
          <w:rFonts w:hint="eastAsia" w:ascii="Times New Roman" w:hAnsi="Times New Roman" w:eastAsia="仿宋_GB2312" w:cs="Times New Roman"/>
          <w:sz w:val="32"/>
          <w:szCs w:val="32"/>
          <w:lang w:val="en-US" w:eastAsia="zh-CN"/>
        </w:rPr>
        <w:t>员会</w:t>
      </w:r>
      <w:r>
        <w:rPr>
          <w:rFonts w:hint="default" w:ascii="Times New Roman" w:hAnsi="Times New Roman" w:eastAsia="仿宋_GB2312" w:cs="Times New Roman"/>
          <w:sz w:val="32"/>
          <w:szCs w:val="32"/>
          <w:lang w:val="en-US" w:eastAsia="zh-CN"/>
        </w:rPr>
        <w:t>关于</w:t>
      </w:r>
      <w:r>
        <w:rPr>
          <w:rFonts w:hint="eastAsia" w:ascii="Times New Roman" w:hAnsi="Times New Roman" w:eastAsia="仿宋_GB2312" w:cs="Times New Roman"/>
          <w:sz w:val="32"/>
          <w:szCs w:val="32"/>
          <w:lang w:val="en-US" w:eastAsia="zh-CN"/>
        </w:rPr>
        <w:t>修订安徽省</w:t>
      </w:r>
      <w:r>
        <w:rPr>
          <w:rFonts w:hint="default" w:ascii="Times New Roman" w:hAnsi="Times New Roman" w:eastAsia="仿宋_GB2312" w:cs="Times New Roman"/>
          <w:sz w:val="32"/>
          <w:szCs w:val="32"/>
          <w:lang w:val="en-US" w:eastAsia="zh-CN"/>
        </w:rPr>
        <w:t>公共卫生服务等4项</w:t>
      </w:r>
      <w:r>
        <w:rPr>
          <w:rFonts w:hint="eastAsia" w:ascii="Times New Roman" w:hAnsi="Times New Roman" w:eastAsia="仿宋_GB2312" w:cs="Times New Roman"/>
          <w:sz w:val="32"/>
          <w:szCs w:val="32"/>
          <w:lang w:val="en-US" w:eastAsia="zh-CN"/>
        </w:rPr>
        <w:t>卫生健康</w:t>
      </w:r>
      <w:r>
        <w:rPr>
          <w:rFonts w:hint="default" w:ascii="Times New Roman" w:hAnsi="Times New Roman" w:eastAsia="仿宋_GB2312" w:cs="Times New Roman"/>
          <w:sz w:val="32"/>
          <w:szCs w:val="32"/>
          <w:lang w:val="en-US" w:eastAsia="zh-CN"/>
        </w:rPr>
        <w:t>补助资金管理</w:t>
      </w:r>
      <w:r>
        <w:rPr>
          <w:rFonts w:hint="eastAsia" w:ascii="Times New Roman" w:hAnsi="Times New Roman" w:eastAsia="仿宋_GB2312" w:cs="Times New Roman"/>
          <w:sz w:val="32"/>
          <w:szCs w:val="32"/>
          <w:lang w:val="en-US" w:eastAsia="zh-CN"/>
        </w:rPr>
        <w:t>实施</w:t>
      </w:r>
      <w:r>
        <w:rPr>
          <w:rFonts w:hint="default" w:ascii="Times New Roman" w:hAnsi="Times New Roman" w:eastAsia="仿宋_GB2312" w:cs="Times New Roman"/>
          <w:sz w:val="32"/>
          <w:szCs w:val="32"/>
          <w:lang w:val="en-US" w:eastAsia="zh-CN"/>
        </w:rPr>
        <w:t>办法的通知》(</w:t>
      </w:r>
      <w:r>
        <w:rPr>
          <w:rFonts w:hint="eastAsia" w:ascii="Times New Roman" w:hAnsi="Times New Roman" w:eastAsia="仿宋_GB2312" w:cs="Times New Roman"/>
          <w:sz w:val="32"/>
          <w:szCs w:val="32"/>
          <w:lang w:val="en-US" w:eastAsia="zh-CN"/>
        </w:rPr>
        <w:t>皖</w:t>
      </w:r>
      <w:r>
        <w:rPr>
          <w:rFonts w:hint="default" w:ascii="Times New Roman" w:hAnsi="Times New Roman" w:eastAsia="仿宋_GB2312" w:cs="Times New Roman"/>
          <w:sz w:val="32"/>
          <w:szCs w:val="32"/>
          <w:lang w:val="en-US" w:eastAsia="zh-CN"/>
        </w:rPr>
        <w:t>财社[20</w:t>
      </w:r>
      <w:r>
        <w:rPr>
          <w:rFonts w:hint="eastAsia" w:ascii="Times New Roman" w:hAnsi="Times New Roman" w:eastAsia="仿宋_GB2312" w:cs="Times New Roman"/>
          <w:sz w:val="32"/>
          <w:szCs w:val="32"/>
          <w:lang w:val="en-US" w:eastAsia="zh-CN"/>
        </w:rPr>
        <w:t>22</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1174</w:t>
      </w:r>
      <w:r>
        <w:rPr>
          <w:rFonts w:hint="default" w:ascii="Times New Roman" w:hAnsi="Times New Roman" w:eastAsia="仿宋_GB2312" w:cs="Times New Roman"/>
          <w:sz w:val="32"/>
          <w:szCs w:val="32"/>
          <w:lang w:val="en-US" w:eastAsia="zh-CN"/>
        </w:rPr>
        <w:t>号)文件精神执行，注重资金使用效益，严格执行财经纪律，加强专项资金的使用、管理和监督，</w:t>
      </w:r>
      <w:r>
        <w:rPr>
          <w:rFonts w:hint="eastAsia" w:ascii="Times New Roman" w:hAnsi="Times New Roman" w:eastAsia="仿宋_GB2312" w:cs="Times New Roman"/>
          <w:sz w:val="32"/>
          <w:szCs w:val="32"/>
          <w:lang w:val="en-US" w:eastAsia="zh-CN"/>
        </w:rPr>
        <w:t>保</w:t>
      </w:r>
      <w:r>
        <w:rPr>
          <w:rFonts w:hint="default" w:ascii="Times New Roman" w:hAnsi="Times New Roman" w:eastAsia="仿宋_GB2312" w:cs="Times New Roman"/>
          <w:sz w:val="32"/>
          <w:szCs w:val="32"/>
          <w:lang w:val="en-US" w:eastAsia="zh-CN"/>
        </w:rPr>
        <w:t>证项目资金专款专用，无挪用或改变专项资金的性质和用途的情况发生。</w:t>
      </w:r>
    </w:p>
    <w:p w14:paraId="03156712">
      <w:pPr>
        <w:spacing w:before="213" w:line="221" w:lineRule="auto"/>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lang w:eastAsia="zh-CN"/>
        </w:rPr>
        <w:t>（二）</w:t>
      </w:r>
      <w:r>
        <w:rPr>
          <w:rFonts w:hint="eastAsia" w:ascii="仿宋_GB2312" w:hAnsi="仿宋_GB2312" w:eastAsia="仿宋_GB2312" w:cs="仿宋_GB2312"/>
          <w:b/>
          <w:bCs/>
          <w:spacing w:val="4"/>
          <w:sz w:val="32"/>
          <w:szCs w:val="32"/>
        </w:rPr>
        <w:t xml:space="preserve">资金管理情况分析。 </w:t>
      </w:r>
    </w:p>
    <w:p w14:paraId="432F9A56">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资金分配科学性。严格按照转移支付管理制度以及资金管理办法规定的范围和标准分配资金。</w:t>
      </w:r>
    </w:p>
    <w:p w14:paraId="1909E4C6">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资金下达及时性。严格按照预算法及其实施条例、转移支付管理制度规定以及资金管理办法规定的时限要求分解下达。</w:t>
      </w:r>
    </w:p>
    <w:p w14:paraId="5F56E5AE">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资金拨付合规性。严格按照国库集中支付制度有关规定支付资金，未出现违规将资金从国库转入财政专户或支付到预算单位实有资金账户等问题。</w:t>
      </w:r>
    </w:p>
    <w:p w14:paraId="7B82DE63">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资金使用规范性。严格按照下达预算的科目和项目执行，未出现截留、挤占、挪用或擅自调整等问题。</w:t>
      </w:r>
    </w:p>
    <w:p w14:paraId="4AE6F7D5">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资金执行准确性。按照上级下达和本级预算安排的金额执行，不存在执行数偏离预算数较多的问题。</w:t>
      </w:r>
    </w:p>
    <w:p w14:paraId="3C482104">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预算绩效管理情况。在细化下达预算时同步下达绩效目标，将有关资金纳入本级预算或对下转移支付绩效管理，开展绩效监控和绩效评价。</w:t>
      </w:r>
    </w:p>
    <w:p w14:paraId="324BD8B4">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支出责任履行情况。对共同财政事权转移支付，按照财政事权和支出责任划分有关规定,足额安排资金履行本级支出责任。</w:t>
      </w:r>
    </w:p>
    <w:p w14:paraId="2C3C70B0">
      <w:pPr>
        <w:spacing w:before="212" w:line="555" w:lineRule="exact"/>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(三)总体绩效目标完成情况分析。</w:t>
      </w:r>
    </w:p>
    <w:p w14:paraId="11F36612">
      <w:pPr>
        <w:pStyle w:val="5"/>
        <w:keepNext w:val="0"/>
        <w:keepLines w:val="0"/>
        <w:pageBreakBefore w:val="0"/>
        <w:widowControl/>
        <w:wordWrap/>
        <w:overflowPunct/>
        <w:topLinePunct w:val="0"/>
        <w:bidi w:val="0"/>
        <w:spacing w:line="560" w:lineRule="exact"/>
        <w:ind w:firstLine="640" w:firstLineChars="200"/>
        <w:jc w:val="both"/>
        <w:rPr>
          <w:rFonts w:hint="default" w:ascii="Times New Roman" w:hAnsi="Times New Roman" w:eastAsia="仿宋_GB2312" w:cs="Times New Roman"/>
          <w:snapToGrid w:val="0"/>
          <w:color w:val="000000"/>
          <w:kern w:val="0"/>
          <w:sz w:val="32"/>
          <w:szCs w:val="32"/>
          <w:lang w:val="en-US" w:eastAsia="zh-CN"/>
        </w:rPr>
      </w:pPr>
      <w:r>
        <w:rPr>
          <w:rFonts w:hint="eastAsia" w:ascii="Times New Roman" w:hAnsi="Times New Roman" w:eastAsia="仿宋_GB2312" w:cs="Times New Roman"/>
          <w:snapToGrid w:val="0"/>
          <w:color w:val="000000"/>
          <w:kern w:val="0"/>
          <w:sz w:val="32"/>
          <w:szCs w:val="32"/>
          <w:lang w:val="en-US" w:eastAsia="zh-CN"/>
        </w:rPr>
        <w:t>计划生育家庭特别扶助制度是计划生育基本国策的一项配套政策，是国家为保障独生子女死亡伤残家庭及计划生育手术并发症人员的特殊利益而建立的一项保障制度。</w:t>
      </w:r>
      <w:r>
        <w:rPr>
          <w:rFonts w:hint="eastAsia" w:eastAsia="仿宋_GB2312" w:cs="Times New Roman"/>
          <w:snapToGrid w:val="0"/>
          <w:color w:val="000000"/>
          <w:kern w:val="0"/>
          <w:sz w:val="32"/>
          <w:szCs w:val="32"/>
          <w:lang w:val="en-US" w:eastAsia="zh-CN"/>
        </w:rPr>
        <w:t>2024年我区符合国家标准政策的</w:t>
      </w:r>
      <w:r>
        <w:rPr>
          <w:rFonts w:hint="eastAsia" w:ascii="Times New Roman" w:hAnsi="Times New Roman" w:eastAsia="仿宋_GB2312" w:cs="Times New Roman"/>
          <w:snapToGrid w:val="0"/>
          <w:color w:val="000000"/>
          <w:kern w:val="0"/>
          <w:sz w:val="32"/>
          <w:szCs w:val="32"/>
          <w:lang w:val="en-US" w:eastAsia="zh-CN"/>
        </w:rPr>
        <w:t>计划生育家庭特别扶助</w:t>
      </w:r>
      <w:r>
        <w:rPr>
          <w:rFonts w:hint="eastAsia" w:eastAsia="仿宋_GB2312" w:cs="Times New Roman"/>
          <w:snapToGrid w:val="0"/>
          <w:color w:val="000000"/>
          <w:kern w:val="0"/>
          <w:sz w:val="32"/>
          <w:szCs w:val="32"/>
          <w:lang w:val="en-US" w:eastAsia="zh-CN"/>
        </w:rPr>
        <w:t>对象511人及</w:t>
      </w:r>
      <w:r>
        <w:rPr>
          <w:rFonts w:hint="eastAsia" w:ascii="Times New Roman" w:hAnsi="Times New Roman" w:eastAsia="仿宋_GB2312" w:cs="Times New Roman"/>
          <w:snapToGrid w:val="0"/>
          <w:color w:val="000000"/>
          <w:kern w:val="0"/>
          <w:sz w:val="32"/>
          <w:szCs w:val="32"/>
          <w:lang w:val="en-US" w:eastAsia="zh-CN"/>
        </w:rPr>
        <w:t>计划生育家庭特别扶助</w:t>
      </w:r>
      <w:r>
        <w:rPr>
          <w:rFonts w:hint="eastAsia" w:eastAsia="仿宋_GB2312" w:cs="Times New Roman"/>
          <w:snapToGrid w:val="0"/>
          <w:color w:val="000000"/>
          <w:kern w:val="0"/>
          <w:sz w:val="32"/>
          <w:szCs w:val="32"/>
          <w:lang w:val="en-US" w:eastAsia="zh-CN"/>
        </w:rPr>
        <w:t>对象627人，共发放中央计划生育转移支付资金236万元。</w:t>
      </w:r>
    </w:p>
    <w:p w14:paraId="2BF42A4E">
      <w:pPr>
        <w:numPr>
          <w:ilvl w:val="0"/>
          <w:numId w:val="2"/>
        </w:numPr>
        <w:spacing w:before="208" w:line="554" w:lineRule="exact"/>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 xml:space="preserve">绩效指标完成情况分析。 </w:t>
      </w:r>
    </w:p>
    <w:p w14:paraId="1D01EC31">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1.数量指标：扶助独生子女伤残家庭人数251人，扶助独生子女死亡家庭人数259人，扶助计划生育手术并发症一级、二级、三级人数1人，农村部分计划生育家庭奖励扶助人数627人，均已完成。</w:t>
      </w:r>
    </w:p>
    <w:p w14:paraId="5EA1D002">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2.质量指标：符合</w:t>
      </w:r>
      <w:r>
        <w:rPr>
          <w:rFonts w:hint="eastAsia" w:ascii="Times New Roman" w:hAnsi="Times New Roman" w:eastAsia="仿宋_GB2312" w:cs="Times New Roman"/>
          <w:snapToGrid w:val="0"/>
          <w:color w:val="000000"/>
          <w:kern w:val="0"/>
          <w:sz w:val="32"/>
          <w:szCs w:val="32"/>
          <w:lang w:val="en-US" w:eastAsia="zh-CN"/>
        </w:rPr>
        <w:t>计划生育家庭特别扶助制度及农村部分计划生育家庭奖励扶助制度</w:t>
      </w:r>
      <w:r>
        <w:rPr>
          <w:rFonts w:hint="eastAsia" w:ascii="Times New Roman" w:hAnsi="Times New Roman" w:eastAsia="仿宋_GB2312" w:cs="Times New Roman"/>
          <w:sz w:val="32"/>
          <w:szCs w:val="32"/>
          <w:lang w:val="en-US" w:eastAsia="zh-CN"/>
        </w:rPr>
        <w:t>条件申报对象覆盖率达到100%，已完成。</w:t>
      </w:r>
    </w:p>
    <w:p w14:paraId="7403E258">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3.时效指标：奖励和扶助资金到位率达到100%，计划生育家庭特别扶助项目资金及计划生育家庭奖</w:t>
      </w:r>
      <w:r>
        <w:rPr>
          <w:rFonts w:hint="eastAsia" w:ascii="Times New Roman" w:hAnsi="Times New Roman" w:eastAsia="仿宋_GB2312" w:cs="Times New Roman"/>
          <w:snapToGrid w:val="0"/>
          <w:color w:val="000000"/>
          <w:kern w:val="0"/>
          <w:sz w:val="32"/>
          <w:szCs w:val="32"/>
          <w:lang w:val="en-US" w:eastAsia="zh-CN"/>
        </w:rPr>
        <w:t>励扶助制度</w:t>
      </w:r>
      <w:r>
        <w:rPr>
          <w:rFonts w:hint="eastAsia" w:ascii="Times New Roman" w:hAnsi="Times New Roman" w:eastAsia="仿宋_GB2312" w:cs="Times New Roman"/>
          <w:sz w:val="32"/>
          <w:szCs w:val="32"/>
          <w:lang w:val="en-US" w:eastAsia="zh-CN"/>
        </w:rPr>
        <w:t>资金于2024年8月发放完成。</w:t>
      </w:r>
    </w:p>
    <w:p w14:paraId="1A722D1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4.成本指标：计划生育转移支付补助</w:t>
      </w:r>
      <w:r>
        <w:rPr>
          <w:rFonts w:hint="default" w:ascii="Times New Roman" w:hAnsi="Times New Roman" w:eastAsia="仿宋_GB2312" w:cs="Times New Roman"/>
          <w:sz w:val="32"/>
          <w:szCs w:val="32"/>
          <w:lang w:val="en-US" w:eastAsia="zh-CN"/>
        </w:rPr>
        <w:t>资金</w:t>
      </w:r>
      <w:r>
        <w:rPr>
          <w:rFonts w:hint="eastAsia" w:ascii="Times New Roman" w:hAnsi="Times New Roman" w:eastAsia="仿宋_GB2312" w:cs="Times New Roman"/>
          <w:sz w:val="32"/>
          <w:szCs w:val="32"/>
          <w:lang w:val="en-US" w:eastAsia="zh-CN"/>
        </w:rPr>
        <w:t>236万元，其中：计划生育家庭特别扶助项目资金212.98万元，</w:t>
      </w:r>
      <w:r>
        <w:rPr>
          <w:rFonts w:hint="eastAsia" w:ascii="Times New Roman" w:hAnsi="Times New Roman" w:eastAsia="仿宋_GB2312" w:cs="Times New Roman"/>
          <w:snapToGrid w:val="0"/>
          <w:color w:val="000000"/>
          <w:kern w:val="0"/>
          <w:sz w:val="32"/>
          <w:szCs w:val="32"/>
          <w:lang w:val="en-US" w:eastAsia="zh-CN"/>
        </w:rPr>
        <w:t>农村部分计划生育家庭奖励扶助制度资金23.02万元</w:t>
      </w:r>
      <w:r>
        <w:rPr>
          <w:rFonts w:hint="eastAsia" w:ascii="Times New Roman" w:hAnsi="Times New Roman" w:eastAsia="仿宋_GB2312" w:cs="Times New Roman"/>
          <w:sz w:val="32"/>
          <w:szCs w:val="32"/>
          <w:lang w:val="en-US" w:eastAsia="zh-CN"/>
        </w:rPr>
        <w:t>均已支付完成，预算执行进度为100%。</w:t>
      </w:r>
    </w:p>
    <w:p w14:paraId="781D17F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5.社会效益指标：计划生育家庭发展能力逐步提高，社会稳定水平逐步提高。</w:t>
      </w:r>
    </w:p>
    <w:p w14:paraId="04DFEDE5">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6.可持续影响指标：改善计生家庭生活质量逐步提高。</w:t>
      </w:r>
    </w:p>
    <w:p w14:paraId="4BB86102">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7.服务对象满意度指标：对计划生育家庭服务对象满意度大于等于90%，已完成。</w:t>
      </w:r>
    </w:p>
    <w:p w14:paraId="5CD72849">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三、 偏离绩效目标的原因和下一步改进措施</w:t>
      </w:r>
    </w:p>
    <w:p w14:paraId="5C02348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按照项目绩效指标要求，项目全面完成，未偏离预期目标，资金使用规范。下一步将继续加强资金管理，专款专用，提高资金使用效率。</w:t>
      </w:r>
    </w:p>
    <w:p w14:paraId="1493C4F6">
      <w:pPr>
        <w:keepNext w:val="0"/>
        <w:keepLines w:val="0"/>
        <w:pageBreakBefore w:val="0"/>
        <w:widowControl/>
        <w:numPr>
          <w:ilvl w:val="0"/>
          <w:numId w:val="3"/>
        </w:numPr>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绩效自评结果拟应用和公开情况</w:t>
      </w:r>
    </w:p>
    <w:p w14:paraId="1437560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财政资金平台系统中录入的计划生育转移支付补助资金支出数据及时准确、真实可靠。资金对应安排项目形成实物工作量情况、项目推进及管理情况，跟踪掌握项目绩效目标执行情况，已经达到预期效果。</w:t>
      </w:r>
      <w:r>
        <w:rPr>
          <w:rFonts w:hint="default" w:ascii="Times New Roman" w:hAnsi="Times New Roman" w:eastAsia="仿宋_GB2312" w:cs="Times New Roman"/>
          <w:sz w:val="32"/>
          <w:szCs w:val="32"/>
          <w:lang w:val="en-US" w:eastAsia="zh-CN"/>
        </w:rPr>
        <w:t>通过绩效自评，我单位进一步掌握了</w:t>
      </w:r>
      <w:r>
        <w:rPr>
          <w:rFonts w:hint="eastAsia" w:ascii="Times New Roman" w:hAnsi="Times New Roman" w:eastAsia="仿宋_GB2312" w:cs="Times New Roman"/>
          <w:sz w:val="32"/>
          <w:szCs w:val="32"/>
          <w:lang w:val="en-US" w:eastAsia="zh-CN"/>
        </w:rPr>
        <w:t>中央财政计划生育转移支付补助资金</w:t>
      </w:r>
      <w:r>
        <w:rPr>
          <w:rFonts w:hint="default" w:ascii="Times New Roman" w:hAnsi="Times New Roman" w:eastAsia="仿宋_GB2312" w:cs="Times New Roman"/>
          <w:sz w:val="32"/>
          <w:szCs w:val="32"/>
          <w:lang w:val="en-US" w:eastAsia="zh-CN"/>
        </w:rPr>
        <w:t>使用情况和取得的效果，总结了资金管理经验，为</w:t>
      </w:r>
      <w:r>
        <w:rPr>
          <w:rFonts w:hint="eastAsia" w:ascii="Times New Roman" w:hAnsi="Times New Roman" w:eastAsia="仿宋_GB2312" w:cs="Times New Roman"/>
          <w:sz w:val="32"/>
          <w:szCs w:val="32"/>
          <w:lang w:val="en-US" w:eastAsia="zh-CN"/>
        </w:rPr>
        <w:t>以后</w:t>
      </w:r>
      <w:r>
        <w:rPr>
          <w:rFonts w:hint="default" w:ascii="Times New Roman" w:hAnsi="Times New Roman" w:eastAsia="仿宋_GB2312" w:cs="Times New Roman"/>
          <w:sz w:val="32"/>
          <w:szCs w:val="32"/>
          <w:lang w:val="en-US" w:eastAsia="zh-CN"/>
        </w:rPr>
        <w:t>提高资金的使用绩效，加强财政支出的规范管理，健全、完善支出项目和资金使用管理办法，完善预算编制和加强绩效目标管理等工作提供重要的参考依据。</w:t>
      </w:r>
    </w:p>
    <w:p w14:paraId="17C9D03C">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黑体" w:hAnsi="黑体" w:eastAsia="黑体" w:cs="黑体"/>
          <w:b/>
          <w:bCs/>
          <w:spacing w:val="-8"/>
          <w:sz w:val="32"/>
          <w:szCs w:val="32"/>
        </w:rPr>
      </w:pPr>
      <w:r>
        <w:rPr>
          <w:rFonts w:hint="eastAsia" w:ascii="Times New Roman" w:hAnsi="Times New Roman" w:eastAsia="仿宋_GB2312" w:cs="Times New Roman"/>
          <w:sz w:val="32"/>
          <w:szCs w:val="32"/>
          <w:lang w:val="en-US" w:eastAsia="zh-CN"/>
        </w:rPr>
        <w:t>绩效自评结果已公开，并按文件要求在2025年4月10日之前在门户网站进行公开。</w:t>
      </w:r>
    </w:p>
    <w:p w14:paraId="73741FF2">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五、 其他需要说明的问题</w:t>
      </w:r>
    </w:p>
    <w:p w14:paraId="6AD66E21">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无</w:t>
      </w:r>
      <w:r>
        <w:rPr>
          <w:rFonts w:hint="default" w:ascii="Times New Roman" w:hAnsi="Times New Roman" w:eastAsia="仿宋_GB2312" w:cs="Times New Roman"/>
          <w:sz w:val="32"/>
          <w:szCs w:val="32"/>
          <w:lang w:val="en-US" w:eastAsia="zh-CN"/>
        </w:rPr>
        <w:t>中央巡视、各级审计和财政监</w:t>
      </w:r>
      <w:bookmarkStart w:id="0" w:name="_GoBack"/>
      <w:bookmarkEnd w:id="0"/>
      <w:r>
        <w:rPr>
          <w:rFonts w:hint="default" w:ascii="Times New Roman" w:hAnsi="Times New Roman" w:eastAsia="仿宋_GB2312" w:cs="Times New Roman"/>
          <w:sz w:val="32"/>
          <w:szCs w:val="32"/>
          <w:lang w:val="en-US" w:eastAsia="zh-CN"/>
        </w:rPr>
        <w:t>督中发现的问题及其所涉及的金额。</w:t>
      </w:r>
    </w:p>
    <w:p w14:paraId="792B8A68">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六、 附件</w:t>
      </w:r>
    </w:p>
    <w:p w14:paraId="38107354">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八公山区2024年计划生育转移支付资金绩效目标自评表 </w:t>
      </w:r>
      <w:r>
        <w:rPr>
          <w:rFonts w:hint="eastAsia" w:ascii="Times New Roman" w:hAnsi="Times New Roman" w:eastAsia="仿宋_GB2312" w:cs="Times New Roman"/>
          <w:sz w:val="32"/>
          <w:szCs w:val="32"/>
          <w:lang w:val="en-US" w:eastAsia="zh-CN"/>
        </w:rPr>
        <w:t>。</w:t>
      </w:r>
    </w:p>
    <w:p w14:paraId="0CA6AFD3">
      <w:pPr>
        <w:spacing w:before="193" w:line="219" w:lineRule="auto"/>
        <w:rPr>
          <w:rFonts w:hint="eastAsia" w:ascii="宋体" w:hAnsi="宋体" w:eastAsia="宋体" w:cs="宋体"/>
          <w:spacing w:val="17"/>
          <w:sz w:val="28"/>
          <w:szCs w:val="28"/>
        </w:rPr>
      </w:pPr>
    </w:p>
    <w:p w14:paraId="63400B51">
      <w:pPr>
        <w:spacing w:before="193" w:line="219" w:lineRule="auto"/>
        <w:rPr>
          <w:rFonts w:hint="eastAsia" w:ascii="宋体" w:hAnsi="宋体" w:eastAsia="宋体" w:cs="宋体"/>
          <w:spacing w:val="17"/>
          <w:sz w:val="28"/>
          <w:szCs w:val="28"/>
        </w:rPr>
      </w:pPr>
    </w:p>
    <w:p w14:paraId="6347C697">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eastAsia" w:ascii="仿宋_GB2312" w:hAnsi="仿宋_GB2312" w:eastAsia="仿宋_GB2312" w:cs="仿宋_GB2312"/>
          <w:sz w:val="32"/>
          <w:szCs w:val="32"/>
          <w:lang w:val="en-US" w:eastAsia="zh-CN"/>
        </w:rPr>
      </w:pPr>
      <w:r>
        <w:rPr>
          <w:rFonts w:hint="eastAsia" w:eastAsia="宋体"/>
          <w:lang w:val="en-US" w:eastAsia="zh-CN"/>
        </w:rPr>
        <w:t xml:space="preserve">                                                                    </w:t>
      </w:r>
      <w:r>
        <w:rPr>
          <w:rFonts w:hint="eastAsia" w:ascii="仿宋_GB2312" w:hAnsi="仿宋_GB2312" w:eastAsia="仿宋_GB2312" w:cs="仿宋_GB2312"/>
          <w:sz w:val="32"/>
          <w:szCs w:val="32"/>
          <w:lang w:val="en-US" w:eastAsia="zh-CN"/>
        </w:rPr>
        <w:t>淮南市八公山区卫生健康委员会</w:t>
      </w:r>
    </w:p>
    <w:p w14:paraId="3F30B131">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eastAsia" w:eastAsia="宋体"/>
          <w:lang w:eastAsia="zh-CN"/>
        </w:r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sz w:val="32"/>
          <w:szCs w:val="32"/>
          <w:lang w:val="en-US" w:eastAsia="zh-CN"/>
        </w:rPr>
        <w:t xml:space="preserve">       2025年3月10日</w:t>
      </w:r>
    </w:p>
    <w:p w14:paraId="1FCA979D">
      <w:pPr>
        <w:spacing w:before="200" w:line="870" w:lineRule="exact"/>
        <w:textAlignment w:val="center"/>
      </w:pPr>
    </w:p>
    <w:sectPr>
      <w:footerReference r:id="rId5" w:type="default"/>
      <w:type w:val="continuous"/>
      <w:pgSz w:w="11900" w:h="16820"/>
      <w:pgMar w:top="1429" w:right="1785" w:bottom="400" w:left="1619" w:header="0" w:footer="0" w:gutter="0"/>
      <w:cols w:equalWidth="0" w:num="1">
        <w:col w:w="849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5011C">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FBC58"/>
    <w:multiLevelType w:val="singleLevel"/>
    <w:tmpl w:val="8E3FBC58"/>
    <w:lvl w:ilvl="0" w:tentative="0">
      <w:start w:val="4"/>
      <w:numFmt w:val="chineseCounting"/>
      <w:suff w:val="space"/>
      <w:lvlText w:val="%1、"/>
      <w:lvlJc w:val="left"/>
      <w:rPr>
        <w:rFonts w:hint="eastAsia"/>
      </w:rPr>
    </w:lvl>
  </w:abstractNum>
  <w:abstractNum w:abstractNumId="1">
    <w:nsid w:val="95FA3C83"/>
    <w:multiLevelType w:val="singleLevel"/>
    <w:tmpl w:val="95FA3C83"/>
    <w:lvl w:ilvl="0" w:tentative="0">
      <w:start w:val="1"/>
      <w:numFmt w:val="decimal"/>
      <w:lvlText w:val="%1."/>
      <w:lvlJc w:val="left"/>
      <w:pPr>
        <w:tabs>
          <w:tab w:val="left" w:pos="312"/>
        </w:tabs>
      </w:pPr>
    </w:lvl>
  </w:abstractNum>
  <w:abstractNum w:abstractNumId="2">
    <w:nsid w:val="58222E5E"/>
    <w:multiLevelType w:val="singleLevel"/>
    <w:tmpl w:val="58222E5E"/>
    <w:lvl w:ilvl="0" w:tentative="0">
      <w:start w:val="4"/>
      <w:numFmt w:val="chineseCounting"/>
      <w:lvlText w:val="(%1)"/>
      <w:lvlJc w:val="left"/>
      <w:pPr>
        <w:tabs>
          <w:tab w:val="left" w:pos="312"/>
        </w:tabs>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Tk4MGE5YjkwMzI1Y2Q2NWFjM2E3MTI3MDUxNzMyNTYifQ=="/>
  </w:docVars>
  <w:rsids>
    <w:rsidRoot w:val="00000000"/>
    <w:rsid w:val="02B0537A"/>
    <w:rsid w:val="03500781"/>
    <w:rsid w:val="0C77233A"/>
    <w:rsid w:val="10FA71C4"/>
    <w:rsid w:val="22EC1AEA"/>
    <w:rsid w:val="2C183950"/>
    <w:rsid w:val="2D8404BB"/>
    <w:rsid w:val="2E9F5C62"/>
    <w:rsid w:val="32677044"/>
    <w:rsid w:val="42BB357B"/>
    <w:rsid w:val="42E47C90"/>
    <w:rsid w:val="4CBF0B25"/>
    <w:rsid w:val="52102850"/>
    <w:rsid w:val="5E411367"/>
    <w:rsid w:val="602045A6"/>
    <w:rsid w:val="60A46AEC"/>
    <w:rsid w:val="643E324C"/>
    <w:rsid w:val="657276C8"/>
    <w:rsid w:val="737F2F3A"/>
    <w:rsid w:val="781B77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Normal"/>
    <w:autoRedefine/>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399</Words>
  <Characters>404</Characters>
  <TotalTime>6</TotalTime>
  <ScaleCrop>false</ScaleCrop>
  <LinksUpToDate>false</LinksUpToDate>
  <CharactersWithSpaces>418</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2023-04-18T09:28:00Z</dcterms:created>
  <dc:creator>Kingsoft-PDF</dc:creator>
  <cp:lastModifiedBy>六六</cp:lastModifiedBy>
  <dcterms:modified xsi:type="dcterms:W3CDTF">2025-03-07T07:49:39Z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2023-04-18T09:29:00Z</vt:filetime>
  </property>
  <property fmtid="{D5CDD505-2E9C-101B-9397-08002B2CF9AE}" pid="4" name="UsrData">
    <vt:lpwstr>643df24ca2d7b000154435ed</vt:lpwstr>
  </property>
  <property fmtid="{D5CDD505-2E9C-101B-9397-08002B2CF9AE}" pid="5" name="KSOProductBuildVer">
    <vt:lpwstr>2052-12.1.0.20305</vt:lpwstr>
  </property>
  <property fmtid="{D5CDD505-2E9C-101B-9397-08002B2CF9AE}" pid="6" name="ICV">
    <vt:lpwstr>C1C79C95190A4FB08FEFB33168FB600B_13</vt:lpwstr>
  </property>
  <property fmtid="{D5CDD505-2E9C-101B-9397-08002B2CF9AE}" pid="7" name="KSOTemplateDocerSaveRecord">
    <vt:lpwstr>eyJoZGlkIjoiNmYwOGIzNDc1NDM5MmE4N2MzMTExY2RkMjMzZGY3ZjQiLCJ1c2VySWQiOiI2MzkzODIyNDMifQ==</vt:lpwstr>
  </property>
</Properties>
</file>