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0D77">
      <w:pPr>
        <w:spacing w:before="111" w:line="218" w:lineRule="auto"/>
        <w:jc w:val="center"/>
        <w:rPr>
          <w:rFonts w:hint="eastAsia" w:ascii="方正小标宋简体" w:hAnsi="方正小标宋简体" w:eastAsia="方正小标宋简体" w:cs="方正小标宋简体"/>
          <w:b/>
          <w:bCs/>
          <w:spacing w:val="-8"/>
          <w:sz w:val="44"/>
          <w:szCs w:val="44"/>
        </w:rPr>
      </w:pPr>
      <w:r>
        <w:rPr>
          <w:rFonts w:hint="eastAsia" w:ascii="方正小标宋简体" w:hAnsi="方正小标宋简体" w:eastAsia="方正小标宋简体" w:cs="方正小标宋简体"/>
          <w:b/>
          <w:bCs/>
          <w:spacing w:val="-8"/>
          <w:sz w:val="44"/>
          <w:szCs w:val="44"/>
          <w:lang w:eastAsia="zh-CN"/>
        </w:rPr>
        <w:t>基本公共卫生服务补助资金</w:t>
      </w:r>
      <w:r>
        <w:rPr>
          <w:rFonts w:hint="eastAsia" w:ascii="方正小标宋简体" w:hAnsi="方正小标宋简体" w:eastAsia="方正小标宋简体" w:cs="方正小标宋简体"/>
          <w:b/>
          <w:bCs/>
          <w:spacing w:val="-8"/>
          <w:sz w:val="44"/>
          <w:szCs w:val="44"/>
        </w:rPr>
        <w:t>202</w:t>
      </w:r>
      <w:r>
        <w:rPr>
          <w:rFonts w:hint="eastAsia" w:ascii="方正小标宋简体" w:hAnsi="方正小标宋简体" w:eastAsia="方正小标宋简体" w:cs="方正小标宋简体"/>
          <w:b/>
          <w:bCs/>
          <w:spacing w:val="-8"/>
          <w:sz w:val="44"/>
          <w:szCs w:val="44"/>
          <w:lang w:val="en-US" w:eastAsia="zh-CN"/>
        </w:rPr>
        <w:t>4</w:t>
      </w:r>
      <w:r>
        <w:rPr>
          <w:rFonts w:hint="eastAsia" w:ascii="方正小标宋简体" w:hAnsi="方正小标宋简体" w:eastAsia="方正小标宋简体" w:cs="方正小标宋简体"/>
          <w:b/>
          <w:bCs/>
          <w:spacing w:val="-8"/>
          <w:sz w:val="44"/>
          <w:szCs w:val="44"/>
        </w:rPr>
        <w:t>年度绩效</w:t>
      </w:r>
    </w:p>
    <w:p w14:paraId="24903729">
      <w:pPr>
        <w:keepNext w:val="0"/>
        <w:keepLines w:val="0"/>
        <w:pageBreakBefore w:val="0"/>
        <w:widowControl/>
        <w:kinsoku w:val="0"/>
        <w:wordWrap/>
        <w:overflowPunct/>
        <w:topLinePunct w:val="0"/>
        <w:autoSpaceDE w:val="0"/>
        <w:autoSpaceDN w:val="0"/>
        <w:bidi w:val="0"/>
        <w:adjustRightInd w:val="0"/>
        <w:snapToGrid w:val="0"/>
        <w:spacing w:before="111" w:after="0" w:afterLines="100" w:line="219" w:lineRule="auto"/>
        <w:jc w:val="center"/>
        <w:textAlignment w:val="baseline"/>
        <w:rPr>
          <w:rFonts w:hint="eastAsia" w:ascii="方正小标宋简体" w:hAnsi="方正小标宋简体" w:eastAsia="方正小标宋简体" w:cs="方正小标宋简体"/>
          <w:sz w:val="34"/>
          <w:szCs w:val="34"/>
        </w:rPr>
      </w:pPr>
      <w:r>
        <w:rPr>
          <w:rFonts w:hint="eastAsia" w:ascii="方正小标宋简体" w:hAnsi="方正小标宋简体" w:eastAsia="方正小标宋简体" w:cs="方正小标宋简体"/>
          <w:b/>
          <w:bCs/>
          <w:spacing w:val="-8"/>
          <w:sz w:val="44"/>
          <w:szCs w:val="44"/>
        </w:rPr>
        <w:t>自评报告</w:t>
      </w:r>
    </w:p>
    <w:p w14:paraId="774C76EA">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14:paraId="6A7E022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黑体" w:hAnsi="黑体" w:eastAsia="黑体" w:cs="黑体"/>
          <w:b/>
          <w:bCs/>
          <w:spacing w:val="-8"/>
          <w:sz w:val="32"/>
          <w:szCs w:val="32"/>
          <w:lang w:val="en-US"/>
        </w:rPr>
      </w:pPr>
      <w:r>
        <w:rPr>
          <w:rFonts w:hint="eastAsia" w:ascii="Times New Roman" w:hAnsi="Times New Roman" w:eastAsia="仿宋_GB2312" w:cs="Times New Roman"/>
          <w:sz w:val="32"/>
          <w:szCs w:val="32"/>
          <w:lang w:val="en-US" w:eastAsia="zh-CN"/>
        </w:rPr>
        <w:t>根据《淮南市财政局 淮南市卫生健康委员会关于下达2024年中央卫生健康部分补助资金的通知》社[2024] 16号、《淮南市财政局 淮南市卫生健康委员会关于清算下达2024年中央和省财政部分卫生健康补助资金的通知》淮财社[2024] 143号文件，下达我区中央基本公共卫生服务补助项目资金627.65万元。</w:t>
      </w:r>
    </w:p>
    <w:p w14:paraId="6E36BEB0">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14:paraId="42D2EDEA">
      <w:pPr>
        <w:spacing w:before="213" w:line="221" w:lineRule="auto"/>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14:paraId="7EC1594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color w:val="auto"/>
          <w:sz w:val="32"/>
          <w:szCs w:val="32"/>
          <w:lang w:val="en-US" w:eastAsia="zh-CN"/>
        </w:rPr>
        <w:t xml:space="preserve"> 2024年</w:t>
      </w:r>
      <w:r>
        <w:rPr>
          <w:rFonts w:hint="eastAsia" w:ascii="Times New Roman" w:hAnsi="Times New Roman" w:eastAsia="仿宋_GB2312" w:cs="Times New Roman"/>
          <w:sz w:val="32"/>
          <w:szCs w:val="32"/>
          <w:lang w:val="en-US" w:eastAsia="zh-CN"/>
        </w:rPr>
        <w:t>度基本中央公共卫生服务补助项目资金合计627.65万元，截至目前，基本公共卫生服务补助项目资金627.65万元已经全部执行完毕，资金使用率100%。</w:t>
      </w:r>
    </w:p>
    <w:p w14:paraId="292B7BD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基本公共卫生服务补助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省医疗保障局</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w:t>
      </w:r>
      <w:r>
        <w:rPr>
          <w:rFonts w:hint="default" w:ascii="Times New Roman" w:hAnsi="Times New Roman" w:eastAsia="仿宋_GB2312" w:cs="Times New Roman"/>
          <w:sz w:val="32"/>
          <w:szCs w:val="32"/>
          <w:lang w:val="en-US" w:eastAsia="zh-CN"/>
        </w:rPr>
        <w:t>关于</w:t>
      </w:r>
      <w:r>
        <w:rPr>
          <w:rFonts w:hint="eastAsia" w:ascii="Times New Roman" w:hAnsi="Times New Roman" w:eastAsia="仿宋_GB2312" w:cs="Times New Roman"/>
          <w:sz w:val="32"/>
          <w:szCs w:val="32"/>
          <w:lang w:val="en-US" w:eastAsia="zh-CN"/>
        </w:rPr>
        <w:t>修订安徽省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1174</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14:paraId="300AE11C">
      <w:pPr>
        <w:spacing w:before="215" w:line="553" w:lineRule="exact"/>
        <w:ind w:firstLine="659" w:firstLineChars="200"/>
        <w:jc w:val="both"/>
        <w:rPr>
          <w:rFonts w:hint="eastAsia" w:ascii="宋体" w:hAnsi="宋体" w:eastAsia="宋体" w:cs="宋体"/>
          <w:sz w:val="28"/>
          <w:szCs w:val="28"/>
        </w:rPr>
      </w:pPr>
      <w:r>
        <w:rPr>
          <w:rFonts w:hint="eastAsia" w:ascii="仿宋_GB2312" w:hAnsi="仿宋_GB2312" w:eastAsia="仿宋_GB2312" w:cs="仿宋_GB2312"/>
          <w:b/>
          <w:bCs/>
          <w:spacing w:val="4"/>
          <w:sz w:val="32"/>
          <w:szCs w:val="32"/>
        </w:rPr>
        <w:t xml:space="preserve">(二)资金管理情况分析。 </w:t>
      </w:r>
    </w:p>
    <w:p w14:paraId="23CB38A8">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资金分配科学性。严格按照转移支付管理制度以及资金管理办法规定的范围和标准分配资金。</w:t>
      </w:r>
    </w:p>
    <w:p w14:paraId="5E3AB4D9">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资金下达及时性。严格按照预算法及其实施条例、转移支付管理制度规定以及资金管理办法规定的时限要求分解下达。</w:t>
      </w:r>
    </w:p>
    <w:p w14:paraId="7209E31A">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资金拨付合规性。严格按照国库集中支付制度有关规定支付资金，未出现违规将资金从国库转入财政专户或支付到预算单位实有资金账户等问题。</w:t>
      </w:r>
    </w:p>
    <w:p w14:paraId="28FCCCFC">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资金使用规范性。严格按照下达预算的科目和项目执行，未出现截留、挤占、挪用或擅自调整等问题。</w:t>
      </w:r>
    </w:p>
    <w:p w14:paraId="72C462F6">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资金执行准确性。按照上级下达和本级预算安排的金额执行，不存在执行数偏离预算数较多的问题。</w:t>
      </w:r>
    </w:p>
    <w:p w14:paraId="432024B0">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预算绩效管理情况。在细化下达预算时同步下达绩效目标，将有关资金纳入本级预算或对下转移支付绩效管理，开展绩效监控和绩效评价。</w:t>
      </w:r>
    </w:p>
    <w:p w14:paraId="238037E8">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支出责任履行情况。对共同财政事权转移支付，按照财政事权和支出责任划分有关规定,足额安排资金履行本级支出责任。</w:t>
      </w:r>
    </w:p>
    <w:p w14:paraId="2B76411E">
      <w:pPr>
        <w:spacing w:before="212" w:line="555" w:lineRule="exact"/>
        <w:ind w:firstLine="659" w:firstLineChars="200"/>
        <w:jc w:val="both"/>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b/>
          <w:bCs/>
          <w:spacing w:val="4"/>
          <w:sz w:val="32"/>
          <w:szCs w:val="32"/>
        </w:rPr>
        <w:t xml:space="preserve">(三)总体绩效目标完成情况分析。 </w:t>
      </w:r>
    </w:p>
    <w:p w14:paraId="33B31B21">
      <w:pPr>
        <w:pStyle w:val="5"/>
        <w:keepNext w:val="0"/>
        <w:keepLines w:val="0"/>
        <w:pageBreakBefore w:val="0"/>
        <w:widowControl/>
        <w:wordWrap/>
        <w:overflowPunct/>
        <w:topLinePunct w:val="0"/>
        <w:bidi w:val="0"/>
        <w:spacing w:line="560" w:lineRule="exact"/>
        <w:ind w:firstLine="640" w:firstLineChars="200"/>
        <w:jc w:val="both"/>
        <w:rPr>
          <w:rFonts w:hint="eastAsia" w:ascii="Times New Roman" w:hAnsi="Times New Roman" w:eastAsia="仿宋_GB2312" w:cs="Times New Roman"/>
          <w:snapToGrid w:val="0"/>
          <w:color w:val="000000"/>
          <w:kern w:val="0"/>
          <w:sz w:val="32"/>
          <w:szCs w:val="32"/>
          <w:lang w:val="en-US" w:eastAsia="zh-CN"/>
        </w:rPr>
      </w:pPr>
      <w:r>
        <w:rPr>
          <w:rFonts w:hint="eastAsia" w:ascii="Times New Roman" w:hAnsi="Times New Roman" w:eastAsia="仿宋_GB2312" w:cs="Times New Roman"/>
          <w:snapToGrid w:val="0"/>
          <w:color w:val="000000"/>
          <w:kern w:val="0"/>
          <w:sz w:val="32"/>
          <w:szCs w:val="32"/>
          <w:lang w:val="en-US" w:eastAsia="zh-CN"/>
        </w:rPr>
        <w:t>按照《国家基本公共卫生服务规范（第三版）》要求,在全区乡镇卫生院、村卫生室、社区卫生服务中心和社区卫生服务站开展了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和协管等12类项目。单独列项的基本公共卫生服：地方病防治、补服叶酸、妇女健康水平提升（婚检）、</w:t>
      </w:r>
      <w:r>
        <w:rPr>
          <w:rFonts w:hint="eastAsia" w:eastAsia="仿宋_GB2312" w:cs="Times New Roman"/>
          <w:snapToGrid w:val="0"/>
          <w:color w:val="000000"/>
          <w:kern w:val="0"/>
          <w:sz w:val="32"/>
          <w:szCs w:val="32"/>
          <w:lang w:val="en-US" w:eastAsia="zh-CN"/>
        </w:rPr>
        <w:t>医养结合与失能老人评估指导、优化生育政策服务</w:t>
      </w:r>
      <w:r>
        <w:rPr>
          <w:rFonts w:hint="eastAsia" w:ascii="Times New Roman" w:hAnsi="Times New Roman" w:eastAsia="仿宋_GB2312" w:cs="Times New Roman"/>
          <w:snapToGrid w:val="0"/>
          <w:color w:val="000000"/>
          <w:kern w:val="0"/>
          <w:sz w:val="32"/>
          <w:szCs w:val="32"/>
          <w:lang w:val="en-US" w:eastAsia="zh-CN"/>
        </w:rPr>
        <w:t>。</w:t>
      </w:r>
    </w:p>
    <w:p w14:paraId="689E65D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通过实施基本公共卫生服务12类项目及</w:t>
      </w:r>
      <w:r>
        <w:rPr>
          <w:rFonts w:hint="eastAsia" w:ascii="Times New Roman" w:hAnsi="Times New Roman" w:eastAsia="仿宋_GB2312" w:cs="Times New Roman"/>
          <w:snapToGrid w:val="0"/>
          <w:color w:val="000000"/>
          <w:kern w:val="0"/>
          <w:sz w:val="32"/>
          <w:szCs w:val="32"/>
          <w:lang w:val="en-US" w:eastAsia="zh-CN"/>
        </w:rPr>
        <w:t>单独列项的基本公共卫生服</w:t>
      </w:r>
      <w:r>
        <w:rPr>
          <w:rFonts w:hint="eastAsia" w:ascii="Times New Roman" w:hAnsi="Times New Roman" w:eastAsia="仿宋_GB2312" w:cs="Times New Roman"/>
          <w:sz w:val="32"/>
          <w:szCs w:val="32"/>
          <w:lang w:val="en-US" w:eastAsia="zh-CN"/>
        </w:rPr>
        <w:t>，对影响居民健康的主要卫生问题实施干预，减少主要健康危险因素，有效预防和控制主要传染病及慢性病，使城乡居民逐步享有均等化的公共卫生服务。</w:t>
      </w:r>
    </w:p>
    <w:p w14:paraId="5F40EFD3">
      <w:pPr>
        <w:numPr>
          <w:ilvl w:val="0"/>
          <w:numId w:val="2"/>
        </w:numPr>
        <w:spacing w:before="208" w:line="554"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 xml:space="preserve">绩效指标完成情况分析。 </w:t>
      </w:r>
    </w:p>
    <w:p w14:paraId="5132237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适龄儿童国家免疫规划疫苗接种率大于等于90%，0-6岁儿童健康管理率大于等于90%，0-6岁儿童眼保健和视力检查覆盖率大于等于90%，孕产妇系统管理率大于等于90%，3岁以下儿童系统管理率大于等于85%，高血压患者管理人数11986人，2型糖尿病患者管理人数4335人，肺结核核患者管理率大于等于90%，社区在册居家严重精神障碍患者健康管理率大于等于80%，老年人中医药健康管理率大于等于74%，儿童中医药健康管理率大于等于84%，卫生监督协管各专业每年巡查（访）2次完成率大于等于90%，职业健康检查服务覆盖率大于等于90%，地方病防治工作任务完成率大于等于95%，宫颈癌、乳腺癌筛查目标人群覆盖率较上年提高，均已完成。</w:t>
      </w:r>
    </w:p>
    <w:p w14:paraId="2DEDA9A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居民规范化电子健康档案覆盖率大于等于64%，高血压患者基层规范管理服务率大于等于64%，2型糖尿病患者基层规范管理服务率大于等于64%，65岁及以上老年人城乡社区规范健康管理服务率大于等于64%，传染病和突发公共卫生事件报告率大于等于95%，均已完成。</w:t>
      </w:r>
    </w:p>
    <w:p w14:paraId="48ADA7A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3.成本指标：基本公共卫生服务补助资金627.65万元，其中：基本公共卫生服务补助资金591.6万元，单独列项的基本公共卫生服补助资金36.05万元均已支付完成，预算执行进度为100%。</w:t>
      </w:r>
    </w:p>
    <w:p w14:paraId="6FFC280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4.社会效益指标：城乡居民公共卫生差距较上年缩小，居民健康素养水平较上年提高。</w:t>
      </w:r>
    </w:p>
    <w:p w14:paraId="169FF20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5.可持续影响指标：基本公共卫生服务水平较上年提高。</w:t>
      </w:r>
    </w:p>
    <w:p w14:paraId="68EFC3A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6.服务对象满意度指标：对基本公共卫生服务对象满意度大于等于70%，已完成。</w:t>
      </w:r>
    </w:p>
    <w:p w14:paraId="56456B59">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14:paraId="7FC7B90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p>
    <w:p w14:paraId="0B331A52">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14:paraId="7A2E523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财政资金平台系统中录入的基本公共卫生服务补助资金支出数据及时准确、真实可靠。资金对应安排项目形成实物工作量情况、项目推进及管理情况，跟踪掌握项目绩效目标执行情况，已经达到预期效果。</w:t>
      </w:r>
      <w:r>
        <w:rPr>
          <w:rFonts w:hint="default" w:ascii="Times New Roman" w:hAnsi="Times New Roman" w:eastAsia="仿宋_GB2312" w:cs="Times New Roman"/>
          <w:sz w:val="32"/>
          <w:szCs w:val="32"/>
          <w:lang w:val="en-US" w:eastAsia="zh-CN"/>
        </w:rPr>
        <w:t>通过绩效自评，我单位进一步掌握了</w:t>
      </w:r>
      <w:r>
        <w:rPr>
          <w:rFonts w:hint="eastAsia" w:ascii="Times New Roman" w:hAnsi="Times New Roman" w:eastAsia="仿宋_GB2312" w:cs="Times New Roman"/>
          <w:sz w:val="32"/>
          <w:szCs w:val="32"/>
          <w:lang w:val="en-US" w:eastAsia="zh-CN"/>
        </w:rPr>
        <w:t>中央财政基本公共卫生服务补助资金</w:t>
      </w:r>
      <w:r>
        <w:rPr>
          <w:rFonts w:hint="default" w:ascii="Times New Roman" w:hAnsi="Times New Roman" w:eastAsia="仿宋_GB2312" w:cs="Times New Roman"/>
          <w:sz w:val="32"/>
          <w:szCs w:val="32"/>
          <w:lang w:val="en-US" w:eastAsia="zh-CN"/>
        </w:rPr>
        <w:t>使用情况和取得的效果，总结了资金管理经验，为</w:t>
      </w:r>
      <w:r>
        <w:rPr>
          <w:rFonts w:hint="eastAsia" w:ascii="Times New Roman" w:hAnsi="Times New Roman" w:eastAsia="仿宋_GB2312" w:cs="Times New Roman"/>
          <w:sz w:val="32"/>
          <w:szCs w:val="32"/>
          <w:lang w:val="en-US" w:eastAsia="zh-CN"/>
        </w:rPr>
        <w:t>以后</w:t>
      </w:r>
      <w:r>
        <w:rPr>
          <w:rFonts w:hint="default" w:ascii="Times New Roman" w:hAnsi="Times New Roman" w:eastAsia="仿宋_GB2312" w:cs="Times New Roman"/>
          <w:sz w:val="32"/>
          <w:szCs w:val="32"/>
          <w:lang w:val="en-US" w:eastAsia="zh-CN"/>
        </w:rPr>
        <w:t>提高资金的使用绩效，加强财政支出的规范管理，健全、完善支出项目和资金使用管理办法，完善预算编制和加强绩效目标管理等工作提供重要的参考依据。</w:t>
      </w:r>
    </w:p>
    <w:p w14:paraId="1655744E">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绩效自评结果已公开，并按文件要求在2025年4月10日之前在门户网站进行公开。</w:t>
      </w:r>
    </w:p>
    <w:p w14:paraId="6E280BC2">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14:paraId="664E6A5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无中央巡视、各级审计和财政监督中发现的问题及其所涉及的金额。</w:t>
      </w:r>
    </w:p>
    <w:p w14:paraId="20910F4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lang w:eastAsia="zh-CN"/>
        </w:rPr>
        <w:t>六、</w:t>
      </w:r>
      <w:r>
        <w:rPr>
          <w:rFonts w:hint="eastAsia" w:ascii="黑体" w:hAnsi="黑体" w:eastAsia="黑体" w:cs="黑体"/>
          <w:b/>
          <w:bCs/>
          <w:spacing w:val="-8"/>
          <w:sz w:val="32"/>
          <w:szCs w:val="32"/>
        </w:rPr>
        <w:t>附件</w:t>
      </w:r>
    </w:p>
    <w:p w14:paraId="1A3262C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八公山区转移支付基本公共卫生项目绩</w:t>
      </w:r>
      <w:bookmarkStart w:id="0" w:name="_GoBack"/>
      <w:bookmarkEnd w:id="0"/>
      <w:r>
        <w:rPr>
          <w:rFonts w:hint="default" w:ascii="Times New Roman" w:hAnsi="Times New Roman" w:eastAsia="仿宋_GB2312" w:cs="Times New Roman"/>
          <w:sz w:val="32"/>
          <w:szCs w:val="32"/>
          <w:lang w:val="en-US" w:eastAsia="zh-CN"/>
        </w:rPr>
        <w:t xml:space="preserve">效目标自评表 </w:t>
      </w:r>
      <w:r>
        <w:rPr>
          <w:rFonts w:hint="eastAsia" w:ascii="Times New Roman" w:hAnsi="Times New Roman" w:eastAsia="仿宋_GB2312" w:cs="Times New Roman"/>
          <w:sz w:val="32"/>
          <w:szCs w:val="32"/>
          <w:lang w:val="en-US" w:eastAsia="zh-CN"/>
        </w:rPr>
        <w:t>。</w:t>
      </w:r>
    </w:p>
    <w:p w14:paraId="4DAF1AF7">
      <w:pPr>
        <w:spacing w:before="200" w:line="870" w:lineRule="exact"/>
        <w:textAlignment w:val="center"/>
      </w:pPr>
    </w:p>
    <w:p w14:paraId="4CFB689F">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14:paraId="13643D88">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2025年3月10日</w:t>
      </w:r>
    </w:p>
    <w:p w14:paraId="4DE11377">
      <w:pPr>
        <w:spacing w:before="200" w:line="870" w:lineRule="exact"/>
        <w:textAlignment w:val="center"/>
      </w:pPr>
    </w:p>
    <w:sectPr>
      <w:footerReference r:id="rId5" w:type="default"/>
      <w:type w:val="continuous"/>
      <w:pgSz w:w="11900" w:h="16820"/>
      <w:pgMar w:top="1429" w:right="1332" w:bottom="400" w:left="1338"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5011C">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AA5DE"/>
    <w:multiLevelType w:val="singleLevel"/>
    <w:tmpl w:val="93DAA5DE"/>
    <w:lvl w:ilvl="0" w:tentative="0">
      <w:start w:val="4"/>
      <w:numFmt w:val="chineseCounting"/>
      <w:suff w:val="space"/>
      <w:lvlText w:val="%1、"/>
      <w:lvlJc w:val="left"/>
      <w:rPr>
        <w:rFonts w:hint="eastAsia"/>
      </w:rPr>
    </w:lvl>
  </w:abstractNum>
  <w:abstractNum w:abstractNumId="1">
    <w:nsid w:val="95FA3C83"/>
    <w:multiLevelType w:val="singleLevel"/>
    <w:tmpl w:val="95FA3C83"/>
    <w:lvl w:ilvl="0" w:tentative="0">
      <w:start w:val="1"/>
      <w:numFmt w:val="decimal"/>
      <w:lvlText w:val="%1."/>
      <w:lvlJc w:val="left"/>
      <w:pPr>
        <w:tabs>
          <w:tab w:val="left" w:pos="312"/>
        </w:tabs>
      </w:pPr>
    </w:lvl>
  </w:abstractNum>
  <w:abstractNum w:abstractNumId="2">
    <w:nsid w:val="2A1928E3"/>
    <w:multiLevelType w:val="singleLevel"/>
    <w:tmpl w:val="2A1928E3"/>
    <w:lvl w:ilvl="0" w:tentative="0">
      <w:start w:val="4"/>
      <w:numFmt w:val="chineseCounting"/>
      <w:lvlText w:val="(%1)"/>
      <w:lvlJc w:val="left"/>
      <w:pPr>
        <w:tabs>
          <w:tab w:val="left" w:pos="312"/>
        </w:tabs>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Tk4MGE5YjkwMzI1Y2Q2NWFjM2E3MTI3MDUxNzMyNTYifQ=="/>
  </w:docVars>
  <w:rsids>
    <w:rsidRoot w:val="00000000"/>
    <w:rsid w:val="02B0537A"/>
    <w:rsid w:val="030A2132"/>
    <w:rsid w:val="03500781"/>
    <w:rsid w:val="0C77233A"/>
    <w:rsid w:val="10FA71C4"/>
    <w:rsid w:val="13417D4B"/>
    <w:rsid w:val="17F42928"/>
    <w:rsid w:val="22EC1AEA"/>
    <w:rsid w:val="2C183950"/>
    <w:rsid w:val="2D8404BB"/>
    <w:rsid w:val="2E9F5C62"/>
    <w:rsid w:val="32677044"/>
    <w:rsid w:val="42BB357B"/>
    <w:rsid w:val="42E47C90"/>
    <w:rsid w:val="4CBF0B25"/>
    <w:rsid w:val="50D76F27"/>
    <w:rsid w:val="52102850"/>
    <w:rsid w:val="5E411367"/>
    <w:rsid w:val="602045A6"/>
    <w:rsid w:val="643E324C"/>
    <w:rsid w:val="657276C8"/>
    <w:rsid w:val="737F2F3A"/>
    <w:rsid w:val="7624689D"/>
    <w:rsid w:val="781B77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Normal"/>
    <w:autoRedefine/>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2143</Words>
  <Characters>2275</Characters>
  <TotalTime>3</TotalTime>
  <ScaleCrop>false</ScaleCrop>
  <LinksUpToDate>false</LinksUpToDate>
  <CharactersWithSpaces>2396</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2025-03-07T07:49:56Z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2052-12.1.0.20305</vt:lpwstr>
  </property>
  <property fmtid="{D5CDD505-2E9C-101B-9397-08002B2CF9AE}" pid="6" name="ICV">
    <vt:lpwstr>C1C79C95190A4FB08FEFB33168FB600B_13</vt:lpwstr>
  </property>
  <property fmtid="{D5CDD505-2E9C-101B-9397-08002B2CF9AE}" pid="7" name="KSOTemplateDocerSaveRecord">
    <vt:lpwstr>eyJoZGlkIjoiNmYwOGIzNDc1NDM5MmE4N2MzMTExY2RkMjMzZGY3ZjQiLCJ1c2VySWQiOiI2MzkzODIyNDMifQ==</vt:lpwstr>
  </property>
</Properties>
</file>