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BC6A">
      <w:pPr>
        <w:spacing w:before="91" w:line="224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BD006B8">
      <w:pPr>
        <w:spacing w:line="315" w:lineRule="auto"/>
        <w:rPr>
          <w:rFonts w:hint="eastAsia" w:ascii="宋体" w:hAnsi="宋体" w:eastAsia="宋体" w:cs="宋体"/>
          <w:color w:val="auto"/>
          <w:sz w:val="21"/>
        </w:rPr>
      </w:pPr>
    </w:p>
    <w:p w14:paraId="5469EB82">
      <w:pPr>
        <w:spacing w:line="315" w:lineRule="auto"/>
        <w:rPr>
          <w:rFonts w:hint="eastAsia" w:ascii="宋体" w:hAnsi="宋体" w:eastAsia="宋体" w:cs="宋体"/>
          <w:color w:val="auto"/>
          <w:sz w:val="21"/>
        </w:rPr>
      </w:pPr>
    </w:p>
    <w:p w14:paraId="33E97EB9">
      <w:pPr>
        <w:spacing w:before="111" w:line="218" w:lineRule="auto"/>
        <w:ind w:left="1467"/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  <w:lang w:val="en-US" w:eastAsia="zh-CN"/>
        </w:rPr>
        <w:t>困难群众救助补助资金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</w:rPr>
        <w:t>转移支付202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</w:rPr>
        <w:t>年度绩效</w:t>
      </w:r>
    </w:p>
    <w:p w14:paraId="784F12CD">
      <w:pPr>
        <w:spacing w:before="111" w:line="218" w:lineRule="auto"/>
        <w:ind w:left="1467" w:firstLine="2603" w:firstLineChars="800"/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</w:rPr>
        <w:t>自评报告</w:t>
      </w:r>
    </w:p>
    <w:p w14:paraId="1E0F4EEE">
      <w:pPr>
        <w:spacing w:before="111" w:line="218" w:lineRule="auto"/>
        <w:ind w:left="1467" w:firstLine="2603" w:firstLineChars="800"/>
        <w:rPr>
          <w:rFonts w:hint="eastAsia" w:ascii="宋体" w:hAnsi="宋体" w:eastAsia="宋体" w:cs="宋体"/>
          <w:b/>
          <w:bCs/>
          <w:color w:val="auto"/>
          <w:spacing w:val="-8"/>
          <w:sz w:val="34"/>
          <w:szCs w:val="34"/>
        </w:rPr>
      </w:pPr>
    </w:p>
    <w:p w14:paraId="32DE95C0">
      <w:pPr>
        <w:spacing w:before="198" w:line="221" w:lineRule="auto"/>
        <w:ind w:firstLine="530" w:firstLineChars="200"/>
        <w:outlineLvl w:val="0"/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</w:rPr>
        <w:t>一</w:t>
      </w:r>
      <w:r>
        <w:rPr>
          <w:rFonts w:hint="eastAsia" w:ascii="宋体" w:hAnsi="宋体" w:eastAsia="宋体" w:cs="宋体"/>
          <w:color w:val="auto"/>
          <w:spacing w:val="-7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</w:rPr>
        <w:t>、绩效目标分解下达情况</w:t>
      </w:r>
    </w:p>
    <w:p w14:paraId="32875DF8">
      <w:pPr>
        <w:numPr>
          <w:ilvl w:val="0"/>
          <w:numId w:val="0"/>
        </w:numPr>
        <w:spacing w:before="198" w:line="221" w:lineRule="auto"/>
        <w:ind w:firstLine="530" w:firstLineChars="200"/>
        <w:jc w:val="both"/>
        <w:outlineLvl w:val="0"/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  <w:t>（一）中央下达困难群众救助补助资金转移支付预算和绩效目标情况。</w:t>
      </w:r>
    </w:p>
    <w:p w14:paraId="5449E94A">
      <w:pPr>
        <w:numPr>
          <w:ilvl w:val="0"/>
          <w:numId w:val="0"/>
        </w:numPr>
        <w:spacing w:before="198" w:line="221" w:lineRule="auto"/>
        <w:ind w:firstLine="528"/>
        <w:outlineLvl w:val="0"/>
        <w:rPr>
          <w:rFonts w:hint="eastAsia" w:ascii="宋体" w:hAnsi="宋体" w:eastAsia="宋体" w:cs="宋体"/>
          <w:b w:val="0"/>
          <w:bCs w:val="0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8"/>
          <w:szCs w:val="28"/>
          <w:lang w:val="en-US" w:eastAsia="zh-CN"/>
        </w:rPr>
        <w:t>2024年度，中央下达困难群众救助补助资金共计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8"/>
          <w:szCs w:val="28"/>
          <w:highlight w:val="none"/>
          <w:lang w:val="en-US" w:eastAsia="zh-CN"/>
        </w:rPr>
        <w:t>1006万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8"/>
          <w:szCs w:val="28"/>
          <w:lang w:val="en-US" w:eastAsia="zh-CN"/>
        </w:rPr>
        <w:t>元，其中：城市低保796万元，农村低保123万元，特困人员供养54万元；孤儿基本生活保障33万元。均按目标绩效执行完成。</w:t>
      </w:r>
    </w:p>
    <w:p w14:paraId="70F95189">
      <w:pPr>
        <w:numPr>
          <w:ilvl w:val="0"/>
          <w:numId w:val="1"/>
        </w:numPr>
        <w:spacing w:before="198" w:line="221" w:lineRule="auto"/>
        <w:ind w:left="-108" w:leftChars="0" w:firstLine="528" w:firstLineChars="0"/>
        <w:outlineLvl w:val="0"/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28"/>
          <w:szCs w:val="28"/>
          <w:lang w:val="en-US" w:eastAsia="zh-CN"/>
        </w:rPr>
        <w:t>地方资金安排、分解下达预算和绩效目标情况。</w:t>
      </w:r>
    </w:p>
    <w:p w14:paraId="67A2CD82">
      <w:pPr>
        <w:numPr>
          <w:ilvl w:val="0"/>
          <w:numId w:val="0"/>
        </w:numPr>
        <w:spacing w:before="198" w:line="221" w:lineRule="auto"/>
        <w:outlineLvl w:val="0"/>
        <w:rPr>
          <w:rFonts w:hint="default" w:ascii="宋体" w:hAnsi="宋体" w:eastAsia="宋体" w:cs="宋体"/>
          <w:b w:val="0"/>
          <w:bCs w:val="0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pacing w:val="-8"/>
          <w:sz w:val="28"/>
          <w:szCs w:val="28"/>
          <w:lang w:val="en-US" w:eastAsia="zh-CN"/>
        </w:rPr>
        <w:t>2024年由市财政及区级财政下达</w:t>
      </w:r>
      <w:r>
        <w:rPr>
          <w:rFonts w:hint="eastAsia" w:ascii="仿宋" w:hAnsi="仿宋" w:eastAsia="仿宋" w:cs="仿宋"/>
          <w:b w:val="0"/>
          <w:bCs w:val="0"/>
          <w:color w:val="auto"/>
          <w:spacing w:val="-8"/>
          <w:sz w:val="28"/>
          <w:szCs w:val="28"/>
          <w:highlight w:val="none"/>
          <w:lang w:val="en-US" w:eastAsia="zh-CN"/>
        </w:rPr>
        <w:t>资金共977.99564万元，</w:t>
      </w:r>
      <w:r>
        <w:rPr>
          <w:rFonts w:hint="eastAsia" w:ascii="仿宋" w:hAnsi="仿宋" w:eastAsia="仿宋" w:cs="仿宋"/>
          <w:b w:val="0"/>
          <w:bCs w:val="0"/>
          <w:color w:val="auto"/>
          <w:spacing w:val="-8"/>
          <w:sz w:val="28"/>
          <w:szCs w:val="28"/>
          <w:lang w:val="en-US" w:eastAsia="zh-CN"/>
        </w:rPr>
        <w:t>其中：城市低保701.19254万元，农村低保178.27万元，特困人员供养78.2931万元，孤儿基本</w:t>
      </w:r>
      <w:r>
        <w:rPr>
          <w:rFonts w:hint="eastAsia" w:ascii="宋体" w:hAnsi="宋体" w:eastAsia="宋体" w:cs="宋体"/>
          <w:b w:val="0"/>
          <w:bCs w:val="0"/>
          <w:color w:val="auto"/>
          <w:spacing w:val="-8"/>
          <w:sz w:val="28"/>
          <w:szCs w:val="28"/>
          <w:lang w:val="en-US" w:eastAsia="zh-CN"/>
        </w:rPr>
        <w:t>生活保障金20.24万元。均按目标绩效执行完成</w:t>
      </w:r>
    </w:p>
    <w:p w14:paraId="368AD267">
      <w:pPr>
        <w:numPr>
          <w:ilvl w:val="0"/>
          <w:numId w:val="0"/>
        </w:numPr>
        <w:spacing w:before="198" w:line="221" w:lineRule="auto"/>
        <w:ind w:firstLine="528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10"/>
          <w:sz w:val="28"/>
          <w:szCs w:val="28"/>
        </w:rPr>
        <w:t>二、</w:t>
      </w:r>
      <w:r>
        <w:rPr>
          <w:rFonts w:hint="eastAsia" w:ascii="宋体" w:hAnsi="宋体" w:eastAsia="宋体" w:cs="宋体"/>
          <w:color w:val="auto"/>
          <w:spacing w:val="-6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10"/>
          <w:sz w:val="28"/>
          <w:szCs w:val="28"/>
        </w:rPr>
        <w:t>绩效情况分析</w:t>
      </w:r>
    </w:p>
    <w:p w14:paraId="6A8405D5">
      <w:pPr>
        <w:spacing w:before="213" w:line="221" w:lineRule="auto"/>
        <w:ind w:firstLine="578" w:firstLineChars="200"/>
        <w:rPr>
          <w:rFonts w:hint="eastAsia" w:ascii="宋体" w:hAnsi="宋体" w:eastAsia="宋体" w:cs="宋体"/>
          <w:color w:val="auto"/>
          <w:spacing w:val="4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28"/>
          <w:szCs w:val="28"/>
        </w:rPr>
        <w:t>(一)资金投入情况分析。</w:t>
      </w:r>
      <w:r>
        <w:rPr>
          <w:rFonts w:hint="eastAsia" w:ascii="宋体" w:hAnsi="宋体" w:eastAsia="宋体" w:cs="宋体"/>
          <w:color w:val="auto"/>
          <w:spacing w:val="42"/>
          <w:sz w:val="28"/>
          <w:szCs w:val="28"/>
        </w:rPr>
        <w:t xml:space="preserve"> </w:t>
      </w:r>
    </w:p>
    <w:p w14:paraId="75CEA5BC">
      <w:pPr>
        <w:spacing w:before="213" w:line="221" w:lineRule="auto"/>
        <w:ind w:firstLine="728" w:firstLineChars="200"/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  <w:t>1、项目资金到位情况分析。</w:t>
      </w:r>
    </w:p>
    <w:p w14:paraId="44B9AF76">
      <w:pPr>
        <w:spacing w:before="213" w:line="221" w:lineRule="auto"/>
        <w:ind w:firstLine="728" w:firstLineChars="200"/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  <w:t>2024年度下达困难群众救助资金共1983.99564万元，其中：中央下达资金1006万元，地方下达资金977.99564万元，已全部到位。</w:t>
      </w:r>
    </w:p>
    <w:p w14:paraId="1DFEEB6B">
      <w:pPr>
        <w:numPr>
          <w:ilvl w:val="0"/>
          <w:numId w:val="2"/>
        </w:numPr>
        <w:spacing w:before="213" w:line="221" w:lineRule="auto"/>
        <w:ind w:firstLine="728" w:firstLineChars="200"/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  <w:t>项目资金执行情况分析。</w:t>
      </w:r>
    </w:p>
    <w:p w14:paraId="496BB64C">
      <w:pPr>
        <w:numPr>
          <w:ilvl w:val="0"/>
          <w:numId w:val="0"/>
        </w:numPr>
        <w:spacing w:before="213" w:line="221" w:lineRule="auto"/>
        <w:ind w:firstLine="728"/>
        <w:rPr>
          <w:rFonts w:hint="default" w:ascii="宋体" w:hAnsi="宋体" w:eastAsia="宋体" w:cs="宋体"/>
          <w:color w:val="auto"/>
          <w:spacing w:val="4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42"/>
          <w:sz w:val="28"/>
          <w:szCs w:val="28"/>
          <w:lang w:val="en-US" w:eastAsia="zh-CN"/>
        </w:rPr>
        <w:t xml:space="preserve">2024年资金按分配全部执行完成，基本完成绩效目标要求。  </w:t>
      </w:r>
    </w:p>
    <w:p w14:paraId="6C5BE0F2">
      <w:pPr>
        <w:numPr>
          <w:ilvl w:val="0"/>
          <w:numId w:val="3"/>
        </w:numPr>
        <w:spacing w:before="2" w:line="220" w:lineRule="auto"/>
        <w:ind w:left="532"/>
        <w:rPr>
          <w:rFonts w:hint="eastAsia" w:ascii="宋体" w:hAnsi="宋体" w:eastAsia="宋体" w:cs="宋体"/>
          <w:color w:val="auto"/>
          <w:spacing w:val="37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position w:val="20"/>
          <w:sz w:val="28"/>
          <w:szCs w:val="28"/>
        </w:rPr>
        <w:t>资金管理情况分析。</w:t>
      </w:r>
      <w:r>
        <w:rPr>
          <w:rFonts w:hint="eastAsia" w:ascii="宋体" w:hAnsi="宋体" w:eastAsia="宋体" w:cs="宋体"/>
          <w:color w:val="auto"/>
          <w:spacing w:val="37"/>
          <w:position w:val="20"/>
          <w:sz w:val="28"/>
          <w:szCs w:val="28"/>
        </w:rPr>
        <w:t xml:space="preserve"> </w:t>
      </w:r>
    </w:p>
    <w:p w14:paraId="528B5EE7">
      <w:pPr>
        <w:numPr>
          <w:ilvl w:val="0"/>
          <w:numId w:val="0"/>
        </w:numPr>
        <w:spacing w:before="2" w:line="220" w:lineRule="auto"/>
        <w:ind w:firstLine="708" w:firstLineChars="200"/>
        <w:rPr>
          <w:rFonts w:hint="eastAsia" w:ascii="宋体" w:hAnsi="宋体" w:eastAsia="宋体" w:cs="宋体"/>
          <w:color w:val="auto"/>
          <w:spacing w:val="37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7"/>
          <w:position w:val="20"/>
          <w:sz w:val="28"/>
          <w:szCs w:val="28"/>
          <w:lang w:val="en-US" w:eastAsia="zh-CN"/>
        </w:rPr>
        <w:t>1、严格按照困难群众救助补助资金管理办法要求执行，坚决度杜绝随意改变资金用途、扣减项目资金等项目。</w:t>
      </w:r>
    </w:p>
    <w:p w14:paraId="50BFA510">
      <w:pPr>
        <w:numPr>
          <w:ilvl w:val="0"/>
          <w:numId w:val="0"/>
        </w:numPr>
        <w:spacing w:before="2" w:line="220" w:lineRule="auto"/>
        <w:ind w:firstLine="708" w:firstLineChars="200"/>
        <w:rPr>
          <w:rFonts w:hint="default" w:ascii="宋体" w:hAnsi="宋体" w:eastAsia="宋体" w:cs="宋体"/>
          <w:color w:val="auto"/>
          <w:spacing w:val="37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7"/>
          <w:position w:val="20"/>
          <w:sz w:val="28"/>
          <w:szCs w:val="28"/>
          <w:lang w:val="en-US" w:eastAsia="zh-CN"/>
        </w:rPr>
        <w:t>2、严格执行收支预算，符合惠民惠农财政补贴资金“一卡通”管理相关规定的，一律按规定执行。</w:t>
      </w:r>
    </w:p>
    <w:p w14:paraId="1041F3B6">
      <w:pPr>
        <w:numPr>
          <w:ilvl w:val="0"/>
          <w:numId w:val="3"/>
        </w:numPr>
        <w:spacing w:line="222" w:lineRule="auto"/>
        <w:ind w:left="532" w:leftChars="0" w:firstLine="0" w:firstLineChars="0"/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position w:val="20"/>
          <w:sz w:val="28"/>
          <w:szCs w:val="28"/>
        </w:rPr>
        <w:t>总体绩效目标完成情况分析。</w:t>
      </w:r>
      <w:r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</w:rPr>
        <w:t xml:space="preserve"> </w:t>
      </w:r>
    </w:p>
    <w:p w14:paraId="35B95423">
      <w:pPr>
        <w:numPr>
          <w:ilvl w:val="0"/>
          <w:numId w:val="0"/>
        </w:numPr>
        <w:spacing w:line="222" w:lineRule="auto"/>
        <w:ind w:left="532" w:leftChars="0" w:firstLine="344" w:firstLineChars="100"/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  <w:t>2024年困难群众救助补助资金分配包含3项专项资金，其中：</w:t>
      </w:r>
    </w:p>
    <w:p w14:paraId="38AAC16D">
      <w:pPr>
        <w:numPr>
          <w:ilvl w:val="0"/>
          <w:numId w:val="0"/>
        </w:numPr>
        <w:spacing w:line="222" w:lineRule="auto"/>
        <w:ind w:firstLine="688" w:firstLineChars="200"/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  <w:t>1、城乡低保资金总体绩效目标：只有当地常住户口的居民，凡共同的家庭生活人均收入低于当地低保标准，且家庭财产情况符合当地人民政府规定条件的，可以申请低保。最低生活保障标准为城市784元/人/月；农村755元/人/月。</w:t>
      </w:r>
    </w:p>
    <w:p w14:paraId="2A9A00C4">
      <w:pPr>
        <w:numPr>
          <w:ilvl w:val="0"/>
          <w:numId w:val="0"/>
        </w:numPr>
        <w:spacing w:line="222" w:lineRule="auto"/>
        <w:ind w:firstLine="688" w:firstLineChars="200"/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  <w:t>2、特困供养总体绩效目标：城乡老年人、残疾人以及未满16周岁的未成年人，同事具备无劳动能力、无生活来源和无法赡养、抚养、抚养义务人或者其法定义务人无履行义务能力的，应当依法纳入特困人员救助供养范围。城乡特困救助供养标准为城市13800元/年/人；农村11778元/年/人。</w:t>
      </w:r>
    </w:p>
    <w:p w14:paraId="5CA64F69">
      <w:pPr>
        <w:numPr>
          <w:ilvl w:val="0"/>
          <w:numId w:val="0"/>
        </w:numPr>
        <w:spacing w:line="222" w:lineRule="auto"/>
        <w:ind w:firstLine="688" w:firstLineChars="200"/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32"/>
          <w:position w:val="20"/>
          <w:sz w:val="28"/>
          <w:szCs w:val="28"/>
          <w:lang w:val="en-US" w:eastAsia="zh-CN"/>
        </w:rPr>
        <w:t>3、孤儿基本生活保障金总体绩效目标：持有当地常住户口的居民，凡符合孤儿条件的均可申请纳入救助。孤儿基本生活保障标准为：散居1300元/人/月；集中1700元/人/月。</w:t>
      </w:r>
    </w:p>
    <w:p w14:paraId="702942B9">
      <w:pPr>
        <w:spacing w:before="1" w:line="221" w:lineRule="auto"/>
        <w:ind w:left="532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position w:val="20"/>
          <w:sz w:val="28"/>
          <w:szCs w:val="28"/>
        </w:rPr>
        <w:t>(四)绩效指标完成情况分析。</w:t>
      </w: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</w:rPr>
        <w:t xml:space="preserve"> </w:t>
      </w:r>
    </w:p>
    <w:p w14:paraId="509635C4">
      <w:pPr>
        <w:spacing w:before="1" w:line="221" w:lineRule="auto"/>
        <w:ind w:left="532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1、产出指标完成情况分析。</w:t>
      </w:r>
    </w:p>
    <w:p w14:paraId="525F62BF">
      <w:pPr>
        <w:spacing w:before="1" w:line="221" w:lineRule="auto"/>
        <w:ind w:left="532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（1）数量指标。</w:t>
      </w:r>
    </w:p>
    <w:p w14:paraId="1BD3DC0F">
      <w:pPr>
        <w:spacing w:before="1" w:line="221" w:lineRule="auto"/>
        <w:ind w:left="532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资金达到应保未保，应退尽退，动态管理。</w:t>
      </w:r>
    </w:p>
    <w:p w14:paraId="636E0F17">
      <w:pPr>
        <w:numPr>
          <w:ilvl w:val="0"/>
          <w:numId w:val="4"/>
        </w:numPr>
        <w:spacing w:before="1" w:line="221" w:lineRule="auto"/>
        <w:ind w:left="532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质量指标。</w:t>
      </w:r>
    </w:p>
    <w:p w14:paraId="6F85E67B">
      <w:pPr>
        <w:numPr>
          <w:ilvl w:val="0"/>
          <w:numId w:val="0"/>
        </w:numPr>
        <w:spacing w:before="1" w:line="221" w:lineRule="auto"/>
        <w:ind w:firstLine="652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按照各项目标准及管理要求办法，保质保量的完成各项分配资金支出。</w:t>
      </w:r>
    </w:p>
    <w:p w14:paraId="59E17779">
      <w:pPr>
        <w:numPr>
          <w:ilvl w:val="0"/>
          <w:numId w:val="4"/>
        </w:numPr>
        <w:spacing w:before="1" w:line="221" w:lineRule="auto"/>
        <w:ind w:left="532" w:leftChars="0" w:firstLine="0" w:firstLineChars="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时效指标。</w:t>
      </w:r>
      <w:bookmarkStart w:id="0" w:name="_GoBack"/>
      <w:bookmarkEnd w:id="0"/>
    </w:p>
    <w:p w14:paraId="045D5710">
      <w:pPr>
        <w:numPr>
          <w:ilvl w:val="0"/>
          <w:numId w:val="0"/>
        </w:numPr>
        <w:spacing w:before="1" w:line="221" w:lineRule="auto"/>
        <w:ind w:left="532" w:leftChars="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各项支出均在当年完成支付。</w:t>
      </w:r>
    </w:p>
    <w:p w14:paraId="21DA0642">
      <w:pPr>
        <w:numPr>
          <w:ilvl w:val="0"/>
          <w:numId w:val="4"/>
        </w:numPr>
        <w:spacing w:before="1" w:line="221" w:lineRule="auto"/>
        <w:ind w:left="532" w:leftChars="0" w:firstLine="0" w:firstLineChars="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成本指标。</w:t>
      </w:r>
    </w:p>
    <w:p w14:paraId="2A4AB9EA">
      <w:pPr>
        <w:numPr>
          <w:ilvl w:val="0"/>
          <w:numId w:val="0"/>
        </w:numPr>
        <w:spacing w:before="1" w:line="221" w:lineRule="auto"/>
        <w:ind w:left="532" w:leftChars="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困难群众救助补助审核抽查率达90%</w:t>
      </w:r>
    </w:p>
    <w:p w14:paraId="4E04CBFB">
      <w:pPr>
        <w:numPr>
          <w:ilvl w:val="0"/>
          <w:numId w:val="0"/>
        </w:numPr>
        <w:spacing w:before="1" w:line="221" w:lineRule="auto"/>
        <w:ind w:left="532" w:leftChars="0"/>
        <w:rPr>
          <w:rFonts w:hint="default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2、效益指标完成情况分析</w:t>
      </w:r>
    </w:p>
    <w:p w14:paraId="3ED3A8F2">
      <w:pPr>
        <w:numPr>
          <w:ilvl w:val="0"/>
          <w:numId w:val="0"/>
        </w:numPr>
        <w:spacing w:before="1" w:line="221" w:lineRule="auto"/>
        <w:ind w:firstLine="652" w:firstLineChars="20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（1）经济效益。</w:t>
      </w:r>
    </w:p>
    <w:p w14:paraId="6946FAC2">
      <w:pPr>
        <w:numPr>
          <w:ilvl w:val="0"/>
          <w:numId w:val="0"/>
        </w:numPr>
        <w:spacing w:before="1" w:line="221" w:lineRule="auto"/>
        <w:ind w:leftChars="20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 为脱贫攻坚提供强有力的兜底保障。</w:t>
      </w:r>
    </w:p>
    <w:p w14:paraId="36E0DC33">
      <w:pPr>
        <w:numPr>
          <w:ilvl w:val="0"/>
          <w:numId w:val="0"/>
        </w:numPr>
        <w:spacing w:before="1" w:line="221" w:lineRule="auto"/>
        <w:ind w:left="583" w:leftChars="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（2）社会效益</w:t>
      </w:r>
    </w:p>
    <w:p w14:paraId="47ED716F">
      <w:pPr>
        <w:numPr>
          <w:ilvl w:val="0"/>
          <w:numId w:val="0"/>
        </w:numPr>
        <w:spacing w:before="1" w:line="221" w:lineRule="auto"/>
        <w:ind w:left="583" w:leftChars="0" w:firstLine="326" w:firstLineChars="100"/>
        <w:rPr>
          <w:rFonts w:hint="default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强化困难群众兜底保障，有效发挥临时救助兜底作用，做好分散供养特困老人、困难居家老人的照料服务，关爱保护监护缺失儿童。</w:t>
      </w:r>
    </w:p>
    <w:p w14:paraId="23994B7F">
      <w:pPr>
        <w:numPr>
          <w:ilvl w:val="0"/>
          <w:numId w:val="2"/>
        </w:numPr>
        <w:spacing w:before="1" w:line="221" w:lineRule="auto"/>
        <w:ind w:left="0" w:leftChars="0" w:firstLine="652" w:firstLineChars="200"/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>满意度指标完成情况分析</w:t>
      </w:r>
    </w:p>
    <w:p w14:paraId="34835E98">
      <w:pPr>
        <w:numPr>
          <w:ilvl w:val="0"/>
          <w:numId w:val="0"/>
        </w:numPr>
        <w:spacing w:before="1" w:line="221" w:lineRule="auto"/>
        <w:ind w:leftChars="200"/>
        <w:rPr>
          <w:rFonts w:hint="default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position w:val="20"/>
          <w:sz w:val="28"/>
          <w:szCs w:val="28"/>
          <w:lang w:val="en-US" w:eastAsia="zh-CN"/>
        </w:rPr>
        <w:t xml:space="preserve">    困难群众救助对象满意度达90%以上。</w:t>
      </w:r>
    </w:p>
    <w:p w14:paraId="3A4660BB">
      <w:pPr>
        <w:spacing w:before="231" w:line="221" w:lineRule="auto"/>
        <w:ind w:left="1096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</w:rPr>
        <w:t>三、</w:t>
      </w:r>
      <w:r>
        <w:rPr>
          <w:rFonts w:hint="eastAsia" w:ascii="宋体" w:hAnsi="宋体" w:eastAsia="宋体" w:cs="宋体"/>
          <w:color w:val="auto"/>
          <w:spacing w:val="-5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28"/>
          <w:szCs w:val="28"/>
        </w:rPr>
        <w:t>偏离绩效目标的原因和下一步改进措施</w:t>
      </w:r>
    </w:p>
    <w:p w14:paraId="7771A462">
      <w:pPr>
        <w:spacing w:before="197" w:line="221" w:lineRule="auto"/>
        <w:ind w:left="1096"/>
        <w:outlineLvl w:val="0"/>
        <w:rPr>
          <w:rFonts w:hint="eastAsia" w:ascii="宋体" w:hAnsi="宋体" w:eastAsia="宋体" w:cs="宋体"/>
          <w:color w:val="auto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val="en-US" w:eastAsia="zh-CN"/>
        </w:rPr>
        <w:t>无偏离绩效目标。</w:t>
      </w:r>
    </w:p>
    <w:p w14:paraId="17FF4603">
      <w:pPr>
        <w:numPr>
          <w:ilvl w:val="0"/>
          <w:numId w:val="5"/>
        </w:numPr>
        <w:spacing w:before="197" w:line="221" w:lineRule="auto"/>
        <w:ind w:left="1096"/>
        <w:outlineLvl w:val="0"/>
        <w:rPr>
          <w:rFonts w:hint="eastAsia" w:ascii="宋体" w:hAnsi="宋体" w:eastAsia="宋体" w:cs="宋体"/>
          <w:b/>
          <w:bCs/>
          <w:color w:val="auto"/>
          <w:spacing w:val="-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9"/>
          <w:sz w:val="28"/>
          <w:szCs w:val="28"/>
        </w:rPr>
        <w:t>绩效自评结果拟应用和公开情况</w:t>
      </w:r>
    </w:p>
    <w:p w14:paraId="1CD23DCA">
      <w:pPr>
        <w:numPr>
          <w:ilvl w:val="0"/>
          <w:numId w:val="0"/>
        </w:numPr>
        <w:spacing w:before="197" w:line="221" w:lineRule="auto"/>
        <w:outlineLvl w:val="0"/>
        <w:rPr>
          <w:rFonts w:hint="default" w:ascii="宋体" w:hAnsi="宋体" w:eastAsia="宋体" w:cs="宋体"/>
          <w:b/>
          <w:bCs/>
          <w:color w:val="auto"/>
          <w:spacing w:val="-9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-9"/>
          <w:sz w:val="28"/>
          <w:szCs w:val="28"/>
          <w:lang w:val="en-US" w:eastAsia="zh-CN"/>
        </w:rPr>
        <w:t xml:space="preserve">         按要求进行公开。</w:t>
      </w:r>
    </w:p>
    <w:p w14:paraId="24428987">
      <w:pPr>
        <w:spacing w:before="215" w:line="221" w:lineRule="auto"/>
        <w:ind w:left="1096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9"/>
          <w:sz w:val="28"/>
          <w:szCs w:val="28"/>
        </w:rPr>
        <w:t>五、</w:t>
      </w:r>
      <w:r>
        <w:rPr>
          <w:rFonts w:hint="eastAsia" w:ascii="宋体" w:hAnsi="宋体" w:eastAsia="宋体" w:cs="宋体"/>
          <w:color w:val="auto"/>
          <w:spacing w:val="-8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9"/>
          <w:sz w:val="28"/>
          <w:szCs w:val="28"/>
        </w:rPr>
        <w:t>其他需要说明的问题</w:t>
      </w:r>
    </w:p>
    <w:p w14:paraId="21D45CDC">
      <w:pPr>
        <w:spacing w:before="214" w:line="224" w:lineRule="auto"/>
        <w:ind w:left="1096" w:firstLine="278" w:firstLineChars="100"/>
        <w:outlineLvl w:val="0"/>
        <w:rPr>
          <w:rFonts w:hint="eastAsia" w:ascii="宋体" w:hAnsi="宋体" w:eastAsia="宋体" w:cs="宋体"/>
          <w:color w:val="auto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val="en-US" w:eastAsia="zh-CN"/>
        </w:rPr>
        <w:t>无</w:t>
      </w:r>
    </w:p>
    <w:p w14:paraId="4CE83F8D">
      <w:pPr>
        <w:spacing w:before="214" w:line="224" w:lineRule="auto"/>
        <w:ind w:left="1096"/>
        <w:outlineLvl w:val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26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pacing w:val="-4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26"/>
          <w:sz w:val="28"/>
          <w:szCs w:val="28"/>
        </w:rPr>
        <w:t>附件</w:t>
      </w:r>
    </w:p>
    <w:p w14:paraId="2890A0AB">
      <w:pPr>
        <w:spacing w:before="193" w:line="219" w:lineRule="auto"/>
        <w:ind w:left="1092"/>
        <w:rPr>
          <w:rFonts w:hint="eastAsia" w:ascii="宋体" w:hAnsi="宋体" w:eastAsia="宋体" w:cs="宋体"/>
          <w:color w:val="auto"/>
        </w:rPr>
        <w:sectPr>
          <w:footerReference r:id="rId5" w:type="default"/>
          <w:pgSz w:w="12250" w:h="17060"/>
          <w:pgMar w:top="1450" w:right="1837" w:bottom="400" w:left="1837" w:header="0" w:footer="0" w:gutter="0"/>
          <w:cols w:space="720" w:num="1"/>
        </w:sectPr>
      </w:pPr>
      <w:r>
        <w:rPr>
          <w:rFonts w:hint="eastAsia" w:ascii="宋体" w:hAnsi="宋体" w:eastAsia="宋体" w:cs="宋体"/>
          <w:color w:val="auto"/>
          <w:spacing w:val="17"/>
          <w:sz w:val="28"/>
          <w:szCs w:val="28"/>
        </w:rPr>
        <w:t>转移支付区域(项目)绩效目标自评表</w:t>
      </w:r>
    </w:p>
    <w:p w14:paraId="5AAAA03E">
      <w:pPr>
        <w:spacing w:before="200" w:line="870" w:lineRule="exact"/>
        <w:textAlignment w:val="center"/>
        <w:rPr>
          <w:color w:val="auto"/>
        </w:rPr>
      </w:pPr>
    </w:p>
    <w:sectPr>
      <w:footerReference r:id="rId6" w:type="default"/>
      <w:type w:val="continuous"/>
      <w:pgSz w:w="11900" w:h="16820"/>
      <w:pgMar w:top="1429" w:right="1785" w:bottom="400" w:left="1619" w:header="0" w:footer="0" w:gutter="0"/>
      <w:cols w:equalWidth="0" w:num="1">
        <w:col w:w="8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BFCB2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3976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E6C7"/>
    <w:multiLevelType w:val="singleLevel"/>
    <w:tmpl w:val="9AE6E6C7"/>
    <w:lvl w:ilvl="0" w:tentative="0">
      <w:start w:val="2"/>
      <w:numFmt w:val="chineseCounting"/>
      <w:suff w:val="nothing"/>
      <w:lvlText w:val="（%1）"/>
      <w:lvlJc w:val="left"/>
      <w:pPr>
        <w:ind w:left="-108"/>
      </w:pPr>
      <w:rPr>
        <w:rFonts w:hint="eastAsia"/>
      </w:rPr>
    </w:lvl>
  </w:abstractNum>
  <w:abstractNum w:abstractNumId="1">
    <w:nsid w:val="DA4305E2"/>
    <w:multiLevelType w:val="singleLevel"/>
    <w:tmpl w:val="DA4305E2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0FB06D7"/>
    <w:multiLevelType w:val="singleLevel"/>
    <w:tmpl w:val="50FB06D7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3D7125F"/>
    <w:multiLevelType w:val="singleLevel"/>
    <w:tmpl w:val="63D7125F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738411D4"/>
    <w:multiLevelType w:val="singleLevel"/>
    <w:tmpl w:val="738411D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NhMTA5MWUwMjQ5ODliYzMyYjk0YjljYmI1ZjY2NTMifQ=="/>
  </w:docVars>
  <w:rsids>
    <w:rsidRoot w:val="00000000"/>
    <w:rsid w:val="02B0537A"/>
    <w:rsid w:val="03500781"/>
    <w:rsid w:val="0C77233A"/>
    <w:rsid w:val="0F92304A"/>
    <w:rsid w:val="10FA71C4"/>
    <w:rsid w:val="22EC1AEA"/>
    <w:rsid w:val="2C183950"/>
    <w:rsid w:val="2E9F5C62"/>
    <w:rsid w:val="2F3378A1"/>
    <w:rsid w:val="32677044"/>
    <w:rsid w:val="3F93536F"/>
    <w:rsid w:val="42644DA1"/>
    <w:rsid w:val="42BB357B"/>
    <w:rsid w:val="42E47C90"/>
    <w:rsid w:val="45F75F2C"/>
    <w:rsid w:val="4CBF0B25"/>
    <w:rsid w:val="4FF04118"/>
    <w:rsid w:val="52102850"/>
    <w:rsid w:val="5485712C"/>
    <w:rsid w:val="59CE4E30"/>
    <w:rsid w:val="5E7F7422"/>
    <w:rsid w:val="602045A6"/>
    <w:rsid w:val="61A63006"/>
    <w:rsid w:val="63E1404C"/>
    <w:rsid w:val="643E324C"/>
    <w:rsid w:val="653034CA"/>
    <w:rsid w:val="657276C8"/>
    <w:rsid w:val="66D67F82"/>
    <w:rsid w:val="68DA6A04"/>
    <w:rsid w:val="737F2F3A"/>
    <w:rsid w:val="765554C9"/>
    <w:rsid w:val="7F694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595</Words>
  <Characters>677</Characters>
  <TotalTime>97</TotalTime>
  <ScaleCrop>false</ScaleCrop>
  <LinksUpToDate>false</LinksUpToDate>
  <CharactersWithSpaces>688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2023-04-18T17:28:00Z</dcterms:created>
  <dc:creator>Kingsoft-PDF</dc:creator>
  <cp:lastModifiedBy>以沫</cp:lastModifiedBy>
  <dcterms:modified xsi:type="dcterms:W3CDTF">2025-03-11T01:39:39Z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2023-04-18T09:29:00Z</vt:filetime>
  </property>
  <property fmtid="{D5CDD505-2E9C-101B-9397-08002B2CF9AE}" pid="4" name="UsrData">
    <vt:lpwstr>643df24ca2d7b000154435ed</vt:lpwstr>
  </property>
  <property fmtid="{D5CDD505-2E9C-101B-9397-08002B2CF9AE}" pid="5" name="KSOProductBuildVer">
    <vt:lpwstr>2052-12.1.0.20305</vt:lpwstr>
  </property>
  <property fmtid="{D5CDD505-2E9C-101B-9397-08002B2CF9AE}" pid="6" name="ICV">
    <vt:lpwstr>79380634F15E46869D5BD097049D4F44_13</vt:lpwstr>
  </property>
  <property fmtid="{D5CDD505-2E9C-101B-9397-08002B2CF9AE}" pid="7" name="KSOTemplateDocerSaveRecord">
    <vt:lpwstr>eyJoZGlkIjoiNjdhMjdlOGUxZTk4MjcxMDk4MzA4NGEyMzVjYmU1N2EiLCJ1c2VySWQiOiIyODM0MjAyMTYifQ==</vt:lpwstr>
  </property>
</Properties>
</file>