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0D39C">
      <w:pPr>
        <w:pStyle w:val="3"/>
        <w:keepNext w:val="0"/>
        <w:keepLines w:val="0"/>
        <w:widowControl/>
        <w:suppressLineNumbers w:val="0"/>
        <w:ind w:firstLine="640" w:firstLineChars="200"/>
      </w:pPr>
      <w:r>
        <w:rPr>
          <w:rFonts w:ascii="仿宋_GB2312" w:eastAsia="仿宋_GB2312" w:cs="仿宋_GB2312"/>
          <w:spacing w:val="0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2021年度政府信息公开工作年度报告编制和发布工作的通知》（皖政务办秘〔2021〕37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2021年1月1日至12月31日。</w:t>
      </w:r>
      <w:r>
        <w:rPr>
          <w:rFonts w:hint="default" w:ascii="仿宋_GB2312" w:eastAsia="仿宋_GB2312" w:cs="仿宋_GB2312"/>
          <w:spacing w:val="0"/>
          <w:sz w:val="32"/>
          <w:szCs w:val="32"/>
        </w:rPr>
        <w:t>报告的电子版可在淮南市八公山区政府信息公开网“政府信息公开年报”栏目中下载（http://www.bagongshan.gov.cn）。如对本报告有任何疑问，请与淮南市八公山区人民政府办公室联系（地址：淮南市八公山区丁山路1号区政府大院307房间，电话：0554-2199081，邮编：232072）。</w:t>
      </w:r>
    </w:p>
    <w:p w14:paraId="14ECCD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 一、总体情况</w:t>
      </w:r>
    </w:p>
    <w:p w14:paraId="09A73E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2021年，八公山区以习近平新时代中国特色社会主义思想为指导，全面</w:t>
      </w:r>
      <w:r>
        <w:rPr>
          <w:rFonts w:hint="eastAsia" w:asci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贯彻落实《</w:t>
      </w: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淮南市人民政府办公室2021年政务公开重点工作任务分工》”，以高质量公开助力推进治理体系和治理能力现代化，聚焦“六稳”工作、落实“六保”任务，深化“放管服”改革优化营商环境，以公开促落实、促规范、促服务。建立“疫情防控”、“双招双引”“高标准市场体系建设”等专题栏目，完善规范性文件草案说明、政策咨询等信息，共编辑八公山区人民政府公报12期，取得了一定的工作成效。</w:t>
      </w:r>
    </w:p>
    <w:p w14:paraId="2AB651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(一)主动公开情况。主动公开国民经济和社会发展第十四个五年规划纲要、国土空间规划、专项规划和区域规划等，并开设“八公山区规划蓝图”专题，及时发布文字解读和图片解读，帮助群众更好地了解八公山区</w:t>
      </w:r>
      <w:r>
        <w:rPr>
          <w:rFonts w:hint="eastAsia" w:asci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十四五</w:t>
      </w:r>
      <w:r>
        <w:rPr>
          <w:rFonts w:hint="eastAsia" w:asci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规划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。市场规划标准和监管执法信息公开：开设高标准市场体系建设专题，收集相关文件资料、工作进展及落实举措等信息，及时发布权力清单、责任清单、公共服务清单和行政权力运行结果等信息，让权力在阳光下运行，实现全流程公开。财政信息公开：按月发布财政收支及债务信息，进一步规范公开行政事业性收费项目、依据和标准，及时发布财政专项资金管理清单，做好一事一议等专项资金使用分配结果情况发布。常态化疫情防控信息公开：开设疫情防控工作专栏，转载安徽省每日报告新冠肺炎疫情情况，发布八公山区发热门诊点、疫苗接种网点、核酸检测机构以及相关工作举措、工作会议、工作推进、上级通告、专家建议等信息，成为我区群众了解疫情防控工作的主要渠道。其他领域信息公开：依规发布“放管服”改革、三大攻坚战、高质量发展等群众关心的重点工作信息近千条。</w:t>
      </w:r>
    </w:p>
    <w:p w14:paraId="02FDFF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（二）依申请公开情况。2021年，全区收到政府信息依申请公开2件，予以公开2件，部分公开0件，不予公开0件，无法提供0件，不予处理0件，其他处理0件，总计按时办结2件，结转下一年办理0件。</w:t>
      </w:r>
    </w:p>
    <w:p w14:paraId="4E8932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（三）政府信息管理情况。完善公开机制，丰富公开内容。一是领导亲自把关审定每一个对外公布信息。将政府信息明确为“主动公开”、“依申请公开”和“不予公开”等类别，并对不予公开的说明具体理由。二是建立健全工作机制。区直各部门要主动上报各类政府信息，由区政府信息公开领导小组办公室统一收集整理，再上报政府信息公开领导小组公开，确保信息及时、准确、全面公开。</w:t>
      </w:r>
    </w:p>
    <w:p w14:paraId="528EF7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（四）政府信息公开平台建设。一是政府信息公开平台在做到及时更新的同时，按照相关要求新增部分子栏目与专栏，方便群众查阅。二是防止与政务公开目录避免重复信息，及时调整了基层双化目录。三是规范政策文件相关信息要求，补充完善政策问答、电话咨询等要素。</w:t>
      </w:r>
    </w:p>
    <w:p w14:paraId="7FB1B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（五）监督保障。一是规范工作考核。加大督查力度，对各单位制度建立和执行情况进行专项检查，每月针对信息发布情况及存在问题进行全区通报，促进工作作风改进。二是完善社会评议制度。定期向各部门、各乡镇（街道）收集群众反馈的政务公开工作信息，及时调整和完善社会评议制度。三是强化责任追究。把政务公开由“一阵风”模式转变成常态化工作，对不履行政务公开义务而发生的问题进行责任追究。</w:t>
      </w:r>
    </w:p>
    <w:p w14:paraId="1F6298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/>
        <w:ind w:left="580" w:right="0"/>
        <w:jc w:val="both"/>
        <w:rPr>
          <w:i w:val="0"/>
          <w:iCs w:val="0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1BFF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i w:val="0"/>
          <w:iCs w:val="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tbl>
      <w:tblPr>
        <w:tblStyle w:val="4"/>
        <w:tblW w:w="0" w:type="auto"/>
        <w:tblInd w:w="5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1923"/>
        <w:gridCol w:w="1924"/>
        <w:gridCol w:w="1924"/>
      </w:tblGrid>
      <w:tr w14:paraId="52BBCF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1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1E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3076" w:right="3059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第二十条第（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59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一） 项</w:t>
            </w:r>
          </w:p>
        </w:tc>
      </w:tr>
      <w:tr w14:paraId="0757D4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31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0" w:right="592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92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410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本年制发件数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7D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411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4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412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现行有效件数</w:t>
            </w:r>
          </w:p>
        </w:tc>
      </w:tr>
      <w:tr w14:paraId="00D27F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09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0" w:afterAutospacing="0" w:line="264" w:lineRule="atLeast"/>
              <w:ind w:left="57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25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47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21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14:paraId="7F919C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6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57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B3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91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81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87</w:t>
            </w:r>
          </w:p>
        </w:tc>
      </w:tr>
      <w:tr w14:paraId="07FB62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1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B9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0" w:afterAutospacing="0" w:line="264" w:lineRule="atLeast"/>
              <w:ind w:left="3076" w:right="3059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第二十条第（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59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五） 项</w:t>
            </w:r>
          </w:p>
        </w:tc>
      </w:tr>
      <w:tr w14:paraId="4A0EA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1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0" w:right="592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2C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2216" w:right="2199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本年处理决定数量</w:t>
            </w:r>
          </w:p>
        </w:tc>
      </w:tr>
      <w:tr w14:paraId="67406A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5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57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85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223</w:t>
            </w:r>
          </w:p>
        </w:tc>
      </w:tr>
      <w:tr w14:paraId="01A233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1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A8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0" w:afterAutospacing="0" w:line="264" w:lineRule="atLeast"/>
              <w:ind w:left="3076" w:right="3059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第二十条第（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59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六） 项</w:t>
            </w:r>
          </w:p>
        </w:tc>
      </w:tr>
      <w:tr w14:paraId="4D1C4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1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0" w:right="592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4F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64" w:lineRule="atLeast"/>
              <w:ind w:left="2216" w:right="2199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本年处理决定数量</w:t>
            </w:r>
          </w:p>
        </w:tc>
      </w:tr>
      <w:tr w14:paraId="479E0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BF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0" w:afterAutospacing="0" w:line="264" w:lineRule="atLeast"/>
              <w:ind w:left="57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306</w:t>
            </w:r>
          </w:p>
        </w:tc>
      </w:tr>
      <w:tr w14:paraId="38594F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E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57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49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14:paraId="38E528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1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F5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0" w:afterAutospacing="0" w:line="264" w:lineRule="atLeast"/>
              <w:ind w:left="3076" w:right="3059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第二十条第（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59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八） 项</w:t>
            </w:r>
          </w:p>
        </w:tc>
      </w:tr>
      <w:tr w14:paraId="2524FE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A6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0" w:right="592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42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264" w:lineRule="atLeast"/>
              <w:ind w:left="1735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本年收费金额（ 单位： 万元）</w:t>
            </w:r>
          </w:p>
        </w:tc>
      </w:tr>
      <w:tr w14:paraId="759DA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7E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9" w:beforeAutospacing="0" w:after="0" w:afterAutospacing="0" w:line="264" w:lineRule="atLeast"/>
              <w:ind w:left="57" w:right="0"/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78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</w:rPr>
              <w:t>129</w:t>
            </w:r>
          </w:p>
        </w:tc>
      </w:tr>
    </w:tbl>
    <w:p w14:paraId="26FD1E61">
      <w:pPr>
        <w:keepNext w:val="0"/>
        <w:keepLines w:val="0"/>
        <w:widowControl/>
        <w:suppressLineNumbers w:val="0"/>
        <w:jc w:val="left"/>
      </w:pPr>
    </w:p>
    <w:p w14:paraId="34CE99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" w:beforeAutospacing="0" w:after="27" w:afterAutospacing="0"/>
        <w:ind w:left="58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0" w:type="auto"/>
        <w:tblInd w:w="2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407"/>
        <w:gridCol w:w="2159"/>
        <w:gridCol w:w="591"/>
        <w:gridCol w:w="563"/>
        <w:gridCol w:w="563"/>
        <w:gridCol w:w="557"/>
        <w:gridCol w:w="557"/>
        <w:gridCol w:w="542"/>
        <w:gridCol w:w="541"/>
      </w:tblGrid>
      <w:tr w14:paraId="41F0C3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2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18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565778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 </w:t>
            </w:r>
          </w:p>
          <w:p w14:paraId="26F0B1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15" w:lineRule="atLeast"/>
              <w:ind w:left="108" w:right="111"/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83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264" w:lineRule="atLeast"/>
              <w:ind w:left="1548" w:right="1532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1F270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2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BC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56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 </w:t>
            </w:r>
          </w:p>
          <w:p w14:paraId="459E90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94" w:right="77" w:hanging="101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8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64" w:lineRule="atLeast"/>
              <w:ind w:left="77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17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5928DA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04570F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9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7C1B5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42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B2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B5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DA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 </w:t>
            </w:r>
          </w:p>
          <w:p w14:paraId="522B3A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95" w:right="75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F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 </w:t>
            </w:r>
          </w:p>
          <w:p w14:paraId="3A741A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94" w:right="76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85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15" w:lineRule="atLeast"/>
              <w:ind w:left="94" w:right="76"/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社会公益</w:t>
            </w:r>
          </w:p>
          <w:p w14:paraId="2EBCDC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4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组织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5A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15" w:lineRule="atLeast"/>
              <w:ind w:left="93" w:right="77"/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法律服务</w:t>
            </w:r>
          </w:p>
          <w:p w14:paraId="12C23B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93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4B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 </w:t>
            </w:r>
          </w:p>
          <w:p w14:paraId="4BBB23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264" w:lineRule="atLeast"/>
              <w:ind w:left="9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39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9E6E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2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E5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264" w:lineRule="atLeast"/>
              <w:ind w:left="5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9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B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7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E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2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F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1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542903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2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41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264" w:lineRule="atLeast"/>
              <w:ind w:left="5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A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5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B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4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A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0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A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3967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DC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97C79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26FFB9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C7877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7AE1A1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1DB2B2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0868F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334BAF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2680DB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17E31E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558FCC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1B7C04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717E0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0DA1DB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226DF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10FD3F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5D5AD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6" w:beforeAutospacing="0" w:after="0" w:afterAutospacing="0" w:line="15" w:lineRule="atLeast"/>
              <w:ind w:left="55" w:right="37"/>
            </w:pPr>
            <w:r>
              <w:rPr>
                <w:rFonts w:hint="eastAsia" w:ascii="宋体" w:hAnsi="宋体" w:eastAsia="宋体" w:cs="宋体"/>
                <w:spacing w:val="-24"/>
                <w:sz w:val="20"/>
                <w:szCs w:val="20"/>
              </w:rPr>
              <w:t>三、本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4E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264" w:lineRule="atLeast"/>
              <w:ind w:left="5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pacing w:val="58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一）</w:t>
            </w:r>
            <w:r>
              <w:rPr>
                <w:rFonts w:hint="eastAsia" w:ascii="宋体" w:hAnsi="宋体" w:eastAsia="宋体" w:cs="宋体"/>
                <w:spacing w:val="58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予以公开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E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3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9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7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F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8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9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3B420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1D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89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264" w:lineRule="atLeast"/>
              <w:ind w:left="5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 二） 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</w:t>
            </w:r>
          </w:p>
          <w:p w14:paraId="317F3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6" w:beforeAutospacing="0" w:after="0" w:afterAutospacing="0" w:line="264" w:lineRule="atLeast"/>
              <w:ind w:left="55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一情形，不计其他情形）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2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A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F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5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9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D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1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93F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60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8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DEAF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266352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5795B2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14"/>
                <w:szCs w:val="14"/>
              </w:rPr>
              <w:t> </w:t>
            </w:r>
          </w:p>
          <w:p w14:paraId="5C2117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55" w:right="132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 三） 不予公开</w:t>
            </w: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26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5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A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9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6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1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B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C4F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CB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D0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5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B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F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6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3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8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6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0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23F2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D6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7A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23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1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E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0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7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2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4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5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B99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DD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ED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51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7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8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1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1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6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D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3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D7A64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22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5A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49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8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1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3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4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B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B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2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C15A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49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0F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F6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B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7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D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4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1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B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D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4FCF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0F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CA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CA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9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E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A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B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A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7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346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72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78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B0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C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1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0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A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6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E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7A08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72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B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7" w:beforeAutospacing="0" w:after="0" w:afterAutospacing="0" w:line="15" w:lineRule="atLeast"/>
              <w:ind w:left="55" w:right="132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 四） 无法提供</w:t>
            </w: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A5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D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E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5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0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3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A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D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D6BAE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F1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EE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27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9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F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1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7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0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C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6E1B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5F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81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1E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9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8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F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C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4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6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B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51CF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E0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C2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5C447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4AF0F8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15" w:lineRule="atLeast"/>
              <w:ind w:left="55" w:right="132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 五） 不予处理</w:t>
            </w: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6D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D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0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9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E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7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F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44599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03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57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E4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2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E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6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1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8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C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C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15193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9A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E6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47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1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9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3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7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8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F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8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E7AE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8F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9D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3D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3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D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A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9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D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E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D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3DF4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7F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95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D3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0" w:afterAutospacing="0" w:line="15" w:lineRule="atLeast"/>
              <w:ind w:left="56" w:right="34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3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6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9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A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B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B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262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46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67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1A3A09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  <w:p w14:paraId="1E96E1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 w:line="264" w:lineRule="atLeast"/>
              <w:ind w:left="0" w:right="0"/>
            </w:pPr>
            <w:r>
              <w:rPr>
                <w:rFonts w:hint="eastAsia" w:ascii="黑体" w:hAnsi="宋体" w:eastAsia="黑体" w:cs="黑体"/>
                <w:sz w:val="14"/>
                <w:szCs w:val="14"/>
              </w:rPr>
              <w:t> </w:t>
            </w:r>
          </w:p>
          <w:p w14:paraId="19337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55" w:right="132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 六） 其他处理</w:t>
            </w: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87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15" w:lineRule="atLeast"/>
              <w:ind w:left="56" w:right="33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</w:t>
            </w:r>
          </w:p>
          <w:p w14:paraId="518F41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信息公开申请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B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2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4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C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9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4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EAC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45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46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72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5" w:beforeAutospacing="0" w:after="0" w:afterAutospacing="0" w:line="15" w:lineRule="atLeast"/>
              <w:ind w:left="56" w:right="33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</w:t>
            </w:r>
          </w:p>
          <w:p w14:paraId="206529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理其政府信息公开申请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C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9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3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7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D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8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D2E3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6B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08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6E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264" w:lineRule="atLeast"/>
              <w:ind w:left="56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C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7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A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4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F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9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5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1BE61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45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E4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64" w:lineRule="atLeast"/>
              <w:ind w:left="5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pacing w:val="6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七）</w:t>
            </w:r>
            <w:r>
              <w:rPr>
                <w:rFonts w:hint="eastAsia" w:ascii="宋体" w:hAnsi="宋体" w:eastAsia="宋体" w:cs="宋体"/>
                <w:spacing w:val="61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7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6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7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1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7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4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1FC0F6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42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BF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6" w:beforeAutospacing="0" w:after="0" w:afterAutospacing="0" w:line="264" w:lineRule="atLeast"/>
              <w:ind w:left="55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53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0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0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6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F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9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F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5208EA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" w:beforeAutospacing="0" w:after="0" w:afterAutospacing="0"/>
        <w:ind w:left="58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7A56FE79"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0" w:type="auto"/>
        <w:tblInd w:w="53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518"/>
        <w:gridCol w:w="518"/>
        <w:gridCol w:w="518"/>
        <w:gridCol w:w="519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25"/>
      </w:tblGrid>
      <w:tr w14:paraId="50DC5F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2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E1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264" w:lineRule="atLeast"/>
              <w:ind w:left="877" w:right="858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CB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264" w:lineRule="atLeast"/>
              <w:ind w:left="2179" w:right="2163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行政诉讼</w:t>
            </w:r>
          </w:p>
        </w:tc>
      </w:tr>
      <w:tr w14:paraId="05B318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C2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  <w:p w14:paraId="6CD17E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59" w:right="138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96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  <w:p w14:paraId="39DA86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58" w:right="139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C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  <w:p w14:paraId="5C98F5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58" w:right="139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8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  <w:p w14:paraId="63D69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57" w:right="1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46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 w14:paraId="6175C3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 w14:paraId="1EDF97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59" w:right="139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99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5" w:beforeAutospacing="0" w:after="0" w:afterAutospacing="0" w:line="264" w:lineRule="atLeast"/>
              <w:ind w:left="498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88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5" w:beforeAutospacing="0" w:after="0" w:afterAutospacing="0" w:line="264" w:lineRule="atLeast"/>
              <w:ind w:left="802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复议后起诉</w:t>
            </w:r>
          </w:p>
        </w:tc>
      </w:tr>
      <w:tr w14:paraId="779FE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A4B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B13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D4F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A7A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D80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2F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7" w:right="1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结果维</w:t>
            </w:r>
          </w:p>
          <w:p w14:paraId="31F52F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7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持</w:t>
            </w: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5B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9" w:right="138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结果纠</w:t>
            </w:r>
          </w:p>
          <w:p w14:paraId="0551BE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9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正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41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8" w:right="1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其他结</w:t>
            </w:r>
          </w:p>
          <w:p w14:paraId="39C7E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8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果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5E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9" w:right="139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尚未审</w:t>
            </w:r>
          </w:p>
          <w:p w14:paraId="3DB05D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9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4D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 </w:t>
            </w:r>
          </w:p>
          <w:p w14:paraId="6CBF0F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60" w:right="138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9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8" w:right="1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结果维</w:t>
            </w:r>
          </w:p>
          <w:p w14:paraId="313A89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8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持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BC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9" w:right="139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结果纠</w:t>
            </w:r>
          </w:p>
          <w:p w14:paraId="5A0183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9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正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F5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60" w:right="138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其他结</w:t>
            </w:r>
          </w:p>
          <w:p w14:paraId="48450C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6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果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C8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15" w:lineRule="atLeast"/>
              <w:ind w:left="158" w:right="1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尚未审</w:t>
            </w:r>
          </w:p>
          <w:p w14:paraId="14B693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158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17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 w:line="264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  <w:t> </w:t>
            </w:r>
          </w:p>
          <w:p w14:paraId="29107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162" w:right="141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 w14:paraId="5940FB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5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A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1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C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6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0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1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8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7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0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C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B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D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8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A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7D126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376F57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51A44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vertAlign w:val="subscript"/>
        </w:rPr>
        <w:t>五、存在的主要问题及改进情况</w:t>
      </w:r>
    </w:p>
    <w:p w14:paraId="17EC3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今年以来，八公山区政务公开工作取得了一定成绩，但与上级的要求、公众期望相比，还存在一些差距和不足。主要问题有：一是政府信息公开的内容不尽全面，时效性有待提高，政府信息公开形式较单一；二是政府信息公开的力度有待进一步加强；三是主动向社会公开政府信息的领域有待进一步扩展。为此区统一认识，提出以下具体完善措施：一是加强信息公开工作力度。进一步收集与梳理有关政府信息，及时上报与公开，方便公众查询；二是强化管理，建好信息公开平台。及时更新、完善区人民政府政务网信息公开目录有关信息，提高在群众中的知名度和认可度；三是落实责任，完善信息公开工作机制。明确信息公开工作责任领导、责任人，加强信息公开工作的领导力度，明确信息公开工作人员责任，确保能继续及时、准确公布各项信息，方便群众了解，提高工作水平。</w:t>
      </w:r>
    </w:p>
    <w:p w14:paraId="098180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579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023220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60ACB6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按照群众需求，制定了村务、社区事务公开事项目录，方便群众办事及咨询相关政策文件。同时顺利完成了区级政务公开专区建设，设立政策咨询综合服务台，配备触摸屏、电脑、打印机等设备，印发《政府公报》《个人办事一本通》《企业办事一本通》等书籍，供群众随时查阅。</w:t>
      </w:r>
    </w:p>
    <w:p w14:paraId="0133E721"/>
    <w:p w14:paraId="3A262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A5MjMzOGQ2ZDI4YzA5NGE0Nzk3NzQ1OWQ2YzMifQ=="/>
  </w:docVars>
  <w:rsids>
    <w:rsidRoot w:val="3A72304E"/>
    <w:rsid w:val="3A72304E"/>
    <w:rsid w:val="42C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1863</Words>
  <Characters>1945</Characters>
  <Lines>0</Lines>
  <Paragraphs>0</Paragraphs>
  <TotalTime>1</TotalTime>
  <ScaleCrop>false</ScaleCrop>
  <LinksUpToDate>false</LinksUpToDate>
  <CharactersWithSpaces>1961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2023-08-13T07:57:00Z</dcterms:created>
  <dc:creator>熊贰</dc:creator>
  <cp:lastModifiedBy>南方的树</cp:lastModifiedBy>
  <dcterms:modified xsi:type="dcterms:W3CDTF">2024-12-16T09:15:37Z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8E48156747884BB79806CC3969D81D30_11</vt:lpwstr>
  </property>
</Properties>
</file>