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F667C">
      <w:pPr>
        <w:keepNext w:val="0"/>
        <w:keepLines w:val="0"/>
        <w:pageBreakBefore w:val="0"/>
        <w:widowControl w:val="0"/>
        <w:kinsoku/>
        <w:wordWrap/>
        <w:overflowPunct/>
        <w:autoSpaceDE/>
        <w:autoSpaceDN/>
        <w:bidi w:val="0"/>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八公山区202</w:t>
      </w:r>
      <w:r>
        <w:rPr>
          <w:rFonts w:hint="eastAsia" w:ascii="方正小标宋_GBK" w:hAnsi="方正小标宋_GBK" w:eastAsia="方正小标宋_GBK" w:cs="方正小标宋_GBK"/>
          <w:color w:val="auto"/>
          <w:sz w:val="44"/>
          <w:szCs w:val="44"/>
          <w:lang w:val="en-US" w:eastAsia="zh-CN"/>
        </w:rPr>
        <w:t>3</w:t>
      </w:r>
      <w:r>
        <w:rPr>
          <w:rFonts w:hint="eastAsia" w:ascii="方正小标宋_GBK" w:hAnsi="方正小标宋_GBK" w:eastAsia="方正小标宋_GBK" w:cs="方正小标宋_GBK"/>
          <w:color w:val="auto"/>
          <w:sz w:val="44"/>
          <w:szCs w:val="44"/>
        </w:rPr>
        <w:t>年财政决算草案和202</w:t>
      </w:r>
      <w:r>
        <w:rPr>
          <w:rFonts w:hint="eastAsia" w:ascii="方正小标宋_GBK" w:hAnsi="方正小标宋_GBK" w:eastAsia="方正小标宋_GBK" w:cs="方正小标宋_GBK"/>
          <w:color w:val="auto"/>
          <w:sz w:val="44"/>
          <w:szCs w:val="44"/>
          <w:lang w:val="en-US" w:eastAsia="zh-CN"/>
        </w:rPr>
        <w:t>4</w:t>
      </w:r>
      <w:r>
        <w:rPr>
          <w:rFonts w:hint="eastAsia" w:ascii="方正小标宋_GBK" w:hAnsi="方正小标宋_GBK" w:eastAsia="方正小标宋_GBK" w:cs="方正小标宋_GBK"/>
          <w:color w:val="auto"/>
          <w:sz w:val="44"/>
          <w:szCs w:val="44"/>
        </w:rPr>
        <w:t>年上半年财政预算执行情况的报告</w:t>
      </w:r>
    </w:p>
    <w:p w14:paraId="6DB57CE1">
      <w:pPr>
        <w:keepNext w:val="0"/>
        <w:keepLines w:val="0"/>
        <w:pageBreakBefore w:val="0"/>
        <w:widowControl w:val="0"/>
        <w:kinsoku/>
        <w:wordWrap/>
        <w:overflowPunct/>
        <w:autoSpaceDE/>
        <w:autoSpaceDN/>
        <w:bidi w:val="0"/>
        <w:spacing w:line="560" w:lineRule="exact"/>
        <w:ind w:left="3200" w:hanging="2800" w:hangingChars="1000"/>
        <w:jc w:val="center"/>
        <w:textAlignment w:val="auto"/>
        <w:rPr>
          <w:rFonts w:hint="eastAsia" w:hAnsi="楷体"/>
          <w:color w:val="auto"/>
          <w:spacing w:val="-20"/>
          <w:sz w:val="32"/>
          <w:szCs w:val="32"/>
          <w:highlight w:val="none"/>
          <w:lang w:eastAsia="zh-CN"/>
        </w:rPr>
      </w:pPr>
    </w:p>
    <w:p w14:paraId="1B352098">
      <w:pPr>
        <w:keepNext w:val="0"/>
        <w:keepLines w:val="0"/>
        <w:pageBreakBefore w:val="0"/>
        <w:widowControl w:val="0"/>
        <w:kinsoku/>
        <w:wordWrap/>
        <w:overflowPunct/>
        <w:autoSpaceDE/>
        <w:autoSpaceDN/>
        <w:bidi w:val="0"/>
        <w:spacing w:line="560" w:lineRule="exact"/>
        <w:ind w:left="3200" w:hanging="2800" w:hangingChars="1000"/>
        <w:jc w:val="center"/>
        <w:textAlignment w:val="auto"/>
        <w:rPr>
          <w:rFonts w:hint="eastAsia" w:hAnsi="楷体"/>
          <w:color w:val="auto"/>
          <w:spacing w:val="-20"/>
          <w:sz w:val="32"/>
          <w:szCs w:val="32"/>
          <w:highlight w:val="none"/>
          <w:lang w:val="en-US" w:eastAsia="zh-CN"/>
        </w:rPr>
      </w:pPr>
      <w:r>
        <w:rPr>
          <w:rFonts w:hint="eastAsia" w:hAnsi="楷体"/>
          <w:color w:val="auto"/>
          <w:spacing w:val="-20"/>
          <w:sz w:val="32"/>
          <w:szCs w:val="32"/>
          <w:highlight w:val="none"/>
          <w:lang w:eastAsia="zh-CN"/>
        </w:rPr>
        <w:t>——</w:t>
      </w:r>
      <w:r>
        <w:rPr>
          <w:rFonts w:hAnsi="楷体"/>
          <w:color w:val="auto"/>
          <w:spacing w:val="-20"/>
          <w:sz w:val="32"/>
          <w:szCs w:val="32"/>
          <w:highlight w:val="none"/>
        </w:rPr>
        <w:t>202</w:t>
      </w:r>
      <w:r>
        <w:rPr>
          <w:rFonts w:hint="eastAsia" w:hAnsi="楷体"/>
          <w:color w:val="auto"/>
          <w:spacing w:val="-20"/>
          <w:sz w:val="32"/>
          <w:szCs w:val="32"/>
          <w:highlight w:val="none"/>
          <w:lang w:val="en-US" w:eastAsia="zh-CN"/>
        </w:rPr>
        <w:t>4</w:t>
      </w:r>
      <w:r>
        <w:rPr>
          <w:rFonts w:hint="eastAsia" w:hAnsi="楷体"/>
          <w:color w:val="auto"/>
          <w:spacing w:val="-20"/>
          <w:sz w:val="32"/>
          <w:szCs w:val="32"/>
          <w:highlight w:val="none"/>
        </w:rPr>
        <w:t>年</w:t>
      </w:r>
      <w:r>
        <w:rPr>
          <w:rFonts w:hint="eastAsia" w:hAnsi="楷体"/>
          <w:color w:val="auto"/>
          <w:spacing w:val="-20"/>
          <w:sz w:val="32"/>
          <w:szCs w:val="32"/>
          <w:highlight w:val="none"/>
          <w:lang w:val="en-US" w:eastAsia="zh-CN"/>
        </w:rPr>
        <w:t>8</w:t>
      </w:r>
      <w:r>
        <w:rPr>
          <w:rFonts w:hint="eastAsia" w:hAnsi="楷体"/>
          <w:color w:val="auto"/>
          <w:spacing w:val="-20"/>
          <w:sz w:val="32"/>
          <w:szCs w:val="32"/>
          <w:highlight w:val="none"/>
        </w:rPr>
        <w:t>月</w:t>
      </w:r>
      <w:r>
        <w:rPr>
          <w:rFonts w:hint="eastAsia" w:hAnsi="楷体"/>
          <w:color w:val="auto"/>
          <w:spacing w:val="-20"/>
          <w:sz w:val="32"/>
          <w:szCs w:val="32"/>
          <w:highlight w:val="none"/>
          <w:lang w:val="en-US" w:eastAsia="zh-CN"/>
        </w:rPr>
        <w:t>29</w:t>
      </w:r>
      <w:r>
        <w:rPr>
          <w:rFonts w:hint="eastAsia" w:hAnsi="楷体"/>
          <w:color w:val="auto"/>
          <w:spacing w:val="-20"/>
          <w:sz w:val="32"/>
          <w:szCs w:val="32"/>
          <w:highlight w:val="none"/>
        </w:rPr>
        <w:t>日在八公</w:t>
      </w:r>
      <w:r>
        <w:rPr>
          <w:rFonts w:hint="eastAsia" w:hAnsi="楷体"/>
          <w:color w:val="auto"/>
          <w:spacing w:val="-20"/>
          <w:sz w:val="32"/>
          <w:szCs w:val="32"/>
          <w:highlight w:val="none"/>
          <w:lang w:eastAsia="zh-CN"/>
        </w:rPr>
        <w:t>山区第十八届人大常委会第十九次会议上</w:t>
      </w:r>
    </w:p>
    <w:p w14:paraId="2DF302B2">
      <w:pPr>
        <w:keepNext w:val="0"/>
        <w:keepLines w:val="0"/>
        <w:pageBreakBefore w:val="0"/>
        <w:widowControl w:val="0"/>
        <w:kinsoku/>
        <w:wordWrap/>
        <w:overflowPunct/>
        <w:autoSpaceDE/>
        <w:autoSpaceDN/>
        <w:bidi w:val="0"/>
        <w:spacing w:line="560" w:lineRule="exact"/>
        <w:ind w:left="3200" w:hanging="3200" w:hangingChars="1000"/>
        <w:jc w:val="center"/>
        <w:textAlignment w:val="auto"/>
        <w:rPr>
          <w:rFonts w:hint="default" w:hAnsi="楷体" w:eastAsia="楷体_GB2312"/>
          <w:b w:val="0"/>
          <w:bCs w:val="0"/>
          <w:color w:val="auto"/>
          <w:sz w:val="32"/>
          <w:szCs w:val="32"/>
          <w:lang w:val="en-US" w:eastAsia="zh-CN"/>
        </w:rPr>
      </w:pPr>
      <w:r>
        <w:rPr>
          <w:rFonts w:hint="eastAsia" w:hAnsi="楷体"/>
          <w:b w:val="0"/>
          <w:bCs w:val="0"/>
          <w:color w:val="auto"/>
          <w:sz w:val="32"/>
          <w:szCs w:val="32"/>
        </w:rPr>
        <w:t>区财政局</w:t>
      </w:r>
      <w:r>
        <w:rPr>
          <w:rFonts w:hint="eastAsia" w:hAnsi="楷体"/>
          <w:b w:val="0"/>
          <w:bCs w:val="0"/>
          <w:color w:val="auto"/>
          <w:sz w:val="32"/>
          <w:szCs w:val="32"/>
          <w:lang w:eastAsia="zh-CN"/>
        </w:rPr>
        <w:t>局长</w:t>
      </w:r>
      <w:r>
        <w:rPr>
          <w:rFonts w:hint="eastAsia" w:hAnsi="楷体"/>
          <w:b w:val="0"/>
          <w:bCs w:val="0"/>
          <w:color w:val="auto"/>
          <w:sz w:val="32"/>
          <w:szCs w:val="32"/>
          <w:lang w:val="en-US" w:eastAsia="zh-CN"/>
        </w:rPr>
        <w:t xml:space="preserve"> 张传云</w:t>
      </w:r>
    </w:p>
    <w:p w14:paraId="0C9A4EF9">
      <w:pPr>
        <w:keepNext w:val="0"/>
        <w:keepLines w:val="0"/>
        <w:pageBreakBefore w:val="0"/>
        <w:widowControl w:val="0"/>
        <w:kinsoku/>
        <w:wordWrap/>
        <w:overflowPunct/>
        <w:autoSpaceDE/>
        <w:autoSpaceDN/>
        <w:bidi w:val="0"/>
        <w:spacing w:line="560" w:lineRule="exact"/>
        <w:textAlignment w:val="auto"/>
        <w:rPr>
          <w:rFonts w:hint="eastAsia" w:ascii="仿宋_GB2312" w:eastAsia="仿宋_GB2312"/>
          <w:color w:val="auto"/>
          <w:sz w:val="32"/>
          <w:szCs w:val="32"/>
        </w:rPr>
      </w:pPr>
    </w:p>
    <w:p w14:paraId="4A1F08FA">
      <w:pPr>
        <w:keepNext w:val="0"/>
        <w:keepLines w:val="0"/>
        <w:pageBreakBefore w:val="0"/>
        <w:widowControl w:val="0"/>
        <w:kinsoku/>
        <w:wordWrap/>
        <w:overflowPunct/>
        <w:autoSpaceDE/>
        <w:autoSpaceDN/>
        <w:bidi w:val="0"/>
        <w:spacing w:line="560" w:lineRule="exact"/>
        <w:ind w:left="0"/>
        <w:textAlignment w:val="auto"/>
        <w:rPr>
          <w:rFonts w:ascii="仿宋_GB2312" w:eastAsia="仿宋_GB2312"/>
          <w:color w:val="auto"/>
          <w:sz w:val="36"/>
          <w:szCs w:val="36"/>
        </w:rPr>
      </w:pPr>
      <w:r>
        <w:rPr>
          <w:rFonts w:hint="eastAsia" w:ascii="仿宋_GB2312" w:eastAsia="仿宋_GB2312"/>
          <w:color w:val="auto"/>
          <w:sz w:val="36"/>
          <w:szCs w:val="36"/>
        </w:rPr>
        <w:t>主任、各位副主任、各位委员：</w:t>
      </w:r>
    </w:p>
    <w:p w14:paraId="2F46490B">
      <w:pPr>
        <w:keepNext w:val="0"/>
        <w:keepLines w:val="0"/>
        <w:pageBreakBefore w:val="0"/>
        <w:widowControl w:val="0"/>
        <w:kinsoku/>
        <w:wordWrap/>
        <w:overflowPunct/>
        <w:autoSpaceDE/>
        <w:autoSpaceDN/>
        <w:bidi w:val="0"/>
        <w:spacing w:line="560" w:lineRule="exact"/>
        <w:ind w:left="0" w:firstLine="720" w:firstLineChars="200"/>
        <w:textAlignment w:val="auto"/>
        <w:rPr>
          <w:rFonts w:ascii="Times New Roman" w:hAnsi="Times New Roman"/>
          <w:color w:val="auto"/>
          <w:sz w:val="36"/>
          <w:szCs w:val="36"/>
        </w:rPr>
      </w:pPr>
      <w:r>
        <w:rPr>
          <w:rFonts w:hint="eastAsia" w:ascii="仿宋_GB2312" w:eastAsia="仿宋_GB2312"/>
          <w:color w:val="auto"/>
          <w:sz w:val="36"/>
          <w:szCs w:val="36"/>
        </w:rPr>
        <w:t>受区人民政府委托，我向区十八届人大常委会会议作关于</w:t>
      </w:r>
      <w:r>
        <w:rPr>
          <w:rFonts w:hint="eastAsia" w:ascii="仿宋_GB2312" w:hAnsi="仿宋" w:eastAsia="仿宋_GB2312" w:cs="宋体"/>
          <w:color w:val="auto"/>
          <w:kern w:val="0"/>
          <w:sz w:val="36"/>
          <w:szCs w:val="36"/>
        </w:rPr>
        <w:t>202</w:t>
      </w:r>
      <w:r>
        <w:rPr>
          <w:rFonts w:hint="eastAsia" w:ascii="仿宋_GB2312" w:hAnsi="仿宋" w:eastAsia="仿宋_GB2312" w:cs="宋体"/>
          <w:color w:val="auto"/>
          <w:kern w:val="0"/>
          <w:sz w:val="36"/>
          <w:szCs w:val="36"/>
          <w:lang w:val="en-US" w:eastAsia="zh-CN"/>
        </w:rPr>
        <w:t>3</w:t>
      </w:r>
      <w:r>
        <w:rPr>
          <w:rFonts w:hint="eastAsia" w:ascii="仿宋_GB2312" w:hAnsi="仿宋" w:eastAsia="仿宋_GB2312" w:cs="宋体"/>
          <w:color w:val="auto"/>
          <w:kern w:val="0"/>
          <w:sz w:val="36"/>
          <w:szCs w:val="36"/>
        </w:rPr>
        <w:t>年财政决算草案和202</w:t>
      </w:r>
      <w:r>
        <w:rPr>
          <w:rFonts w:hint="eastAsia" w:ascii="仿宋_GB2312" w:hAnsi="仿宋" w:eastAsia="仿宋_GB2312" w:cs="宋体"/>
          <w:color w:val="auto"/>
          <w:kern w:val="0"/>
          <w:sz w:val="36"/>
          <w:szCs w:val="36"/>
          <w:lang w:val="en-US" w:eastAsia="zh-CN"/>
        </w:rPr>
        <w:t>4</w:t>
      </w:r>
      <w:r>
        <w:rPr>
          <w:rFonts w:hint="eastAsia" w:ascii="仿宋_GB2312" w:hAnsi="仿宋" w:eastAsia="仿宋_GB2312" w:cs="宋体"/>
          <w:color w:val="auto"/>
          <w:kern w:val="0"/>
          <w:sz w:val="36"/>
          <w:szCs w:val="36"/>
        </w:rPr>
        <w:t>年上半年财政预算执行</w:t>
      </w:r>
      <w:r>
        <w:rPr>
          <w:rFonts w:hint="eastAsia" w:ascii="仿宋_GB2312" w:eastAsia="仿宋_GB2312"/>
          <w:color w:val="auto"/>
          <w:sz w:val="36"/>
          <w:szCs w:val="36"/>
        </w:rPr>
        <w:t>情况的</w:t>
      </w:r>
      <w:r>
        <w:rPr>
          <w:rFonts w:hint="eastAsia" w:ascii="仿宋_GB2312" w:eastAsia="仿宋_GB2312"/>
          <w:color w:val="auto"/>
          <w:sz w:val="36"/>
          <w:szCs w:val="36"/>
          <w:lang w:eastAsia="zh-CN"/>
        </w:rPr>
        <w:t>报告</w:t>
      </w:r>
      <w:r>
        <w:rPr>
          <w:rFonts w:hint="eastAsia" w:ascii="仿宋_GB2312" w:eastAsia="仿宋_GB2312"/>
          <w:color w:val="auto"/>
          <w:sz w:val="36"/>
          <w:szCs w:val="36"/>
        </w:rPr>
        <w:t>，请予以审议，并请列席会议的同志提出宝贵意见。</w:t>
      </w:r>
    </w:p>
    <w:p w14:paraId="5C11297C">
      <w:pPr>
        <w:keepNext w:val="0"/>
        <w:keepLines w:val="0"/>
        <w:pageBreakBefore w:val="0"/>
        <w:widowControl w:val="0"/>
        <w:kinsoku/>
        <w:wordWrap/>
        <w:overflowPunct/>
        <w:autoSpaceDE/>
        <w:autoSpaceDN/>
        <w:bidi w:val="0"/>
        <w:spacing w:line="560" w:lineRule="exact"/>
        <w:ind w:left="0" w:firstLine="720" w:firstLineChars="200"/>
        <w:textAlignment w:val="auto"/>
        <w:rPr>
          <w:rFonts w:ascii="仿宋_GB2312" w:hAnsi="仿宋" w:eastAsia="仿宋_GB2312" w:cs="宋体"/>
          <w:color w:val="auto"/>
          <w:kern w:val="0"/>
          <w:sz w:val="36"/>
          <w:szCs w:val="36"/>
        </w:rPr>
      </w:pPr>
      <w:r>
        <w:rPr>
          <w:rFonts w:hint="eastAsia" w:ascii="黑体" w:hAnsi="黑体" w:eastAsia="黑体"/>
          <w:color w:val="auto"/>
          <w:sz w:val="36"/>
          <w:szCs w:val="36"/>
        </w:rPr>
        <w:t>一、</w:t>
      </w:r>
      <w:r>
        <w:rPr>
          <w:rFonts w:ascii="黑体" w:hAnsi="黑体" w:eastAsia="黑体"/>
          <w:color w:val="auto"/>
          <w:sz w:val="36"/>
          <w:szCs w:val="36"/>
        </w:rPr>
        <w:t>20</w:t>
      </w:r>
      <w:r>
        <w:rPr>
          <w:rFonts w:hint="eastAsia" w:ascii="黑体" w:hAnsi="黑体" w:eastAsia="黑体"/>
          <w:color w:val="auto"/>
          <w:sz w:val="36"/>
          <w:szCs w:val="36"/>
        </w:rPr>
        <w:t>2</w:t>
      </w:r>
      <w:r>
        <w:rPr>
          <w:rFonts w:hint="eastAsia" w:ascii="黑体" w:hAnsi="黑体" w:eastAsia="黑体"/>
          <w:color w:val="auto"/>
          <w:sz w:val="36"/>
          <w:szCs w:val="36"/>
          <w:lang w:val="en-US" w:eastAsia="zh-CN"/>
        </w:rPr>
        <w:t>3</w:t>
      </w:r>
      <w:r>
        <w:rPr>
          <w:rFonts w:ascii="黑体" w:hAnsi="黑体" w:eastAsia="黑体"/>
          <w:color w:val="auto"/>
          <w:sz w:val="36"/>
          <w:szCs w:val="36"/>
        </w:rPr>
        <w:t>年</w:t>
      </w:r>
      <w:r>
        <w:rPr>
          <w:rFonts w:hint="eastAsia" w:ascii="黑体" w:hAnsi="黑体" w:eastAsia="黑体"/>
          <w:color w:val="auto"/>
          <w:sz w:val="36"/>
          <w:szCs w:val="36"/>
        </w:rPr>
        <w:t>决算草案情况</w:t>
      </w:r>
    </w:p>
    <w:p w14:paraId="0D73AD36">
      <w:pPr>
        <w:keepNext w:val="0"/>
        <w:keepLines w:val="0"/>
        <w:pageBreakBefore w:val="0"/>
        <w:widowControl w:val="0"/>
        <w:kinsoku/>
        <w:wordWrap/>
        <w:overflowPunct/>
        <w:autoSpaceDE/>
        <w:autoSpaceDN/>
        <w:bidi w:val="0"/>
        <w:spacing w:line="560" w:lineRule="exact"/>
        <w:ind w:left="0" w:firstLine="720" w:firstLineChars="200"/>
        <w:textAlignment w:val="auto"/>
        <w:rPr>
          <w:rFonts w:hint="eastAsia" w:ascii="仿宋_GB2312" w:hAnsi="仿宋" w:eastAsia="仿宋_GB2312" w:cs="宋体"/>
          <w:color w:val="auto"/>
          <w:kern w:val="0"/>
          <w:sz w:val="36"/>
          <w:szCs w:val="36"/>
          <w:highlight w:val="none"/>
        </w:rPr>
      </w:pPr>
      <w:r>
        <w:rPr>
          <w:rFonts w:hint="eastAsia" w:ascii="仿宋_GB2312" w:hAnsi="仿宋" w:eastAsia="仿宋_GB2312" w:cs="宋体"/>
          <w:color w:val="auto"/>
          <w:kern w:val="0"/>
          <w:sz w:val="36"/>
          <w:szCs w:val="36"/>
          <w:highlight w:val="none"/>
        </w:rPr>
        <w:t>2023 年，是全面贯彻落实党的二十大精神的开局之年，是实施“十四五”规划承上启下的关键之年。区财政部门坚持以习近平新时代中国特色社会主义思想为指导，深入学习贯彻党的二十大精神和习近平总书记关于安徽工作的重要讲话重要指示精神，认真落实区委、区政府部署和区人大各项决议及审查意见，坚持稳中求进工作总基调，全面落实积极的财政政策，</w:t>
      </w:r>
      <w:r>
        <w:rPr>
          <w:rFonts w:hint="eastAsia" w:ascii="仿宋_GB2312" w:hAnsi="仿宋" w:eastAsia="仿宋_GB2312" w:cs="宋体"/>
          <w:color w:val="auto"/>
          <w:kern w:val="0"/>
          <w:sz w:val="36"/>
          <w:szCs w:val="36"/>
          <w:highlight w:val="none"/>
          <w:lang w:val="en-US" w:eastAsia="zh-CN"/>
        </w:rPr>
        <w:t>财政收入质量有效提升，财政支出保障坚定有力，预算执行情况总体平稳。</w:t>
      </w:r>
    </w:p>
    <w:p w14:paraId="28ED9F52">
      <w:pPr>
        <w:keepNext w:val="0"/>
        <w:keepLines w:val="0"/>
        <w:pageBreakBefore w:val="0"/>
        <w:widowControl w:val="0"/>
        <w:kinsoku/>
        <w:wordWrap/>
        <w:overflowPunct/>
        <w:autoSpaceDE/>
        <w:autoSpaceDN/>
        <w:bidi w:val="0"/>
        <w:spacing w:line="560" w:lineRule="exact"/>
        <w:ind w:left="0" w:firstLine="720" w:firstLineChars="200"/>
        <w:textAlignment w:val="auto"/>
        <w:rPr>
          <w:color w:val="auto"/>
          <w:sz w:val="36"/>
          <w:szCs w:val="36"/>
          <w:highlight w:val="none"/>
        </w:rPr>
      </w:pPr>
      <w:r>
        <w:rPr>
          <w:rFonts w:hint="eastAsia"/>
          <w:color w:val="auto"/>
          <w:sz w:val="36"/>
          <w:szCs w:val="36"/>
          <w:highlight w:val="none"/>
        </w:rPr>
        <w:t>（一）202</w:t>
      </w:r>
      <w:r>
        <w:rPr>
          <w:rFonts w:hint="eastAsia"/>
          <w:color w:val="auto"/>
          <w:sz w:val="36"/>
          <w:szCs w:val="36"/>
          <w:highlight w:val="none"/>
          <w:lang w:val="en-US" w:eastAsia="zh-CN"/>
        </w:rPr>
        <w:t>3</w:t>
      </w:r>
      <w:r>
        <w:rPr>
          <w:rFonts w:hint="eastAsia"/>
          <w:color w:val="auto"/>
          <w:sz w:val="36"/>
          <w:szCs w:val="36"/>
          <w:highlight w:val="none"/>
        </w:rPr>
        <w:t>年一般公共预算收支决算情况</w:t>
      </w:r>
    </w:p>
    <w:p w14:paraId="507571FF">
      <w:pPr>
        <w:keepNext w:val="0"/>
        <w:keepLines w:val="0"/>
        <w:pageBreakBefore w:val="0"/>
        <w:widowControl w:val="0"/>
        <w:kinsoku/>
        <w:wordWrap/>
        <w:overflowPunct/>
        <w:autoSpaceDE/>
        <w:autoSpaceDN/>
        <w:bidi w:val="0"/>
        <w:spacing w:line="560" w:lineRule="exact"/>
        <w:ind w:left="0" w:firstLine="723" w:firstLineChars="200"/>
        <w:textAlignment w:val="auto"/>
        <w:rPr>
          <w:rFonts w:ascii="仿宋_GB2312" w:hAnsi="仿宋" w:eastAsia="仿宋_GB2312" w:cs="宋体"/>
          <w:color w:val="auto"/>
          <w:kern w:val="0"/>
          <w:sz w:val="36"/>
          <w:szCs w:val="36"/>
          <w:highlight w:val="none"/>
        </w:rPr>
      </w:pPr>
      <w:r>
        <w:rPr>
          <w:rFonts w:hint="eastAsia" w:ascii="仿宋_GB2312" w:hAnsi="仿宋" w:eastAsia="仿宋_GB2312" w:cs="宋体"/>
          <w:b/>
          <w:color w:val="auto"/>
          <w:kern w:val="0"/>
          <w:sz w:val="36"/>
          <w:szCs w:val="36"/>
          <w:highlight w:val="none"/>
        </w:rPr>
        <w:t>1</w:t>
      </w:r>
      <w:r>
        <w:rPr>
          <w:rFonts w:hint="eastAsia" w:ascii="仿宋_GB2312" w:hAnsi="仿宋" w:eastAsia="仿宋_GB2312" w:cs="宋体"/>
          <w:b/>
          <w:color w:val="auto"/>
          <w:kern w:val="0"/>
          <w:sz w:val="36"/>
          <w:szCs w:val="36"/>
          <w:highlight w:val="none"/>
          <w:lang w:eastAsia="zh-CN"/>
        </w:rPr>
        <w:t>.</w:t>
      </w:r>
      <w:r>
        <w:rPr>
          <w:rFonts w:hint="eastAsia" w:ascii="仿宋_GB2312" w:hAnsi="仿宋" w:eastAsia="仿宋_GB2312" w:cs="宋体"/>
          <w:b/>
          <w:color w:val="auto"/>
          <w:kern w:val="0"/>
          <w:sz w:val="36"/>
          <w:szCs w:val="36"/>
          <w:highlight w:val="none"/>
        </w:rPr>
        <w:t>一般</w:t>
      </w:r>
      <w:r>
        <w:rPr>
          <w:rFonts w:hint="eastAsia" w:ascii="仿宋_GB2312" w:hAnsi="仿宋" w:eastAsia="仿宋_GB2312"/>
          <w:b/>
          <w:color w:val="auto"/>
          <w:sz w:val="36"/>
          <w:szCs w:val="36"/>
          <w:highlight w:val="none"/>
        </w:rPr>
        <w:t>公共预算收入情况。</w:t>
      </w:r>
      <w:r>
        <w:rPr>
          <w:rFonts w:ascii="仿宋_GB2312" w:hAnsi="仿宋" w:eastAsia="仿宋_GB2312"/>
          <w:color w:val="auto"/>
          <w:sz w:val="36"/>
          <w:szCs w:val="36"/>
          <w:highlight w:val="none"/>
        </w:rPr>
        <w:t>202</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年八公山区一般公共预算收入完成</w:t>
      </w:r>
      <w:r>
        <w:rPr>
          <w:rFonts w:hint="eastAsia" w:ascii="仿宋_GB2312" w:hAnsi="仿宋" w:eastAsia="仿宋_GB2312"/>
          <w:color w:val="auto"/>
          <w:sz w:val="36"/>
          <w:szCs w:val="36"/>
          <w:highlight w:val="none"/>
          <w:lang w:val="en-US" w:eastAsia="zh-CN"/>
        </w:rPr>
        <w:t>31035</w:t>
      </w:r>
      <w:r>
        <w:rPr>
          <w:rFonts w:hint="eastAsia" w:ascii="仿宋_GB2312" w:hAnsi="仿宋" w:eastAsia="仿宋_GB2312"/>
          <w:color w:val="auto"/>
          <w:sz w:val="36"/>
          <w:szCs w:val="36"/>
          <w:highlight w:val="none"/>
        </w:rPr>
        <w:t>万元，完成年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eastAsia="仿宋_GB2312"/>
          <w:color w:val="auto"/>
          <w:kern w:val="0"/>
          <w:sz w:val="36"/>
          <w:szCs w:val="36"/>
          <w:highlight w:val="none"/>
        </w:rPr>
        <w:t>10</w:t>
      </w:r>
      <w:r>
        <w:rPr>
          <w:rFonts w:hint="eastAsia" w:ascii="仿宋_GB2312" w:eastAsia="仿宋_GB2312"/>
          <w:color w:val="auto"/>
          <w:kern w:val="0"/>
          <w:sz w:val="36"/>
          <w:szCs w:val="36"/>
          <w:highlight w:val="none"/>
          <w:lang w:val="en-US" w:eastAsia="zh-CN"/>
        </w:rPr>
        <w:t>1</w:t>
      </w:r>
      <w:r>
        <w:rPr>
          <w:rFonts w:ascii="仿宋_GB2312" w:hAnsi="仿宋" w:eastAsia="仿宋_GB2312"/>
          <w:color w:val="auto"/>
          <w:sz w:val="36"/>
          <w:szCs w:val="36"/>
          <w:highlight w:val="none"/>
        </w:rPr>
        <w:t>%</w:t>
      </w:r>
      <w:r>
        <w:rPr>
          <w:rFonts w:hint="eastAsia" w:ascii="仿宋_GB2312" w:hAnsi="仿宋" w:eastAsia="仿宋_GB2312"/>
          <w:color w:val="auto"/>
          <w:sz w:val="36"/>
          <w:szCs w:val="36"/>
          <w:highlight w:val="none"/>
        </w:rPr>
        <w:t>，同比增长</w:t>
      </w:r>
      <w:r>
        <w:rPr>
          <w:rFonts w:hint="eastAsia" w:ascii="仿宋_GB2312" w:hAnsi="仿宋" w:eastAsia="仿宋_GB2312"/>
          <w:color w:val="auto"/>
          <w:sz w:val="36"/>
          <w:szCs w:val="36"/>
          <w:highlight w:val="none"/>
          <w:lang w:val="en-US" w:eastAsia="zh-CN"/>
        </w:rPr>
        <w:t>14</w:t>
      </w:r>
      <w:r>
        <w:rPr>
          <w:rFonts w:hint="eastAsia" w:ascii="仿宋_GB2312" w:hAnsi="仿宋" w:eastAsia="仿宋_GB2312"/>
          <w:color w:val="auto"/>
          <w:sz w:val="36"/>
          <w:szCs w:val="36"/>
          <w:highlight w:val="none"/>
        </w:rPr>
        <w:t>.8</w:t>
      </w:r>
      <w:r>
        <w:rPr>
          <w:rFonts w:ascii="仿宋_GB2312" w:hAnsi="仿宋" w:eastAsia="仿宋_GB2312"/>
          <w:color w:val="auto"/>
          <w:sz w:val="36"/>
          <w:szCs w:val="36"/>
          <w:highlight w:val="none"/>
        </w:rPr>
        <w:t>%</w:t>
      </w:r>
      <w:r>
        <w:rPr>
          <w:rFonts w:hint="eastAsia" w:ascii="仿宋_GB2312" w:hAnsi="仿宋" w:eastAsia="仿宋_GB2312"/>
          <w:color w:val="auto"/>
          <w:sz w:val="36"/>
          <w:szCs w:val="36"/>
          <w:highlight w:val="none"/>
        </w:rPr>
        <w:t>，其中：税收收入</w:t>
      </w:r>
      <w:r>
        <w:rPr>
          <w:rFonts w:hint="eastAsia" w:ascii="仿宋_GB2312" w:hAnsi="仿宋" w:eastAsia="仿宋_GB2312"/>
          <w:color w:val="auto"/>
          <w:sz w:val="36"/>
          <w:szCs w:val="36"/>
          <w:highlight w:val="none"/>
          <w:lang w:val="en-US" w:eastAsia="zh-CN"/>
        </w:rPr>
        <w:t>24996</w:t>
      </w:r>
      <w:r>
        <w:rPr>
          <w:rFonts w:hint="eastAsia" w:ascii="仿宋_GB2312" w:hAnsi="仿宋" w:eastAsia="仿宋_GB2312"/>
          <w:color w:val="auto"/>
          <w:sz w:val="36"/>
          <w:szCs w:val="36"/>
          <w:highlight w:val="none"/>
        </w:rPr>
        <w:t>万元，为地方财政收入的</w:t>
      </w:r>
      <w:r>
        <w:rPr>
          <w:rFonts w:hint="eastAsia" w:ascii="仿宋_GB2312" w:hAnsi="仿宋" w:eastAsia="仿宋_GB2312"/>
          <w:color w:val="auto"/>
          <w:sz w:val="36"/>
          <w:szCs w:val="36"/>
          <w:highlight w:val="none"/>
          <w:lang w:val="en-US" w:eastAsia="zh-CN"/>
        </w:rPr>
        <w:t>80.5</w:t>
      </w:r>
      <w:r>
        <w:rPr>
          <w:rFonts w:ascii="仿宋_GB2312" w:hAnsi="仿宋" w:eastAsia="仿宋_GB2312"/>
          <w:color w:val="auto"/>
          <w:sz w:val="36"/>
          <w:szCs w:val="36"/>
          <w:highlight w:val="none"/>
        </w:rPr>
        <w:t>%</w:t>
      </w:r>
      <w:r>
        <w:rPr>
          <w:rFonts w:hint="eastAsia" w:ascii="仿宋_GB2312" w:hAnsi="仿宋" w:eastAsia="仿宋_GB2312"/>
          <w:color w:val="auto"/>
          <w:sz w:val="36"/>
          <w:szCs w:val="36"/>
          <w:highlight w:val="none"/>
        </w:rPr>
        <w:t>；非税收入</w:t>
      </w:r>
      <w:r>
        <w:rPr>
          <w:rFonts w:hint="eastAsia" w:ascii="仿宋_GB2312" w:hAnsi="仿宋" w:eastAsia="仿宋_GB2312"/>
          <w:color w:val="auto"/>
          <w:sz w:val="36"/>
          <w:szCs w:val="36"/>
          <w:highlight w:val="none"/>
          <w:lang w:val="en-US" w:eastAsia="zh-CN"/>
        </w:rPr>
        <w:t>6039</w:t>
      </w:r>
      <w:r>
        <w:rPr>
          <w:rFonts w:hint="eastAsia" w:ascii="仿宋_GB2312" w:hAnsi="仿宋" w:eastAsia="仿宋_GB2312"/>
          <w:color w:val="auto"/>
          <w:sz w:val="36"/>
          <w:szCs w:val="36"/>
          <w:highlight w:val="none"/>
        </w:rPr>
        <w:t>万元，为地方财政收入的</w:t>
      </w:r>
      <w:r>
        <w:rPr>
          <w:rFonts w:hint="eastAsia" w:ascii="仿宋_GB2312" w:hAnsi="仿宋" w:eastAsia="仿宋_GB2312"/>
          <w:color w:val="auto"/>
          <w:sz w:val="36"/>
          <w:szCs w:val="36"/>
          <w:highlight w:val="none"/>
          <w:lang w:val="en-US" w:eastAsia="zh-CN"/>
        </w:rPr>
        <w:t>19.5</w:t>
      </w:r>
      <w:r>
        <w:rPr>
          <w:rFonts w:ascii="仿宋_GB2312" w:hAnsi="仿宋" w:eastAsia="仿宋_GB2312"/>
          <w:color w:val="auto"/>
          <w:sz w:val="36"/>
          <w:szCs w:val="36"/>
          <w:highlight w:val="none"/>
        </w:rPr>
        <w:t>%</w:t>
      </w:r>
      <w:r>
        <w:rPr>
          <w:rFonts w:hint="eastAsia" w:ascii="仿宋_GB2312" w:hAnsi="仿宋" w:eastAsia="仿宋_GB2312"/>
          <w:color w:val="auto"/>
          <w:sz w:val="36"/>
          <w:szCs w:val="36"/>
          <w:highlight w:val="none"/>
        </w:rPr>
        <w:t>。税收收入中，增值税6468万元，企业所得税16019万元，个人所得税430万元，城市维护建设税758万元，房产税417万元，印花税150万元，城镇土地使用税549万元，土地增值税59万元，车船税146万元。</w:t>
      </w:r>
    </w:p>
    <w:p w14:paraId="3B905315">
      <w:pPr>
        <w:keepNext w:val="0"/>
        <w:keepLines w:val="0"/>
        <w:pageBreakBefore w:val="0"/>
        <w:widowControl w:val="0"/>
        <w:kinsoku/>
        <w:wordWrap/>
        <w:overflowPunct/>
        <w:autoSpaceDE/>
        <w:autoSpaceDN/>
        <w:bidi w:val="0"/>
        <w:spacing w:line="560" w:lineRule="exact"/>
        <w:ind w:left="0" w:firstLine="723" w:firstLineChars="200"/>
        <w:textAlignment w:val="auto"/>
        <w:rPr>
          <w:rFonts w:hint="eastAsia" w:ascii="仿宋_GB2312" w:hAnsi="仿宋" w:eastAsia="仿宋_GB2312"/>
          <w:color w:val="auto"/>
          <w:sz w:val="36"/>
          <w:szCs w:val="36"/>
          <w:highlight w:val="cyan"/>
        </w:rPr>
      </w:pPr>
      <w:r>
        <w:rPr>
          <w:rFonts w:ascii="仿宋_GB2312" w:hAnsi="仿宋" w:eastAsia="仿宋_GB2312" w:cs="宋体"/>
          <w:b/>
          <w:color w:val="auto"/>
          <w:kern w:val="0"/>
          <w:sz w:val="36"/>
          <w:szCs w:val="36"/>
          <w:highlight w:val="none"/>
        </w:rPr>
        <w:t>2</w:t>
      </w:r>
      <w:r>
        <w:rPr>
          <w:rFonts w:hint="eastAsia" w:ascii="仿宋_GB2312" w:hAnsi="仿宋" w:eastAsia="仿宋_GB2312" w:cs="宋体"/>
          <w:b/>
          <w:color w:val="auto"/>
          <w:kern w:val="0"/>
          <w:sz w:val="36"/>
          <w:szCs w:val="36"/>
          <w:highlight w:val="none"/>
          <w:lang w:eastAsia="zh-CN"/>
        </w:rPr>
        <w:t>.</w:t>
      </w:r>
      <w:r>
        <w:rPr>
          <w:rFonts w:hint="eastAsia" w:ascii="仿宋_GB2312" w:hAnsi="仿宋" w:eastAsia="仿宋_GB2312" w:cs="宋体"/>
          <w:b/>
          <w:color w:val="auto"/>
          <w:kern w:val="0"/>
          <w:sz w:val="36"/>
          <w:szCs w:val="36"/>
          <w:highlight w:val="none"/>
        </w:rPr>
        <w:t>一般</w:t>
      </w:r>
      <w:r>
        <w:rPr>
          <w:rFonts w:ascii="仿宋_GB2312" w:hAnsi="仿宋" w:eastAsia="仿宋_GB2312" w:cs="宋体"/>
          <w:b/>
          <w:color w:val="auto"/>
          <w:kern w:val="0"/>
          <w:sz w:val="36"/>
          <w:szCs w:val="36"/>
          <w:highlight w:val="none"/>
        </w:rPr>
        <w:t>公共预算支出情况。</w:t>
      </w:r>
      <w:r>
        <w:rPr>
          <w:rFonts w:hint="eastAsia" w:ascii="仿宋_GB2312" w:hAnsi="仿宋" w:eastAsia="仿宋_GB2312"/>
          <w:color w:val="auto"/>
          <w:sz w:val="36"/>
          <w:szCs w:val="36"/>
          <w:highlight w:val="none"/>
        </w:rPr>
        <w:t>202</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年八公山区一般公共预算支出完成</w:t>
      </w:r>
      <w:r>
        <w:rPr>
          <w:rFonts w:hint="eastAsia" w:ascii="仿宋_GB2312" w:hAnsi="仿宋" w:eastAsia="仿宋_GB2312"/>
          <w:color w:val="auto"/>
          <w:sz w:val="36"/>
          <w:szCs w:val="36"/>
          <w:highlight w:val="none"/>
          <w:lang w:val="en-US" w:eastAsia="zh-CN"/>
        </w:rPr>
        <w:t>59018</w:t>
      </w:r>
      <w:r>
        <w:rPr>
          <w:rFonts w:hint="eastAsia" w:ascii="仿宋_GB2312" w:hAnsi="仿宋" w:eastAsia="仿宋_GB2312"/>
          <w:color w:val="auto"/>
          <w:sz w:val="36"/>
          <w:szCs w:val="36"/>
          <w:highlight w:val="none"/>
        </w:rPr>
        <w:t>万元，完成年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预算的1</w:t>
      </w:r>
      <w:r>
        <w:rPr>
          <w:rFonts w:hint="eastAsia" w:ascii="仿宋_GB2312" w:hAnsi="仿宋" w:eastAsia="仿宋_GB2312"/>
          <w:color w:val="auto"/>
          <w:sz w:val="36"/>
          <w:szCs w:val="36"/>
          <w:highlight w:val="none"/>
          <w:lang w:val="en-US" w:eastAsia="zh-CN"/>
        </w:rPr>
        <w:t>02</w:t>
      </w:r>
      <w:r>
        <w:rPr>
          <w:rFonts w:hint="eastAsia" w:ascii="仿宋_GB2312" w:hAnsi="仿宋" w:eastAsia="仿宋_GB2312"/>
          <w:color w:val="auto"/>
          <w:sz w:val="36"/>
          <w:szCs w:val="36"/>
          <w:highlight w:val="none"/>
        </w:rPr>
        <w:t>%，同比增长</w:t>
      </w:r>
      <w:r>
        <w:rPr>
          <w:rFonts w:hint="eastAsia" w:ascii="仿宋_GB2312" w:hAnsi="仿宋" w:eastAsia="仿宋_GB2312"/>
          <w:color w:val="auto"/>
          <w:sz w:val="36"/>
          <w:szCs w:val="36"/>
          <w:highlight w:val="none"/>
          <w:lang w:val="en-US" w:eastAsia="zh-CN"/>
        </w:rPr>
        <w:t>8</w:t>
      </w:r>
      <w:r>
        <w:rPr>
          <w:rFonts w:hint="eastAsia" w:ascii="仿宋_GB2312" w:hAnsi="仿宋" w:eastAsia="仿宋_GB2312"/>
          <w:color w:val="auto"/>
          <w:sz w:val="36"/>
          <w:szCs w:val="36"/>
          <w:highlight w:val="none"/>
        </w:rPr>
        <w:t>%。民生类支出</w:t>
      </w:r>
      <w:r>
        <w:rPr>
          <w:rFonts w:hint="eastAsia" w:ascii="仿宋_GB2312" w:hAnsi="仿宋" w:eastAsia="仿宋_GB2312"/>
          <w:color w:val="auto"/>
          <w:sz w:val="36"/>
          <w:szCs w:val="36"/>
          <w:highlight w:val="none"/>
          <w:lang w:val="en-US" w:eastAsia="zh-CN"/>
        </w:rPr>
        <w:t>52224</w:t>
      </w:r>
      <w:r>
        <w:rPr>
          <w:rFonts w:hint="eastAsia" w:ascii="仿宋_GB2312" w:hAnsi="仿宋" w:eastAsia="仿宋_GB2312"/>
          <w:color w:val="auto"/>
          <w:sz w:val="36"/>
          <w:szCs w:val="36"/>
          <w:highlight w:val="none"/>
        </w:rPr>
        <w:t>万元，占财政支出的8</w:t>
      </w:r>
      <w:r>
        <w:rPr>
          <w:rFonts w:hint="eastAsia" w:ascii="仿宋_GB2312" w:hAnsi="仿宋" w:eastAsia="仿宋_GB2312"/>
          <w:color w:val="auto"/>
          <w:sz w:val="36"/>
          <w:szCs w:val="36"/>
          <w:highlight w:val="none"/>
          <w:lang w:val="en-US" w:eastAsia="zh-CN"/>
        </w:rPr>
        <w:t>8.5</w:t>
      </w:r>
      <w:r>
        <w:rPr>
          <w:rFonts w:hint="eastAsia" w:ascii="仿宋_GB2312" w:hAnsi="仿宋" w:eastAsia="仿宋_GB2312"/>
          <w:color w:val="auto"/>
          <w:sz w:val="36"/>
          <w:szCs w:val="36"/>
          <w:highlight w:val="none"/>
        </w:rPr>
        <w:t>%。其中：一般公共服务支出4043万元，为年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hAnsi="仿宋" w:eastAsia="仿宋_GB2312"/>
          <w:color w:val="auto"/>
          <w:sz w:val="36"/>
          <w:szCs w:val="36"/>
          <w:highlight w:val="none"/>
          <w:lang w:val="en-US" w:eastAsia="zh-CN"/>
        </w:rPr>
        <w:t>101.1</w:t>
      </w:r>
      <w:r>
        <w:rPr>
          <w:rFonts w:hint="eastAsia" w:ascii="仿宋_GB2312" w:hAnsi="仿宋" w:eastAsia="仿宋_GB2312"/>
          <w:color w:val="auto"/>
          <w:sz w:val="36"/>
          <w:szCs w:val="36"/>
          <w:highlight w:val="none"/>
        </w:rPr>
        <w:t>%；国防支出176万元，为年预算的1</w:t>
      </w:r>
      <w:r>
        <w:rPr>
          <w:rFonts w:hint="eastAsia" w:ascii="仿宋_GB2312" w:hAnsi="仿宋" w:eastAsia="仿宋_GB2312"/>
          <w:color w:val="auto"/>
          <w:sz w:val="36"/>
          <w:szCs w:val="36"/>
          <w:highlight w:val="none"/>
          <w:lang w:val="en-US" w:eastAsia="zh-CN"/>
        </w:rPr>
        <w:t>25.7</w:t>
      </w:r>
      <w:r>
        <w:rPr>
          <w:rFonts w:hint="eastAsia" w:ascii="仿宋_GB2312" w:hAnsi="仿宋" w:eastAsia="仿宋_GB2312"/>
          <w:color w:val="auto"/>
          <w:sz w:val="36"/>
          <w:szCs w:val="36"/>
          <w:highlight w:val="none"/>
        </w:rPr>
        <w:t>%；公共安全</w:t>
      </w:r>
      <w:r>
        <w:rPr>
          <w:rFonts w:hint="eastAsia" w:ascii="仿宋_GB2312" w:hAnsi="仿宋" w:eastAsia="仿宋_GB2312"/>
          <w:color w:val="auto"/>
          <w:sz w:val="36"/>
          <w:szCs w:val="36"/>
          <w:highlight w:val="none"/>
          <w:lang w:val="en-US" w:eastAsia="zh-CN"/>
        </w:rPr>
        <w:t>1361</w:t>
      </w:r>
      <w:r>
        <w:rPr>
          <w:rFonts w:hint="eastAsia" w:ascii="仿宋_GB2312" w:hAnsi="仿宋" w:eastAsia="仿宋_GB2312"/>
          <w:color w:val="auto"/>
          <w:sz w:val="36"/>
          <w:szCs w:val="36"/>
          <w:highlight w:val="none"/>
        </w:rPr>
        <w:t>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hAnsi="仿宋" w:eastAsia="仿宋_GB2312"/>
          <w:color w:val="auto"/>
          <w:sz w:val="36"/>
          <w:szCs w:val="36"/>
          <w:highlight w:val="none"/>
          <w:lang w:val="en-US" w:eastAsia="zh-CN"/>
        </w:rPr>
        <w:t>98.6</w:t>
      </w:r>
      <w:r>
        <w:rPr>
          <w:rFonts w:hint="eastAsia" w:ascii="仿宋_GB2312" w:hAnsi="仿宋" w:eastAsia="仿宋_GB2312"/>
          <w:color w:val="auto"/>
          <w:sz w:val="36"/>
          <w:szCs w:val="36"/>
          <w:highlight w:val="none"/>
        </w:rPr>
        <w:t>%；教育支出</w:t>
      </w:r>
      <w:r>
        <w:rPr>
          <w:rFonts w:hint="eastAsia" w:ascii="仿宋_GB2312" w:hAnsi="仿宋" w:eastAsia="仿宋_GB2312"/>
          <w:color w:val="auto"/>
          <w:sz w:val="36"/>
          <w:szCs w:val="36"/>
          <w:highlight w:val="none"/>
          <w:lang w:val="en-US" w:eastAsia="zh-CN"/>
        </w:rPr>
        <w:t>12215</w:t>
      </w:r>
      <w:r>
        <w:rPr>
          <w:rFonts w:hint="eastAsia" w:ascii="仿宋_GB2312" w:hAnsi="仿宋" w:eastAsia="仿宋_GB2312"/>
          <w:color w:val="auto"/>
          <w:sz w:val="36"/>
          <w:szCs w:val="36"/>
          <w:highlight w:val="none"/>
        </w:rPr>
        <w:t>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预算的10</w:t>
      </w:r>
      <w:r>
        <w:rPr>
          <w:rFonts w:hint="eastAsia" w:ascii="仿宋_GB2312" w:hAnsi="仿宋" w:eastAsia="仿宋_GB2312"/>
          <w:color w:val="auto"/>
          <w:sz w:val="36"/>
          <w:szCs w:val="36"/>
          <w:highlight w:val="none"/>
          <w:lang w:val="en-US" w:eastAsia="zh-CN"/>
        </w:rPr>
        <w:t>1.7</w:t>
      </w:r>
      <w:r>
        <w:rPr>
          <w:rFonts w:hint="eastAsia" w:ascii="仿宋_GB2312" w:hAnsi="仿宋" w:eastAsia="仿宋_GB2312"/>
          <w:color w:val="auto"/>
          <w:sz w:val="36"/>
          <w:szCs w:val="36"/>
          <w:highlight w:val="none"/>
        </w:rPr>
        <w:t>%；科学技术支出434万元，为年预算的1</w:t>
      </w:r>
      <w:r>
        <w:rPr>
          <w:rFonts w:hint="eastAsia" w:ascii="仿宋_GB2312" w:hAnsi="仿宋" w:eastAsia="仿宋_GB2312"/>
          <w:color w:val="auto"/>
          <w:sz w:val="36"/>
          <w:szCs w:val="36"/>
          <w:highlight w:val="none"/>
          <w:lang w:val="en-US" w:eastAsia="zh-CN"/>
        </w:rPr>
        <w:t>20</w:t>
      </w:r>
      <w:r>
        <w:rPr>
          <w:rFonts w:hint="eastAsia" w:ascii="仿宋_GB2312" w:hAnsi="仿宋" w:eastAsia="仿宋_GB2312"/>
          <w:color w:val="auto"/>
          <w:sz w:val="36"/>
          <w:szCs w:val="36"/>
          <w:highlight w:val="none"/>
        </w:rPr>
        <w:t>.6%；文化旅游体育与传媒支出723万元，为年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预算的1</w:t>
      </w:r>
      <w:r>
        <w:rPr>
          <w:rFonts w:hint="eastAsia" w:ascii="仿宋_GB2312" w:hAnsi="仿宋" w:eastAsia="仿宋_GB2312"/>
          <w:color w:val="auto"/>
          <w:sz w:val="36"/>
          <w:szCs w:val="36"/>
          <w:highlight w:val="none"/>
          <w:lang w:val="en-US" w:eastAsia="zh-CN"/>
        </w:rPr>
        <w:t>18.5</w:t>
      </w:r>
      <w:r>
        <w:rPr>
          <w:rFonts w:hint="eastAsia" w:ascii="仿宋_GB2312" w:hAnsi="仿宋" w:eastAsia="仿宋_GB2312"/>
          <w:color w:val="auto"/>
          <w:sz w:val="36"/>
          <w:szCs w:val="36"/>
          <w:highlight w:val="none"/>
        </w:rPr>
        <w:t>%；社会保障和就业支出16340万元，为年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hAnsi="仿宋" w:eastAsia="仿宋_GB2312"/>
          <w:color w:val="auto"/>
          <w:sz w:val="36"/>
          <w:szCs w:val="36"/>
          <w:highlight w:val="none"/>
          <w:lang w:val="en-US" w:eastAsia="zh-CN"/>
        </w:rPr>
        <w:t>101.5</w:t>
      </w:r>
      <w:r>
        <w:rPr>
          <w:rFonts w:hint="eastAsia" w:ascii="仿宋_GB2312" w:hAnsi="仿宋" w:eastAsia="仿宋_GB2312"/>
          <w:color w:val="auto"/>
          <w:sz w:val="36"/>
          <w:szCs w:val="36"/>
          <w:highlight w:val="none"/>
        </w:rPr>
        <w:t>%；卫生健康支出4807万元，为年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预算的1</w:t>
      </w:r>
      <w:r>
        <w:rPr>
          <w:rFonts w:hint="eastAsia" w:ascii="仿宋_GB2312" w:hAnsi="仿宋" w:eastAsia="仿宋_GB2312"/>
          <w:color w:val="auto"/>
          <w:sz w:val="36"/>
          <w:szCs w:val="36"/>
          <w:highlight w:val="none"/>
          <w:lang w:val="en-US" w:eastAsia="zh-CN"/>
        </w:rPr>
        <w:t>05</w:t>
      </w:r>
      <w:r>
        <w:rPr>
          <w:rFonts w:hint="eastAsia" w:ascii="仿宋_GB2312" w:hAnsi="仿宋" w:eastAsia="仿宋_GB2312"/>
          <w:color w:val="auto"/>
          <w:sz w:val="36"/>
          <w:szCs w:val="36"/>
          <w:highlight w:val="none"/>
        </w:rPr>
        <w:t>%；节能环保支出2546万元，为年预算的</w:t>
      </w:r>
      <w:r>
        <w:rPr>
          <w:rFonts w:hint="eastAsia" w:ascii="仿宋_GB2312" w:hAnsi="仿宋" w:eastAsia="仿宋_GB2312"/>
          <w:color w:val="auto"/>
          <w:sz w:val="36"/>
          <w:szCs w:val="36"/>
          <w:highlight w:val="none"/>
          <w:lang w:val="en-US" w:eastAsia="zh-CN"/>
        </w:rPr>
        <w:t>106.1</w:t>
      </w:r>
      <w:r>
        <w:rPr>
          <w:rFonts w:hint="eastAsia" w:ascii="仿宋_GB2312" w:hAnsi="仿宋" w:eastAsia="仿宋_GB2312"/>
          <w:color w:val="auto"/>
          <w:sz w:val="36"/>
          <w:szCs w:val="36"/>
          <w:highlight w:val="none"/>
        </w:rPr>
        <w:t>%；城乡社区支出5262万元，为年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hAnsi="仿宋" w:eastAsia="仿宋_GB2312"/>
          <w:color w:val="auto"/>
          <w:sz w:val="36"/>
          <w:szCs w:val="36"/>
          <w:highlight w:val="none"/>
          <w:lang w:val="en-US" w:eastAsia="zh-CN"/>
        </w:rPr>
        <w:t>101.2</w:t>
      </w:r>
      <w:r>
        <w:rPr>
          <w:rFonts w:hint="eastAsia" w:ascii="仿宋_GB2312" w:hAnsi="仿宋" w:eastAsia="仿宋_GB2312"/>
          <w:color w:val="auto"/>
          <w:sz w:val="36"/>
          <w:szCs w:val="36"/>
          <w:highlight w:val="none"/>
        </w:rPr>
        <w:t>%；农林水支出3646万元，为年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预算的1</w:t>
      </w:r>
      <w:r>
        <w:rPr>
          <w:rFonts w:hint="eastAsia" w:ascii="仿宋_GB2312" w:hAnsi="仿宋" w:eastAsia="仿宋_GB2312"/>
          <w:color w:val="auto"/>
          <w:sz w:val="36"/>
          <w:szCs w:val="36"/>
          <w:highlight w:val="none"/>
          <w:lang w:val="en-US" w:eastAsia="zh-CN"/>
        </w:rPr>
        <w:t>02.4</w:t>
      </w:r>
      <w:r>
        <w:rPr>
          <w:rFonts w:hint="eastAsia" w:ascii="仿宋_GB2312" w:hAnsi="仿宋" w:eastAsia="仿宋_GB2312"/>
          <w:color w:val="auto"/>
          <w:sz w:val="36"/>
          <w:szCs w:val="36"/>
          <w:highlight w:val="none"/>
        </w:rPr>
        <w:t>%；交通运输支出142万元</w:t>
      </w:r>
      <w:r>
        <w:rPr>
          <w:rFonts w:hint="eastAsia" w:ascii="仿宋_GB2312" w:hAnsi="仿宋" w:eastAsia="仿宋_GB2312"/>
          <w:color w:val="auto"/>
          <w:sz w:val="36"/>
          <w:szCs w:val="36"/>
          <w:highlight w:val="none"/>
          <w:lang w:eastAsia="zh-CN"/>
        </w:rPr>
        <w:t>，</w:t>
      </w:r>
      <w:r>
        <w:rPr>
          <w:rFonts w:hint="eastAsia" w:ascii="仿宋_GB2312" w:hAnsi="仿宋" w:eastAsia="仿宋_GB2312"/>
          <w:color w:val="auto"/>
          <w:sz w:val="36"/>
          <w:szCs w:val="36"/>
          <w:highlight w:val="none"/>
        </w:rPr>
        <w:t>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预算的1</w:t>
      </w:r>
      <w:r>
        <w:rPr>
          <w:rFonts w:hint="eastAsia" w:ascii="仿宋_GB2312" w:hAnsi="仿宋" w:eastAsia="仿宋_GB2312"/>
          <w:color w:val="auto"/>
          <w:sz w:val="36"/>
          <w:szCs w:val="36"/>
          <w:highlight w:val="none"/>
          <w:lang w:val="en-US" w:eastAsia="zh-CN"/>
        </w:rPr>
        <w:t>42</w:t>
      </w:r>
      <w:r>
        <w:rPr>
          <w:rFonts w:hint="eastAsia" w:ascii="仿宋_GB2312" w:hAnsi="仿宋" w:eastAsia="仿宋_GB2312"/>
          <w:color w:val="auto"/>
          <w:sz w:val="36"/>
          <w:szCs w:val="36"/>
          <w:highlight w:val="none"/>
        </w:rPr>
        <w:t>%；资源勘探工业信息等支出112万元，为年预算的</w:t>
      </w:r>
      <w:r>
        <w:rPr>
          <w:rFonts w:hint="eastAsia" w:ascii="仿宋_GB2312" w:hAnsi="仿宋" w:eastAsia="仿宋_GB2312"/>
          <w:color w:val="auto"/>
          <w:sz w:val="36"/>
          <w:szCs w:val="36"/>
          <w:highlight w:val="none"/>
          <w:lang w:val="en-US" w:eastAsia="zh-CN"/>
        </w:rPr>
        <w:t>93.3</w:t>
      </w:r>
      <w:r>
        <w:rPr>
          <w:rFonts w:hint="eastAsia" w:ascii="仿宋_GB2312" w:hAnsi="仿宋" w:eastAsia="仿宋_GB2312"/>
          <w:color w:val="auto"/>
          <w:sz w:val="36"/>
          <w:szCs w:val="36"/>
          <w:highlight w:val="none"/>
        </w:rPr>
        <w:t>%；商业服务业等支出135万元，为年预算的</w:t>
      </w:r>
      <w:r>
        <w:rPr>
          <w:rFonts w:hint="eastAsia" w:ascii="仿宋_GB2312" w:hAnsi="仿宋" w:eastAsia="仿宋_GB2312"/>
          <w:color w:val="auto"/>
          <w:sz w:val="36"/>
          <w:szCs w:val="36"/>
          <w:highlight w:val="none"/>
          <w:lang w:val="en-US" w:eastAsia="zh-CN"/>
        </w:rPr>
        <w:t>90</w:t>
      </w:r>
      <w:r>
        <w:rPr>
          <w:rFonts w:hint="eastAsia" w:ascii="仿宋_GB2312" w:hAnsi="仿宋" w:eastAsia="仿宋_GB2312"/>
          <w:color w:val="auto"/>
          <w:sz w:val="36"/>
          <w:szCs w:val="36"/>
          <w:highlight w:val="none"/>
        </w:rPr>
        <w:t>%；自然资源海洋气象等支出1200万元</w:t>
      </w:r>
      <w:r>
        <w:rPr>
          <w:rFonts w:hint="eastAsia" w:ascii="仿宋_GB2312" w:hAnsi="仿宋" w:eastAsia="仿宋_GB2312"/>
          <w:color w:val="auto"/>
          <w:sz w:val="36"/>
          <w:szCs w:val="36"/>
          <w:highlight w:val="none"/>
          <w:lang w:eastAsia="zh-CN"/>
        </w:rPr>
        <w:t>，</w:t>
      </w:r>
      <w:r>
        <w:rPr>
          <w:rFonts w:hint="eastAsia" w:ascii="仿宋_GB2312" w:hAnsi="仿宋" w:eastAsia="仿宋_GB2312"/>
          <w:color w:val="auto"/>
          <w:sz w:val="36"/>
          <w:szCs w:val="36"/>
          <w:highlight w:val="none"/>
        </w:rPr>
        <w:t>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hAnsi="仿宋" w:eastAsia="仿宋_GB2312"/>
          <w:color w:val="auto"/>
          <w:sz w:val="36"/>
          <w:szCs w:val="36"/>
          <w:highlight w:val="none"/>
          <w:lang w:val="en-US" w:eastAsia="zh-CN"/>
        </w:rPr>
        <w:t>100</w:t>
      </w:r>
      <w:r>
        <w:rPr>
          <w:rFonts w:hint="eastAsia" w:ascii="仿宋_GB2312" w:hAnsi="仿宋" w:eastAsia="仿宋_GB2312"/>
          <w:color w:val="auto"/>
          <w:sz w:val="36"/>
          <w:szCs w:val="36"/>
          <w:highlight w:val="none"/>
        </w:rPr>
        <w:t>%；住房保障支出4774万元，为年预算的1</w:t>
      </w:r>
      <w:r>
        <w:rPr>
          <w:rFonts w:hint="eastAsia" w:ascii="仿宋_GB2312" w:hAnsi="仿宋" w:eastAsia="仿宋_GB2312"/>
          <w:color w:val="auto"/>
          <w:sz w:val="36"/>
          <w:szCs w:val="36"/>
          <w:highlight w:val="none"/>
          <w:lang w:val="en-US" w:eastAsia="zh-CN"/>
        </w:rPr>
        <w:t>13.7</w:t>
      </w:r>
      <w:r>
        <w:rPr>
          <w:rFonts w:hint="eastAsia" w:ascii="仿宋_GB2312" w:hAnsi="仿宋" w:eastAsia="仿宋_GB2312"/>
          <w:color w:val="auto"/>
          <w:sz w:val="36"/>
          <w:szCs w:val="36"/>
          <w:highlight w:val="none"/>
        </w:rPr>
        <w:t>%；灾害防治及应急管理支出511万元，为年预算的</w:t>
      </w:r>
      <w:r>
        <w:rPr>
          <w:rFonts w:hint="eastAsia" w:ascii="仿宋_GB2312" w:hAnsi="仿宋" w:eastAsia="仿宋_GB2312"/>
          <w:color w:val="auto"/>
          <w:sz w:val="36"/>
          <w:szCs w:val="36"/>
          <w:highlight w:val="none"/>
          <w:lang w:val="en-US" w:eastAsia="zh-CN"/>
        </w:rPr>
        <w:t>102.2</w:t>
      </w:r>
      <w:r>
        <w:rPr>
          <w:rFonts w:hint="eastAsia" w:ascii="仿宋_GB2312" w:hAnsi="仿宋" w:eastAsia="仿宋_GB2312"/>
          <w:color w:val="auto"/>
          <w:sz w:val="36"/>
          <w:szCs w:val="36"/>
          <w:highlight w:val="none"/>
        </w:rPr>
        <w:t>%；债务付息支出588万元，为年</w:t>
      </w:r>
      <w:r>
        <w:rPr>
          <w:rFonts w:hint="eastAsia" w:ascii="仿宋_GB2312" w:hAnsi="仿宋" w:eastAsia="仿宋_GB2312"/>
          <w:color w:val="auto"/>
          <w:sz w:val="36"/>
          <w:szCs w:val="36"/>
          <w:highlight w:val="none"/>
          <w:lang w:val="en-US" w:eastAsia="zh-CN"/>
        </w:rPr>
        <w:t>调整</w:t>
      </w:r>
      <w:r>
        <w:rPr>
          <w:rFonts w:hint="eastAsia" w:ascii="仿宋_GB2312" w:hAnsi="仿宋" w:eastAsia="仿宋_GB2312"/>
          <w:color w:val="auto"/>
          <w:sz w:val="36"/>
          <w:szCs w:val="36"/>
          <w:highlight w:val="none"/>
        </w:rPr>
        <w:t>预算的</w:t>
      </w:r>
      <w:r>
        <w:rPr>
          <w:rFonts w:hint="eastAsia" w:ascii="仿宋_GB2312" w:hAnsi="仿宋" w:eastAsia="仿宋_GB2312"/>
          <w:color w:val="auto"/>
          <w:sz w:val="36"/>
          <w:szCs w:val="36"/>
          <w:highlight w:val="none"/>
          <w:lang w:val="en-US" w:eastAsia="zh-CN"/>
        </w:rPr>
        <w:t>100</w:t>
      </w:r>
      <w:r>
        <w:rPr>
          <w:rFonts w:hint="eastAsia" w:ascii="仿宋_GB2312" w:hAnsi="仿宋" w:eastAsia="仿宋_GB2312"/>
          <w:color w:val="auto"/>
          <w:sz w:val="36"/>
          <w:szCs w:val="36"/>
          <w:highlight w:val="none"/>
        </w:rPr>
        <w:t>%；债务发行费用</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万元。</w:t>
      </w:r>
    </w:p>
    <w:p w14:paraId="789897FC">
      <w:pPr>
        <w:keepNext w:val="0"/>
        <w:keepLines w:val="0"/>
        <w:pageBreakBefore w:val="0"/>
        <w:widowControl w:val="0"/>
        <w:kinsoku/>
        <w:wordWrap/>
        <w:overflowPunct/>
        <w:autoSpaceDE/>
        <w:autoSpaceDN/>
        <w:bidi w:val="0"/>
        <w:spacing w:line="560" w:lineRule="exact"/>
        <w:ind w:left="0" w:firstLine="723" w:firstLineChars="200"/>
        <w:textAlignment w:val="auto"/>
        <w:rPr>
          <w:rFonts w:ascii="仿宋_GB2312" w:hAnsi="仿宋" w:eastAsia="仿宋_GB2312"/>
          <w:color w:val="auto"/>
          <w:sz w:val="36"/>
          <w:szCs w:val="36"/>
          <w:highlight w:val="none"/>
        </w:rPr>
      </w:pPr>
      <w:r>
        <w:rPr>
          <w:rFonts w:hint="eastAsia" w:ascii="仿宋_GB2312" w:hAnsi="仿宋" w:eastAsia="仿宋_GB2312"/>
          <w:b/>
          <w:bCs/>
          <w:color w:val="auto"/>
          <w:sz w:val="36"/>
          <w:szCs w:val="36"/>
          <w:highlight w:val="none"/>
        </w:rPr>
        <w:t>3</w:t>
      </w:r>
      <w:r>
        <w:rPr>
          <w:rFonts w:hint="eastAsia" w:ascii="仿宋_GB2312" w:hAnsi="仿宋" w:eastAsia="仿宋_GB2312"/>
          <w:b/>
          <w:bCs/>
          <w:color w:val="auto"/>
          <w:sz w:val="36"/>
          <w:szCs w:val="36"/>
          <w:highlight w:val="none"/>
          <w:lang w:eastAsia="zh-CN"/>
        </w:rPr>
        <w:t>.</w:t>
      </w:r>
      <w:r>
        <w:rPr>
          <w:rFonts w:hint="eastAsia" w:ascii="仿宋_GB2312" w:hAnsi="仿宋" w:eastAsia="仿宋_GB2312"/>
          <w:b/>
          <w:bCs/>
          <w:color w:val="auto"/>
          <w:sz w:val="36"/>
          <w:szCs w:val="36"/>
          <w:highlight w:val="none"/>
        </w:rPr>
        <w:t>财政收支平衡情况。</w:t>
      </w:r>
      <w:r>
        <w:rPr>
          <w:rFonts w:hint="eastAsia" w:ascii="仿宋_GB2312" w:hAnsi="仿宋" w:eastAsia="仿宋_GB2312"/>
          <w:color w:val="auto"/>
          <w:sz w:val="36"/>
          <w:szCs w:val="36"/>
          <w:highlight w:val="none"/>
        </w:rPr>
        <w:t>按现行财政体制计算，20</w:t>
      </w:r>
      <w:r>
        <w:rPr>
          <w:rFonts w:hint="eastAsia" w:ascii="仿宋_GB2312" w:hAnsi="仿宋" w:eastAsia="仿宋_GB2312"/>
          <w:color w:val="auto"/>
          <w:sz w:val="36"/>
          <w:szCs w:val="36"/>
          <w:highlight w:val="none"/>
          <w:lang w:val="en-US" w:eastAsia="zh-CN"/>
        </w:rPr>
        <w:t>23</w:t>
      </w:r>
      <w:r>
        <w:rPr>
          <w:rFonts w:hint="eastAsia" w:ascii="仿宋_GB2312" w:hAnsi="仿宋" w:eastAsia="仿宋_GB2312"/>
          <w:color w:val="auto"/>
          <w:sz w:val="36"/>
          <w:szCs w:val="36"/>
          <w:highlight w:val="none"/>
        </w:rPr>
        <w:t>年地方财政收入</w:t>
      </w:r>
      <w:r>
        <w:rPr>
          <w:rFonts w:hint="eastAsia" w:ascii="仿宋_GB2312" w:hAnsi="仿宋" w:eastAsia="仿宋_GB2312"/>
          <w:color w:val="auto"/>
          <w:sz w:val="36"/>
          <w:szCs w:val="36"/>
          <w:highlight w:val="none"/>
          <w:lang w:val="en-US" w:eastAsia="zh-CN"/>
        </w:rPr>
        <w:t>31035</w:t>
      </w:r>
      <w:r>
        <w:rPr>
          <w:rFonts w:hint="eastAsia" w:ascii="仿宋_GB2312" w:hAnsi="仿宋" w:eastAsia="仿宋_GB2312"/>
          <w:color w:val="auto"/>
          <w:sz w:val="36"/>
          <w:szCs w:val="36"/>
          <w:highlight w:val="none"/>
        </w:rPr>
        <w:t>万元，上级补助收入</w:t>
      </w:r>
      <w:r>
        <w:rPr>
          <w:rFonts w:hint="eastAsia" w:ascii="仿宋_GB2312" w:hAnsi="仿宋" w:eastAsia="仿宋_GB2312"/>
          <w:color w:val="auto"/>
          <w:sz w:val="36"/>
          <w:szCs w:val="36"/>
          <w:highlight w:val="none"/>
          <w:lang w:val="en-US" w:eastAsia="zh-CN"/>
        </w:rPr>
        <w:t>36554</w:t>
      </w:r>
      <w:r>
        <w:rPr>
          <w:rFonts w:hint="eastAsia" w:ascii="仿宋_GB2312" w:hAnsi="仿宋" w:eastAsia="仿宋_GB2312"/>
          <w:color w:val="auto"/>
          <w:sz w:val="36"/>
          <w:szCs w:val="36"/>
          <w:highlight w:val="none"/>
        </w:rPr>
        <w:t>万元，加调入资金</w:t>
      </w:r>
      <w:r>
        <w:rPr>
          <w:rFonts w:hint="eastAsia" w:ascii="仿宋_GB2312" w:hAnsi="仿宋" w:eastAsia="仿宋_GB2312"/>
          <w:color w:val="auto"/>
          <w:sz w:val="36"/>
          <w:szCs w:val="36"/>
          <w:highlight w:val="none"/>
          <w:lang w:val="en-US" w:eastAsia="zh-CN"/>
        </w:rPr>
        <w:t>9927</w:t>
      </w:r>
      <w:r>
        <w:rPr>
          <w:rFonts w:hint="eastAsia" w:ascii="仿宋_GB2312" w:hAnsi="仿宋" w:eastAsia="仿宋_GB2312"/>
          <w:color w:val="auto"/>
          <w:sz w:val="36"/>
          <w:szCs w:val="36"/>
          <w:highlight w:val="none"/>
        </w:rPr>
        <w:t>万元，债务转贷收入</w:t>
      </w:r>
      <w:r>
        <w:rPr>
          <w:rFonts w:hint="eastAsia" w:ascii="仿宋_GB2312" w:hAnsi="仿宋" w:eastAsia="仿宋_GB2312"/>
          <w:color w:val="auto"/>
          <w:sz w:val="36"/>
          <w:szCs w:val="36"/>
          <w:highlight w:val="none"/>
          <w:lang w:val="en-US" w:eastAsia="zh-CN"/>
        </w:rPr>
        <w:t>3290</w:t>
      </w:r>
      <w:r>
        <w:rPr>
          <w:rFonts w:hint="eastAsia" w:ascii="仿宋_GB2312" w:hAnsi="仿宋" w:eastAsia="仿宋_GB2312"/>
          <w:color w:val="auto"/>
          <w:sz w:val="36"/>
          <w:szCs w:val="36"/>
          <w:highlight w:val="none"/>
        </w:rPr>
        <w:t>万元，全区可用财力为</w:t>
      </w:r>
      <w:r>
        <w:rPr>
          <w:rFonts w:hint="eastAsia" w:ascii="仿宋_GB2312" w:hAnsi="仿宋" w:eastAsia="仿宋_GB2312"/>
          <w:color w:val="auto"/>
          <w:sz w:val="36"/>
          <w:szCs w:val="36"/>
          <w:highlight w:val="none"/>
          <w:lang w:val="en-US" w:eastAsia="zh-CN"/>
        </w:rPr>
        <w:t>80806</w:t>
      </w:r>
      <w:r>
        <w:rPr>
          <w:rFonts w:hint="eastAsia" w:ascii="仿宋_GB2312" w:hAnsi="仿宋" w:eastAsia="仿宋_GB2312"/>
          <w:color w:val="auto"/>
          <w:sz w:val="36"/>
          <w:szCs w:val="36"/>
          <w:highlight w:val="none"/>
        </w:rPr>
        <w:t>万元，减上解支出</w:t>
      </w:r>
      <w:r>
        <w:rPr>
          <w:rFonts w:hint="eastAsia" w:ascii="仿宋_GB2312" w:hAnsi="仿宋" w:eastAsia="仿宋_GB2312"/>
          <w:color w:val="auto"/>
          <w:sz w:val="36"/>
          <w:szCs w:val="36"/>
          <w:highlight w:val="none"/>
          <w:lang w:val="en-US" w:eastAsia="zh-CN"/>
        </w:rPr>
        <w:t>19486</w:t>
      </w:r>
      <w:r>
        <w:rPr>
          <w:rFonts w:hint="eastAsia" w:ascii="仿宋_GB2312" w:hAnsi="仿宋" w:eastAsia="仿宋_GB2312"/>
          <w:color w:val="auto"/>
          <w:sz w:val="36"/>
          <w:szCs w:val="36"/>
          <w:highlight w:val="none"/>
        </w:rPr>
        <w:t>万元，减一般公共预算支出</w:t>
      </w:r>
      <w:r>
        <w:rPr>
          <w:rFonts w:hint="eastAsia" w:ascii="仿宋_GB2312" w:hAnsi="仿宋" w:eastAsia="仿宋_GB2312"/>
          <w:color w:val="auto"/>
          <w:sz w:val="36"/>
          <w:szCs w:val="36"/>
          <w:highlight w:val="none"/>
          <w:lang w:val="en-US" w:eastAsia="zh-CN"/>
        </w:rPr>
        <w:t>59018</w:t>
      </w:r>
      <w:r>
        <w:rPr>
          <w:rFonts w:hint="eastAsia" w:ascii="仿宋_GB2312" w:hAnsi="仿宋" w:eastAsia="仿宋_GB2312"/>
          <w:color w:val="auto"/>
          <w:sz w:val="36"/>
          <w:szCs w:val="36"/>
          <w:highlight w:val="none"/>
        </w:rPr>
        <w:t>万元，减债务还本支出2</w:t>
      </w:r>
      <w:r>
        <w:rPr>
          <w:rFonts w:hint="eastAsia" w:ascii="仿宋_GB2312" w:hAnsi="仿宋" w:eastAsia="仿宋_GB2312"/>
          <w:color w:val="auto"/>
          <w:sz w:val="36"/>
          <w:szCs w:val="36"/>
          <w:highlight w:val="none"/>
          <w:lang w:val="en-US" w:eastAsia="zh-CN"/>
        </w:rPr>
        <w:t>302</w:t>
      </w:r>
      <w:r>
        <w:rPr>
          <w:rFonts w:hint="eastAsia" w:ascii="仿宋_GB2312" w:hAnsi="仿宋" w:eastAsia="仿宋_GB2312"/>
          <w:color w:val="auto"/>
          <w:sz w:val="36"/>
          <w:szCs w:val="36"/>
          <w:highlight w:val="none"/>
        </w:rPr>
        <w:t>万元，收支平衡。</w:t>
      </w:r>
    </w:p>
    <w:p w14:paraId="1E4BAB8E">
      <w:pPr>
        <w:keepNext w:val="0"/>
        <w:keepLines w:val="0"/>
        <w:pageBreakBefore w:val="0"/>
        <w:widowControl w:val="0"/>
        <w:kinsoku/>
        <w:wordWrap/>
        <w:overflowPunct/>
        <w:autoSpaceDE/>
        <w:autoSpaceDN/>
        <w:bidi w:val="0"/>
        <w:spacing w:line="560" w:lineRule="exact"/>
        <w:ind w:left="0" w:firstLine="720" w:firstLineChars="200"/>
        <w:textAlignment w:val="auto"/>
        <w:rPr>
          <w:rFonts w:ascii="仿宋_GB2312" w:hAnsi="仿宋" w:eastAsia="仿宋_GB2312"/>
          <w:color w:val="auto"/>
          <w:sz w:val="36"/>
          <w:szCs w:val="36"/>
          <w:highlight w:val="none"/>
        </w:rPr>
      </w:pPr>
      <w:r>
        <w:rPr>
          <w:rFonts w:hint="eastAsia"/>
          <w:color w:val="auto"/>
          <w:sz w:val="36"/>
          <w:szCs w:val="36"/>
          <w:highlight w:val="none"/>
        </w:rPr>
        <w:t>（二）政府性基金预算收支决算情况</w:t>
      </w:r>
    </w:p>
    <w:p w14:paraId="1ACFAE44">
      <w:pPr>
        <w:keepNext w:val="0"/>
        <w:keepLines w:val="0"/>
        <w:pageBreakBefore w:val="0"/>
        <w:widowControl w:val="0"/>
        <w:kinsoku/>
        <w:wordWrap/>
        <w:overflowPunct/>
        <w:autoSpaceDE/>
        <w:autoSpaceDN/>
        <w:bidi w:val="0"/>
        <w:spacing w:line="560" w:lineRule="exact"/>
        <w:ind w:left="0" w:firstLine="723" w:firstLineChars="200"/>
        <w:textAlignment w:val="auto"/>
        <w:rPr>
          <w:rFonts w:ascii="仿宋_GB2312" w:hAnsi="仿宋" w:eastAsia="仿宋_GB2312"/>
          <w:color w:val="auto"/>
          <w:sz w:val="36"/>
          <w:szCs w:val="36"/>
          <w:highlight w:val="cyan"/>
        </w:rPr>
      </w:pPr>
      <w:r>
        <w:rPr>
          <w:rFonts w:hint="eastAsia" w:ascii="仿宋_GB2312" w:hAnsi="仿宋" w:eastAsia="仿宋_GB2312" w:cs="宋体"/>
          <w:b/>
          <w:color w:val="auto"/>
          <w:kern w:val="0"/>
          <w:sz w:val="36"/>
          <w:szCs w:val="36"/>
          <w:highlight w:val="none"/>
        </w:rPr>
        <w:t>1</w:t>
      </w:r>
      <w:r>
        <w:rPr>
          <w:rFonts w:hint="eastAsia" w:ascii="仿宋_GB2312" w:hAnsi="仿宋" w:eastAsia="仿宋_GB2312" w:cs="宋体"/>
          <w:b/>
          <w:color w:val="auto"/>
          <w:kern w:val="0"/>
          <w:sz w:val="36"/>
          <w:szCs w:val="36"/>
          <w:highlight w:val="none"/>
          <w:lang w:eastAsia="zh-CN"/>
        </w:rPr>
        <w:t>.</w:t>
      </w:r>
      <w:r>
        <w:rPr>
          <w:rFonts w:hint="eastAsia" w:ascii="仿宋_GB2312" w:hAnsi="仿宋" w:eastAsia="仿宋_GB2312" w:cs="宋体"/>
          <w:b/>
          <w:color w:val="auto"/>
          <w:kern w:val="0"/>
          <w:sz w:val="36"/>
          <w:szCs w:val="36"/>
          <w:highlight w:val="none"/>
        </w:rPr>
        <w:t>政府性基金预算收入情况。</w:t>
      </w:r>
      <w:r>
        <w:rPr>
          <w:rFonts w:hint="eastAsia" w:ascii="仿宋_GB2312" w:hAnsi="仿宋" w:eastAsia="仿宋_GB2312"/>
          <w:color w:val="auto"/>
          <w:sz w:val="36"/>
          <w:szCs w:val="36"/>
          <w:highlight w:val="none"/>
        </w:rPr>
        <w:t>202</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年政府性基金收入共1</w:t>
      </w:r>
      <w:r>
        <w:rPr>
          <w:rFonts w:hint="eastAsia" w:ascii="仿宋_GB2312" w:hAnsi="仿宋" w:eastAsia="仿宋_GB2312"/>
          <w:color w:val="auto"/>
          <w:sz w:val="36"/>
          <w:szCs w:val="36"/>
          <w:highlight w:val="none"/>
          <w:lang w:val="en-US" w:eastAsia="zh-CN"/>
        </w:rPr>
        <w:t>1697</w:t>
      </w:r>
      <w:r>
        <w:rPr>
          <w:rFonts w:hint="eastAsia" w:ascii="仿宋_GB2312" w:hAnsi="仿宋" w:eastAsia="仿宋_GB2312"/>
          <w:color w:val="auto"/>
          <w:sz w:val="36"/>
          <w:szCs w:val="36"/>
          <w:highlight w:val="none"/>
        </w:rPr>
        <w:t>万元，其中：地方政府非标专项债券</w:t>
      </w:r>
      <w:r>
        <w:rPr>
          <w:rFonts w:hint="eastAsia" w:ascii="仿宋_GB2312" w:hAnsi="仿宋" w:eastAsia="仿宋_GB2312"/>
          <w:color w:val="auto"/>
          <w:sz w:val="36"/>
          <w:szCs w:val="36"/>
          <w:highlight w:val="none"/>
          <w:lang w:val="en-US" w:eastAsia="zh-CN"/>
        </w:rPr>
        <w:t>88</w:t>
      </w:r>
      <w:r>
        <w:rPr>
          <w:rFonts w:hint="eastAsia" w:ascii="仿宋_GB2312" w:hAnsi="仿宋" w:eastAsia="仿宋_GB2312"/>
          <w:color w:val="auto"/>
          <w:sz w:val="36"/>
          <w:szCs w:val="36"/>
          <w:highlight w:val="none"/>
        </w:rPr>
        <w:t>00万元，上级补助政府性基金收入</w:t>
      </w:r>
      <w:r>
        <w:rPr>
          <w:rFonts w:hint="eastAsia" w:ascii="仿宋_GB2312" w:hAnsi="仿宋" w:eastAsia="仿宋_GB2312"/>
          <w:color w:val="auto"/>
          <w:sz w:val="36"/>
          <w:szCs w:val="36"/>
          <w:highlight w:val="none"/>
          <w:lang w:val="en-US" w:eastAsia="zh-CN"/>
        </w:rPr>
        <w:t>2897</w:t>
      </w:r>
      <w:r>
        <w:rPr>
          <w:rFonts w:hint="eastAsia" w:ascii="仿宋_GB2312" w:hAnsi="仿宋" w:eastAsia="仿宋_GB2312"/>
          <w:color w:val="auto"/>
          <w:sz w:val="36"/>
          <w:szCs w:val="36"/>
          <w:highlight w:val="none"/>
        </w:rPr>
        <w:t>万元。</w:t>
      </w:r>
    </w:p>
    <w:p w14:paraId="14C17615">
      <w:pPr>
        <w:keepNext w:val="0"/>
        <w:keepLines w:val="0"/>
        <w:pageBreakBefore w:val="0"/>
        <w:widowControl w:val="0"/>
        <w:kinsoku/>
        <w:wordWrap/>
        <w:overflowPunct/>
        <w:autoSpaceDE/>
        <w:autoSpaceDN/>
        <w:bidi w:val="0"/>
        <w:spacing w:line="560" w:lineRule="exact"/>
        <w:ind w:left="0" w:firstLine="723" w:firstLineChars="200"/>
        <w:textAlignment w:val="auto"/>
        <w:rPr>
          <w:rFonts w:ascii="仿宋_GB2312" w:hAnsi="仿宋" w:eastAsia="仿宋_GB2312"/>
          <w:color w:val="auto"/>
          <w:sz w:val="36"/>
          <w:szCs w:val="36"/>
          <w:highlight w:val="cyan"/>
        </w:rPr>
      </w:pPr>
      <w:r>
        <w:rPr>
          <w:rFonts w:hint="eastAsia" w:ascii="仿宋_GB2312" w:hAnsi="仿宋" w:eastAsia="仿宋_GB2312" w:cs="宋体"/>
          <w:b/>
          <w:color w:val="auto"/>
          <w:kern w:val="0"/>
          <w:sz w:val="36"/>
          <w:szCs w:val="36"/>
          <w:highlight w:val="none"/>
        </w:rPr>
        <w:t>2</w:t>
      </w:r>
      <w:r>
        <w:rPr>
          <w:rFonts w:hint="eastAsia" w:ascii="仿宋_GB2312" w:hAnsi="仿宋" w:eastAsia="仿宋_GB2312" w:cs="宋体"/>
          <w:b/>
          <w:color w:val="auto"/>
          <w:kern w:val="0"/>
          <w:sz w:val="36"/>
          <w:szCs w:val="36"/>
          <w:highlight w:val="none"/>
          <w:lang w:eastAsia="zh-CN"/>
        </w:rPr>
        <w:t>.</w:t>
      </w:r>
      <w:r>
        <w:rPr>
          <w:rFonts w:hint="eastAsia" w:ascii="仿宋_GB2312" w:hAnsi="仿宋" w:eastAsia="仿宋_GB2312" w:cs="宋体"/>
          <w:b/>
          <w:color w:val="auto"/>
          <w:kern w:val="0"/>
          <w:sz w:val="36"/>
          <w:szCs w:val="36"/>
          <w:highlight w:val="none"/>
        </w:rPr>
        <w:t>政府性基金预算支出情况。</w:t>
      </w:r>
      <w:r>
        <w:rPr>
          <w:rFonts w:hint="eastAsia" w:ascii="仿宋_GB2312" w:hAnsi="仿宋" w:eastAsia="仿宋_GB2312"/>
          <w:color w:val="auto"/>
          <w:sz w:val="36"/>
          <w:szCs w:val="36"/>
          <w:highlight w:val="none"/>
        </w:rPr>
        <w:t>202</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年政府性基金支出完成</w:t>
      </w:r>
      <w:r>
        <w:rPr>
          <w:rFonts w:hint="eastAsia" w:ascii="仿宋_GB2312" w:hAnsi="仿宋" w:eastAsia="仿宋_GB2312"/>
          <w:color w:val="auto"/>
          <w:sz w:val="36"/>
          <w:szCs w:val="36"/>
          <w:highlight w:val="none"/>
          <w:lang w:val="en-US" w:eastAsia="zh-CN"/>
        </w:rPr>
        <w:t>10823</w:t>
      </w:r>
      <w:r>
        <w:rPr>
          <w:rFonts w:hint="eastAsia" w:ascii="仿宋_GB2312" w:hAnsi="仿宋" w:eastAsia="仿宋_GB2312"/>
          <w:color w:val="auto"/>
          <w:sz w:val="36"/>
          <w:szCs w:val="36"/>
          <w:highlight w:val="none"/>
        </w:rPr>
        <w:t>万元，其中：非标专项债券用于八公山风景区建设提升项目</w:t>
      </w:r>
      <w:r>
        <w:rPr>
          <w:rFonts w:hint="eastAsia" w:ascii="仿宋_GB2312" w:hAnsi="仿宋" w:eastAsia="仿宋_GB2312"/>
          <w:color w:val="auto"/>
          <w:sz w:val="36"/>
          <w:szCs w:val="36"/>
          <w:highlight w:val="none"/>
          <w:lang w:val="en-US" w:eastAsia="zh-CN"/>
        </w:rPr>
        <w:t>5</w:t>
      </w:r>
      <w:r>
        <w:rPr>
          <w:rFonts w:hint="eastAsia" w:ascii="仿宋_GB2312" w:hAnsi="仿宋" w:eastAsia="仿宋_GB2312"/>
          <w:color w:val="auto"/>
          <w:sz w:val="36"/>
          <w:szCs w:val="36"/>
          <w:highlight w:val="none"/>
        </w:rPr>
        <w:t>600万元</w:t>
      </w:r>
      <w:r>
        <w:rPr>
          <w:rFonts w:hint="eastAsia" w:ascii="仿宋_GB2312" w:hAnsi="仿宋" w:eastAsia="仿宋_GB2312"/>
          <w:color w:val="auto"/>
          <w:sz w:val="36"/>
          <w:szCs w:val="36"/>
          <w:highlight w:val="none"/>
          <w:lang w:eastAsia="zh-CN"/>
        </w:rPr>
        <w:t>、</w:t>
      </w:r>
      <w:r>
        <w:rPr>
          <w:rFonts w:hint="eastAsia" w:ascii="仿宋_GB2312" w:hAnsi="仿宋" w:eastAsia="仿宋_GB2312"/>
          <w:color w:val="auto"/>
          <w:sz w:val="36"/>
          <w:szCs w:val="36"/>
          <w:highlight w:val="none"/>
          <w:lang w:val="en-US" w:eastAsia="zh-CN"/>
        </w:rPr>
        <w:t>水环境综合治理项目3200万元</w:t>
      </w:r>
      <w:r>
        <w:rPr>
          <w:rFonts w:hint="eastAsia" w:ascii="仿宋_GB2312" w:hAnsi="仿宋" w:eastAsia="仿宋_GB2312"/>
          <w:color w:val="auto"/>
          <w:sz w:val="36"/>
          <w:szCs w:val="36"/>
          <w:highlight w:val="none"/>
        </w:rPr>
        <w:t>；上级补助基金用于彩票公益金支持社会福利、体育事业、残疾人事业</w:t>
      </w:r>
      <w:r>
        <w:rPr>
          <w:rFonts w:hint="eastAsia" w:ascii="仿宋_GB2312" w:hAnsi="仿宋" w:eastAsia="仿宋_GB2312"/>
          <w:color w:val="auto"/>
          <w:sz w:val="36"/>
          <w:szCs w:val="36"/>
          <w:highlight w:val="none"/>
          <w:lang w:val="en-US" w:eastAsia="zh-CN"/>
        </w:rPr>
        <w:t>241</w:t>
      </w:r>
      <w:r>
        <w:rPr>
          <w:rFonts w:hint="eastAsia" w:ascii="仿宋_GB2312" w:hAnsi="仿宋" w:eastAsia="仿宋_GB2312"/>
          <w:color w:val="auto"/>
          <w:sz w:val="36"/>
          <w:szCs w:val="36"/>
          <w:highlight w:val="none"/>
        </w:rPr>
        <w:t>万元，水库移民扶持基金2万元，农村基础设施建设等城乡支出</w:t>
      </w:r>
      <w:r>
        <w:rPr>
          <w:rFonts w:hint="eastAsia" w:ascii="仿宋_GB2312" w:hAnsi="仿宋" w:eastAsia="仿宋_GB2312"/>
          <w:color w:val="auto"/>
          <w:sz w:val="36"/>
          <w:szCs w:val="36"/>
          <w:highlight w:val="none"/>
          <w:lang w:val="en-US" w:eastAsia="zh-CN"/>
        </w:rPr>
        <w:t>434</w:t>
      </w:r>
      <w:r>
        <w:rPr>
          <w:rFonts w:hint="eastAsia" w:ascii="仿宋_GB2312" w:hAnsi="仿宋" w:eastAsia="仿宋_GB2312"/>
          <w:color w:val="auto"/>
          <w:sz w:val="36"/>
          <w:szCs w:val="36"/>
          <w:highlight w:val="none"/>
        </w:rPr>
        <w:t>万元，专项债券利息及发行费用支出</w:t>
      </w:r>
      <w:r>
        <w:rPr>
          <w:rFonts w:hint="eastAsia" w:ascii="仿宋_GB2312" w:hAnsi="仿宋" w:eastAsia="仿宋_GB2312"/>
          <w:color w:val="auto"/>
          <w:sz w:val="36"/>
          <w:szCs w:val="36"/>
          <w:highlight w:val="none"/>
          <w:lang w:val="en-US" w:eastAsia="zh-CN"/>
        </w:rPr>
        <w:t>1346</w:t>
      </w:r>
      <w:r>
        <w:rPr>
          <w:rFonts w:hint="eastAsia" w:ascii="仿宋_GB2312" w:hAnsi="仿宋" w:eastAsia="仿宋_GB2312"/>
          <w:color w:val="auto"/>
          <w:sz w:val="36"/>
          <w:szCs w:val="36"/>
          <w:highlight w:val="none"/>
        </w:rPr>
        <w:t>万元。</w:t>
      </w:r>
    </w:p>
    <w:p w14:paraId="47F4D801">
      <w:pPr>
        <w:keepNext w:val="0"/>
        <w:keepLines w:val="0"/>
        <w:pageBreakBefore w:val="0"/>
        <w:widowControl w:val="0"/>
        <w:kinsoku/>
        <w:wordWrap/>
        <w:overflowPunct/>
        <w:autoSpaceDE/>
        <w:autoSpaceDN/>
        <w:bidi w:val="0"/>
        <w:spacing w:line="560" w:lineRule="exact"/>
        <w:ind w:left="0" w:firstLine="723" w:firstLineChars="200"/>
        <w:textAlignment w:val="auto"/>
        <w:rPr>
          <w:rFonts w:ascii="仿宋_GB2312" w:hAnsi="仿宋" w:eastAsia="仿宋_GB2312"/>
          <w:color w:val="auto"/>
          <w:sz w:val="36"/>
          <w:szCs w:val="36"/>
          <w:highlight w:val="none"/>
        </w:rPr>
      </w:pPr>
      <w:r>
        <w:rPr>
          <w:rFonts w:hint="eastAsia" w:ascii="仿宋_GB2312" w:hAnsi="仿宋" w:eastAsia="仿宋_GB2312" w:cs="宋体"/>
          <w:b/>
          <w:color w:val="auto"/>
          <w:kern w:val="0"/>
          <w:sz w:val="36"/>
          <w:szCs w:val="36"/>
          <w:highlight w:val="none"/>
        </w:rPr>
        <w:t>3、政府性基金预算平衡情况。</w:t>
      </w:r>
      <w:r>
        <w:rPr>
          <w:rFonts w:hint="eastAsia" w:ascii="仿宋_GB2312" w:hAnsi="仿宋" w:eastAsia="仿宋_GB2312"/>
          <w:color w:val="auto"/>
          <w:sz w:val="36"/>
          <w:szCs w:val="36"/>
          <w:highlight w:val="none"/>
        </w:rPr>
        <w:t>202</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年政府性基金收入1</w:t>
      </w:r>
      <w:r>
        <w:rPr>
          <w:rFonts w:hint="eastAsia" w:ascii="仿宋_GB2312" w:hAnsi="仿宋" w:eastAsia="仿宋_GB2312"/>
          <w:color w:val="auto"/>
          <w:sz w:val="36"/>
          <w:szCs w:val="36"/>
          <w:highlight w:val="none"/>
          <w:lang w:val="en-US" w:eastAsia="zh-CN"/>
        </w:rPr>
        <w:t>1697</w:t>
      </w:r>
      <w:r>
        <w:rPr>
          <w:rFonts w:hint="eastAsia" w:ascii="仿宋_GB2312" w:hAnsi="仿宋" w:eastAsia="仿宋_GB2312"/>
          <w:color w:val="auto"/>
          <w:sz w:val="36"/>
          <w:szCs w:val="36"/>
          <w:highlight w:val="none"/>
        </w:rPr>
        <w:t>万元，加调入资金</w:t>
      </w:r>
      <w:r>
        <w:rPr>
          <w:rFonts w:hint="eastAsia" w:ascii="仿宋_GB2312" w:hAnsi="仿宋" w:eastAsia="仿宋_GB2312"/>
          <w:color w:val="auto"/>
          <w:sz w:val="36"/>
          <w:szCs w:val="36"/>
          <w:highlight w:val="none"/>
          <w:lang w:val="en-US" w:eastAsia="zh-CN"/>
        </w:rPr>
        <w:t>845</w:t>
      </w:r>
      <w:r>
        <w:rPr>
          <w:rFonts w:hint="eastAsia" w:ascii="仿宋_GB2312" w:hAnsi="仿宋" w:eastAsia="仿宋_GB2312"/>
          <w:color w:val="auto"/>
          <w:sz w:val="36"/>
          <w:szCs w:val="36"/>
          <w:highlight w:val="none"/>
        </w:rPr>
        <w:t>万元，上年结余</w:t>
      </w:r>
      <w:r>
        <w:rPr>
          <w:rFonts w:hint="eastAsia" w:ascii="仿宋_GB2312" w:hAnsi="仿宋" w:eastAsia="仿宋_GB2312"/>
          <w:color w:val="auto"/>
          <w:sz w:val="36"/>
          <w:szCs w:val="36"/>
          <w:highlight w:val="none"/>
          <w:lang w:val="en-US" w:eastAsia="zh-CN"/>
        </w:rPr>
        <w:t>584</w:t>
      </w:r>
      <w:r>
        <w:rPr>
          <w:rFonts w:hint="eastAsia" w:ascii="仿宋_GB2312" w:hAnsi="仿宋" w:eastAsia="仿宋_GB2312"/>
          <w:color w:val="auto"/>
          <w:sz w:val="36"/>
          <w:szCs w:val="36"/>
          <w:highlight w:val="none"/>
        </w:rPr>
        <w:t>万元，共计</w:t>
      </w:r>
      <w:r>
        <w:rPr>
          <w:rFonts w:hint="eastAsia" w:ascii="仿宋_GB2312" w:hAnsi="仿宋" w:eastAsia="仿宋_GB2312"/>
          <w:color w:val="auto"/>
          <w:sz w:val="36"/>
          <w:szCs w:val="36"/>
          <w:highlight w:val="none"/>
          <w:lang w:val="en-US" w:eastAsia="zh-CN"/>
        </w:rPr>
        <w:t>13126</w:t>
      </w:r>
      <w:r>
        <w:rPr>
          <w:rFonts w:hint="eastAsia" w:ascii="仿宋_GB2312" w:hAnsi="仿宋" w:eastAsia="仿宋_GB2312"/>
          <w:color w:val="auto"/>
          <w:sz w:val="36"/>
          <w:szCs w:val="36"/>
          <w:highlight w:val="none"/>
        </w:rPr>
        <w:t>万元，减政府性基金支出</w:t>
      </w:r>
      <w:r>
        <w:rPr>
          <w:rFonts w:hint="eastAsia" w:ascii="仿宋_GB2312" w:hAnsi="仿宋" w:eastAsia="仿宋_GB2312"/>
          <w:color w:val="auto"/>
          <w:sz w:val="36"/>
          <w:szCs w:val="36"/>
          <w:highlight w:val="none"/>
          <w:lang w:val="en-US" w:eastAsia="zh-CN"/>
        </w:rPr>
        <w:t>10823</w:t>
      </w:r>
      <w:r>
        <w:rPr>
          <w:rFonts w:hint="eastAsia" w:ascii="仿宋_GB2312" w:hAnsi="仿宋" w:eastAsia="仿宋_GB2312"/>
          <w:color w:val="auto"/>
          <w:sz w:val="36"/>
          <w:szCs w:val="36"/>
          <w:highlight w:val="none"/>
        </w:rPr>
        <w:t>万元，</w:t>
      </w:r>
      <w:r>
        <w:rPr>
          <w:rFonts w:hint="eastAsia" w:ascii="仿宋_GB2312" w:hAnsi="仿宋" w:eastAsia="仿宋_GB2312"/>
          <w:color w:val="auto"/>
          <w:sz w:val="36"/>
          <w:szCs w:val="36"/>
          <w:highlight w:val="none"/>
          <w:lang w:val="en-US" w:eastAsia="zh-CN"/>
        </w:rPr>
        <w:t>减调出资金408万元，</w:t>
      </w:r>
      <w:r>
        <w:rPr>
          <w:rFonts w:hint="eastAsia" w:ascii="仿宋_GB2312" w:hAnsi="仿宋" w:eastAsia="仿宋_GB2312"/>
          <w:color w:val="auto"/>
          <w:sz w:val="36"/>
          <w:szCs w:val="36"/>
          <w:highlight w:val="none"/>
        </w:rPr>
        <w:t>结余</w:t>
      </w:r>
      <w:r>
        <w:rPr>
          <w:rFonts w:hint="eastAsia" w:ascii="仿宋_GB2312" w:hAnsi="仿宋" w:eastAsia="仿宋_GB2312"/>
          <w:color w:val="auto"/>
          <w:sz w:val="36"/>
          <w:szCs w:val="36"/>
          <w:highlight w:val="none"/>
          <w:lang w:val="en-US" w:eastAsia="zh-CN"/>
        </w:rPr>
        <w:t>1895</w:t>
      </w:r>
      <w:r>
        <w:rPr>
          <w:rFonts w:hint="eastAsia" w:ascii="仿宋_GB2312" w:hAnsi="仿宋" w:eastAsia="仿宋_GB2312"/>
          <w:color w:val="auto"/>
          <w:sz w:val="36"/>
          <w:szCs w:val="36"/>
          <w:highlight w:val="none"/>
        </w:rPr>
        <w:t>万元。</w:t>
      </w:r>
    </w:p>
    <w:p w14:paraId="61D19330">
      <w:pPr>
        <w:keepNext w:val="0"/>
        <w:keepLines w:val="0"/>
        <w:pageBreakBefore w:val="0"/>
        <w:widowControl w:val="0"/>
        <w:kinsoku/>
        <w:wordWrap/>
        <w:overflowPunct/>
        <w:autoSpaceDE/>
        <w:autoSpaceDN/>
        <w:bidi w:val="0"/>
        <w:spacing w:line="560" w:lineRule="exact"/>
        <w:ind w:left="0" w:firstLine="720" w:firstLineChars="200"/>
        <w:textAlignment w:val="auto"/>
        <w:rPr>
          <w:rFonts w:ascii="仿宋_GB2312" w:hAnsi="仿宋" w:eastAsia="仿宋_GB2312"/>
          <w:color w:val="auto"/>
          <w:sz w:val="36"/>
          <w:szCs w:val="36"/>
          <w:highlight w:val="none"/>
        </w:rPr>
      </w:pPr>
      <w:r>
        <w:rPr>
          <w:rFonts w:hint="eastAsia"/>
          <w:color w:val="auto"/>
          <w:sz w:val="36"/>
          <w:szCs w:val="36"/>
          <w:highlight w:val="none"/>
        </w:rPr>
        <w:t>（三）国有资本经营预算收支决算情况</w:t>
      </w:r>
    </w:p>
    <w:p w14:paraId="3863D609">
      <w:pPr>
        <w:keepNext w:val="0"/>
        <w:keepLines w:val="0"/>
        <w:pageBreakBefore w:val="0"/>
        <w:widowControl w:val="0"/>
        <w:kinsoku/>
        <w:wordWrap/>
        <w:overflowPunct/>
        <w:autoSpaceDE/>
        <w:autoSpaceDN/>
        <w:bidi w:val="0"/>
        <w:spacing w:line="560" w:lineRule="exact"/>
        <w:ind w:left="0" w:firstLine="720" w:firstLineChars="200"/>
        <w:textAlignment w:val="auto"/>
        <w:rPr>
          <w:rFonts w:eastAsia="仿宋_GB2312"/>
          <w:color w:val="auto"/>
          <w:sz w:val="36"/>
          <w:szCs w:val="36"/>
          <w:highlight w:val="none"/>
        </w:rPr>
      </w:pPr>
      <w:r>
        <w:rPr>
          <w:rFonts w:hint="eastAsia" w:ascii="仿宋_GB2312" w:hAnsi="仿宋" w:eastAsia="仿宋_GB2312"/>
          <w:color w:val="auto"/>
          <w:sz w:val="36"/>
          <w:szCs w:val="36"/>
          <w:highlight w:val="none"/>
        </w:rPr>
        <w:t>202</w:t>
      </w:r>
      <w:r>
        <w:rPr>
          <w:rFonts w:hint="eastAsia" w:ascii="仿宋_GB2312" w:hAnsi="仿宋" w:eastAsia="仿宋_GB2312"/>
          <w:color w:val="auto"/>
          <w:sz w:val="36"/>
          <w:szCs w:val="36"/>
          <w:highlight w:val="none"/>
          <w:lang w:val="en-US" w:eastAsia="zh-CN"/>
        </w:rPr>
        <w:t>3</w:t>
      </w:r>
      <w:r>
        <w:rPr>
          <w:rFonts w:hint="eastAsia" w:ascii="仿宋_GB2312" w:hAnsi="仿宋" w:eastAsia="仿宋_GB2312"/>
          <w:color w:val="auto"/>
          <w:sz w:val="36"/>
          <w:szCs w:val="36"/>
          <w:highlight w:val="none"/>
        </w:rPr>
        <w:t>年国有资本经营预算收入共</w:t>
      </w:r>
      <w:r>
        <w:rPr>
          <w:rFonts w:hint="eastAsia" w:ascii="仿宋_GB2312" w:hAnsi="仿宋" w:eastAsia="仿宋_GB2312"/>
          <w:color w:val="auto"/>
          <w:sz w:val="36"/>
          <w:szCs w:val="36"/>
          <w:highlight w:val="none"/>
          <w:lang w:val="en-US" w:eastAsia="zh-CN"/>
        </w:rPr>
        <w:t>142</w:t>
      </w:r>
      <w:r>
        <w:rPr>
          <w:rFonts w:hint="eastAsia" w:ascii="仿宋_GB2312" w:hAnsi="仿宋" w:eastAsia="仿宋_GB2312"/>
          <w:color w:val="auto"/>
          <w:sz w:val="36"/>
          <w:szCs w:val="36"/>
          <w:highlight w:val="none"/>
        </w:rPr>
        <w:t>万元，其中：上级补助国有资本经营预算收入</w:t>
      </w:r>
      <w:r>
        <w:rPr>
          <w:rFonts w:hint="eastAsia" w:ascii="仿宋_GB2312" w:hAnsi="仿宋" w:eastAsia="仿宋_GB2312"/>
          <w:color w:val="auto"/>
          <w:sz w:val="36"/>
          <w:szCs w:val="36"/>
          <w:highlight w:val="none"/>
          <w:lang w:val="en-US" w:eastAsia="zh-CN"/>
        </w:rPr>
        <w:t>142</w:t>
      </w:r>
      <w:r>
        <w:rPr>
          <w:rFonts w:hint="eastAsia" w:ascii="仿宋_GB2312" w:hAnsi="仿宋" w:eastAsia="仿宋_GB2312"/>
          <w:color w:val="auto"/>
          <w:sz w:val="36"/>
          <w:szCs w:val="36"/>
          <w:highlight w:val="none"/>
        </w:rPr>
        <w:t>万元，减调入一般公共预算支出</w:t>
      </w:r>
      <w:r>
        <w:rPr>
          <w:rFonts w:hint="eastAsia" w:ascii="仿宋_GB2312" w:hAnsi="仿宋" w:eastAsia="仿宋_GB2312"/>
          <w:color w:val="auto"/>
          <w:sz w:val="36"/>
          <w:szCs w:val="36"/>
          <w:highlight w:val="none"/>
          <w:lang w:val="en-US" w:eastAsia="zh-CN"/>
        </w:rPr>
        <w:t>142</w:t>
      </w:r>
      <w:r>
        <w:rPr>
          <w:rFonts w:hint="eastAsia" w:ascii="仿宋_GB2312" w:hAnsi="仿宋" w:eastAsia="仿宋_GB2312"/>
          <w:color w:val="auto"/>
          <w:sz w:val="36"/>
          <w:szCs w:val="36"/>
          <w:highlight w:val="none"/>
        </w:rPr>
        <w:t>万元，收支平衡。</w:t>
      </w:r>
    </w:p>
    <w:p w14:paraId="0A486E99">
      <w:pPr>
        <w:keepNext w:val="0"/>
        <w:keepLines w:val="0"/>
        <w:pageBreakBefore w:val="0"/>
        <w:widowControl w:val="0"/>
        <w:kinsoku/>
        <w:wordWrap/>
        <w:overflowPunct/>
        <w:autoSpaceDE/>
        <w:autoSpaceDN/>
        <w:bidi w:val="0"/>
        <w:spacing w:line="560" w:lineRule="exact"/>
        <w:ind w:left="0" w:firstLine="720" w:firstLineChars="200"/>
        <w:textAlignment w:val="auto"/>
        <w:rPr>
          <w:color w:val="auto"/>
          <w:sz w:val="36"/>
          <w:szCs w:val="36"/>
          <w:highlight w:val="none"/>
        </w:rPr>
      </w:pPr>
      <w:r>
        <w:rPr>
          <w:rFonts w:hint="eastAsia"/>
          <w:color w:val="auto"/>
          <w:sz w:val="36"/>
          <w:szCs w:val="36"/>
          <w:highlight w:val="none"/>
        </w:rPr>
        <w:t>（四）地方政府债务情况</w:t>
      </w:r>
    </w:p>
    <w:p w14:paraId="21B7FCC9">
      <w:pPr>
        <w:keepNext w:val="0"/>
        <w:keepLines w:val="0"/>
        <w:pageBreakBefore w:val="0"/>
        <w:widowControl w:val="0"/>
        <w:kinsoku/>
        <w:wordWrap/>
        <w:overflowPunct/>
        <w:autoSpaceDE/>
        <w:autoSpaceDN/>
        <w:bidi w:val="0"/>
        <w:spacing w:line="560" w:lineRule="exact"/>
        <w:ind w:left="0" w:firstLine="720" w:firstLineChars="200"/>
        <w:textAlignment w:val="auto"/>
        <w:rPr>
          <w:rFonts w:ascii="仿宋_GB2312" w:hAnsi="仿宋" w:eastAsia="仿宋_GB2312"/>
          <w:color w:val="auto"/>
          <w:sz w:val="36"/>
          <w:szCs w:val="36"/>
          <w:highlight w:val="none"/>
        </w:rPr>
      </w:pPr>
      <w:r>
        <w:rPr>
          <w:rFonts w:hint="eastAsia" w:ascii="仿宋_GB2312" w:hAnsi="仿宋" w:eastAsia="仿宋_GB2312"/>
          <w:color w:val="auto"/>
          <w:sz w:val="36"/>
          <w:szCs w:val="36"/>
          <w:highlight w:val="none"/>
        </w:rPr>
        <w:t>2023年初政府债务余额52948万元，新增专项债券额度8800万元（其中，八公山风景区建设提升项目5600万元，八公山区水环境综合治理项目3200万元），一般债券额度1040万元（南塘水库安全监测设施建设项目40万元、山王镇闪冲村和美乡村精品示范村1000万元），再融资债券额度2250万元。2023年到期一般债券2302万元，已通过2023年再融资债券偿还2250万元，自有资金偿还52万元；2023年债务余额62736万元，在省核定的年度地方政府债务限额管控范围。</w:t>
      </w:r>
    </w:p>
    <w:p w14:paraId="1DDAFE23">
      <w:pPr>
        <w:keepNext w:val="0"/>
        <w:keepLines w:val="0"/>
        <w:pageBreakBefore w:val="0"/>
        <w:widowControl w:val="0"/>
        <w:kinsoku/>
        <w:wordWrap/>
        <w:overflowPunct/>
        <w:autoSpaceDE/>
        <w:autoSpaceDN/>
        <w:bidi w:val="0"/>
        <w:spacing w:line="560" w:lineRule="exact"/>
        <w:ind w:left="0" w:firstLine="720" w:firstLineChars="200"/>
        <w:textAlignment w:val="auto"/>
        <w:rPr>
          <w:color w:val="auto"/>
          <w:sz w:val="36"/>
          <w:szCs w:val="36"/>
          <w:highlight w:val="none"/>
        </w:rPr>
      </w:pPr>
      <w:r>
        <w:rPr>
          <w:rFonts w:hint="eastAsia"/>
          <w:color w:val="auto"/>
          <w:sz w:val="36"/>
          <w:szCs w:val="36"/>
          <w:highlight w:val="none"/>
        </w:rPr>
        <w:t>（五）主要政策落实及重点工作开展情况</w:t>
      </w:r>
    </w:p>
    <w:p w14:paraId="7FF23A63">
      <w:pPr>
        <w:keepNext w:val="0"/>
        <w:keepLines w:val="0"/>
        <w:pageBreakBefore w:val="0"/>
        <w:widowControl w:val="0"/>
        <w:kinsoku/>
        <w:wordWrap/>
        <w:overflowPunct/>
        <w:topLinePunct/>
        <w:autoSpaceDE/>
        <w:autoSpaceDN/>
        <w:bidi w:val="0"/>
        <w:spacing w:line="560" w:lineRule="exact"/>
        <w:ind w:left="0" w:firstLine="723" w:firstLineChars="200"/>
        <w:textAlignment w:val="auto"/>
        <w:rPr>
          <w:rFonts w:hint="eastAsia" w:ascii="仿宋_GB2312" w:hAnsi="仿宋" w:eastAsia="仿宋_GB2312"/>
          <w:color w:val="auto"/>
          <w:sz w:val="36"/>
          <w:szCs w:val="36"/>
          <w:highlight w:val="none"/>
          <w:lang w:val="en-US" w:eastAsia="zh-CN"/>
        </w:rPr>
      </w:pPr>
      <w:r>
        <w:rPr>
          <w:rFonts w:hint="eastAsia" w:ascii="仿宋_GB2312" w:hAnsi="仿宋_GB2312" w:eastAsia="仿宋_GB2312" w:cs="仿宋_GB2312"/>
          <w:b/>
          <w:bCs/>
          <w:color w:val="000000" w:themeColor="text1"/>
          <w:kern w:val="0"/>
          <w:sz w:val="36"/>
          <w:szCs w:val="36"/>
          <w:highlight w:val="none"/>
          <w:lang w:val="en-US" w:eastAsia="zh-CN"/>
          <w14:textFill>
            <w14:solidFill>
              <w14:schemeClr w14:val="tx1"/>
            </w14:solidFill>
          </w14:textFill>
        </w:rPr>
        <w:t>1.实施积极政策，经济运行回升向好。</w:t>
      </w:r>
      <w:r>
        <w:rPr>
          <w:rFonts w:hint="eastAsia" w:ascii="仿宋_GB2312" w:hAnsi="仿宋" w:eastAsia="仿宋_GB2312"/>
          <w:color w:val="auto"/>
          <w:sz w:val="36"/>
          <w:szCs w:val="36"/>
          <w:highlight w:val="none"/>
          <w:lang w:val="en-US" w:eastAsia="zh-CN"/>
        </w:rPr>
        <w:t>有效发挥经济压舱石作用，</w:t>
      </w:r>
      <w:r>
        <w:rPr>
          <w:rFonts w:hint="eastAsia" w:ascii="仿宋_GB2312" w:hAnsi="仿宋_GB2312" w:eastAsia="仿宋_GB2312" w:cs="仿宋_GB2312"/>
          <w:color w:val="000000" w:themeColor="text1"/>
          <w:kern w:val="0"/>
          <w:sz w:val="36"/>
          <w:szCs w:val="36"/>
          <w:highlight w:val="none"/>
          <w:lang w:eastAsia="zh-CN"/>
          <w14:textFill>
            <w14:solidFill>
              <w14:schemeClr w14:val="tx1"/>
            </w14:solidFill>
          </w14:textFill>
        </w:rPr>
        <w:t>紧紧围绕区人代会收入目标，在稳存量、谋增量、扩总量上出实招，</w:t>
      </w:r>
      <w:r>
        <w:rPr>
          <w:rFonts w:hint="eastAsia" w:ascii="仿宋_GB2312" w:hAnsi="仿宋" w:eastAsia="仿宋_GB2312"/>
          <w:color w:val="auto"/>
          <w:sz w:val="36"/>
          <w:szCs w:val="36"/>
          <w:highlight w:val="none"/>
          <w:lang w:val="en-US" w:eastAsia="zh-CN"/>
        </w:rPr>
        <w:t>2023年全年地方级一般公共预算收入完成31035万元，同比增长14.8%。精准助力市场主体纾困发展，财税部门围绕市场主体需求，抓实落实减税降费，累计减轻企业税费负担4925万元；</w:t>
      </w:r>
      <w:bookmarkStart w:id="0" w:name="OLE_LINK2"/>
      <w:r>
        <w:rPr>
          <w:rFonts w:hint="eastAsia" w:ascii="仿宋_GB2312" w:hAnsi="仿宋" w:eastAsia="仿宋_GB2312"/>
          <w:color w:val="auto"/>
          <w:sz w:val="36"/>
          <w:szCs w:val="36"/>
          <w:highlight w:val="none"/>
          <w:lang w:val="en-US" w:eastAsia="zh-CN"/>
        </w:rPr>
        <w:t>积极推进财金协同助企专项行动，通过淮南市中小微企业融资平台累计帮助企业解决303笔贷款融资需求，涉及贷款总额46776万元</w:t>
      </w:r>
      <w:bookmarkEnd w:id="0"/>
      <w:r>
        <w:rPr>
          <w:rFonts w:hint="eastAsia" w:ascii="仿宋_GB2312" w:hAnsi="仿宋" w:eastAsia="仿宋_GB2312"/>
          <w:color w:val="auto"/>
          <w:sz w:val="36"/>
          <w:szCs w:val="36"/>
          <w:highlight w:val="none"/>
          <w:lang w:val="en-US" w:eastAsia="zh-CN"/>
        </w:rPr>
        <w:t>；</w:t>
      </w:r>
      <w:bookmarkStart w:id="1" w:name="OLE_LINK1"/>
      <w:r>
        <w:rPr>
          <w:rFonts w:hint="eastAsia" w:ascii="仿宋_GB2312" w:hAnsi="仿宋" w:eastAsia="仿宋_GB2312"/>
          <w:color w:val="auto"/>
          <w:sz w:val="36"/>
          <w:szCs w:val="36"/>
          <w:highlight w:val="none"/>
          <w:lang w:val="en-US" w:eastAsia="zh-CN"/>
        </w:rPr>
        <w:t>创新运用惠企政策“免申即享”平台，兑付惠企政策14项、涉及资金1167万元、惠及企业21户。</w:t>
      </w:r>
      <w:bookmarkEnd w:id="1"/>
      <w:r>
        <w:rPr>
          <w:rFonts w:hint="eastAsia" w:ascii="仿宋_GB2312" w:hAnsi="仿宋" w:eastAsia="仿宋_GB2312"/>
          <w:color w:val="auto"/>
          <w:sz w:val="36"/>
          <w:szCs w:val="36"/>
          <w:highlight w:val="none"/>
          <w:lang w:val="en-US" w:eastAsia="zh-CN"/>
        </w:rPr>
        <w:t>大力发挥政府采购导向功能，严格落实中小微企业扶持政策，推动构建手续简、审批快、管理规范高效的政府采购营商环境，进一步激发市场活力，有效发挥政府采购“政”能量，助力企业高质量发展。</w:t>
      </w:r>
    </w:p>
    <w:p w14:paraId="7899995E">
      <w:pPr>
        <w:pStyle w:val="3"/>
        <w:keepNext w:val="0"/>
        <w:keepLines w:val="0"/>
        <w:pageBreakBefore w:val="0"/>
        <w:widowControl w:val="0"/>
        <w:kinsoku/>
        <w:wordWrap/>
        <w:overflowPunct/>
        <w:autoSpaceDE/>
        <w:autoSpaceDN/>
        <w:bidi w:val="0"/>
        <w:spacing w:line="560" w:lineRule="exact"/>
        <w:ind w:left="0" w:firstLine="723" w:firstLineChars="200"/>
        <w:textAlignment w:val="auto"/>
        <w:rPr>
          <w:rFonts w:hint="default" w:ascii="仿宋_GB2312" w:hAnsi="仿宋" w:eastAsia="仿宋_GB2312"/>
          <w:color w:val="auto"/>
          <w:sz w:val="36"/>
          <w:szCs w:val="36"/>
          <w:highlight w:val="none"/>
          <w:lang w:val="en-US" w:eastAsia="zh-CN"/>
        </w:rPr>
      </w:pPr>
      <w:r>
        <w:rPr>
          <w:rFonts w:hint="eastAsia" w:ascii="仿宋_GB2312" w:hAnsi="仿宋" w:eastAsia="仿宋_GB2312"/>
          <w:b/>
          <w:bCs/>
          <w:color w:val="auto"/>
          <w:sz w:val="36"/>
          <w:szCs w:val="36"/>
          <w:highlight w:val="none"/>
          <w:lang w:val="en-US" w:eastAsia="zh-CN"/>
        </w:rPr>
        <w:t>2.优化支出结构，民生保障持续加力。</w:t>
      </w:r>
      <w:r>
        <w:rPr>
          <w:rFonts w:hint="eastAsia" w:ascii="仿宋_GB2312" w:hAnsi="仿宋" w:eastAsia="仿宋_GB2312"/>
          <w:color w:val="auto"/>
          <w:sz w:val="36"/>
          <w:szCs w:val="36"/>
          <w:highlight w:val="none"/>
          <w:lang w:val="en-US" w:eastAsia="zh-CN"/>
        </w:rPr>
        <w:t>坚持人民至上，强化普惠性、基础性、兜底性民生建设，全年民生类支出达52224万元，占财政支出比重88.5%，投入资金</w:t>
      </w:r>
      <w:r>
        <w:rPr>
          <w:rFonts w:hint="eastAsia" w:ascii="仿宋_GB2312" w:hAnsi="仿宋_GB2312" w:eastAsia="仿宋_GB2312" w:cs="仿宋_GB2312"/>
          <w:kern w:val="0"/>
          <w:sz w:val="36"/>
          <w:szCs w:val="36"/>
          <w:highlight w:val="none"/>
        </w:rPr>
        <w:t>3008</w:t>
      </w:r>
      <w:r>
        <w:rPr>
          <w:rFonts w:hint="eastAsia" w:ascii="仿宋_GB2312" w:hAnsi="仿宋" w:eastAsia="仿宋_GB2312"/>
          <w:color w:val="auto"/>
          <w:sz w:val="36"/>
          <w:szCs w:val="36"/>
          <w:highlight w:val="none"/>
          <w:lang w:val="en-US" w:eastAsia="zh-CN"/>
        </w:rPr>
        <w:t>万元实施 10 项暖民心行动及 50 项民生实事，千方百计解民忧、惠民生、保民安。支持教育优先发展，将教育作为促进发展和改善民生的重要抓手，促进优质教育均衡发展，全年教育支出完成12215万元，同比增长5%。推进卫生健康事业高质量发展，投入3665万元，进一步提升基本医疗和公共卫生服务能力；投入298万元，落实城乡居民基本医疗保险财政补助政策，持续织牢织密医疗保障防护网；投入844万元结算疫情防控经费。支持养老服务体系建设，统筹各级养老服务资金总共766万元，</w:t>
      </w:r>
      <w:bookmarkStart w:id="2" w:name="OLE_LINK3"/>
      <w:r>
        <w:rPr>
          <w:rFonts w:hint="eastAsia" w:ascii="仿宋_GB2312" w:hAnsi="仿宋" w:eastAsia="仿宋_GB2312"/>
          <w:color w:val="auto"/>
          <w:sz w:val="36"/>
          <w:szCs w:val="36"/>
          <w:highlight w:val="none"/>
          <w:lang w:val="en-US" w:eastAsia="zh-CN"/>
        </w:rPr>
        <w:t>持续完善养老服务设施网络，新增备案养老助餐点12家，养老家庭照护服务床位已达196张。</w:t>
      </w:r>
      <w:bookmarkEnd w:id="2"/>
      <w:r>
        <w:rPr>
          <w:rFonts w:hint="eastAsia" w:ascii="仿宋_GB2312" w:hAnsi="仿宋" w:eastAsia="仿宋_GB2312"/>
          <w:color w:val="auto"/>
          <w:sz w:val="36"/>
          <w:szCs w:val="36"/>
          <w:highlight w:val="none"/>
          <w:lang w:val="en-US" w:eastAsia="zh-CN"/>
        </w:rPr>
        <w:t>强化兜底保障基础，持续完善社会救助，居民医疗保险、基本公共卫生服务等财政补助标准不断提高，</w:t>
      </w:r>
      <w:bookmarkStart w:id="3" w:name="OLE_LINK4"/>
      <w:r>
        <w:rPr>
          <w:rFonts w:hint="eastAsia" w:ascii="仿宋_GB2312" w:hAnsi="仿宋" w:eastAsia="仿宋_GB2312"/>
          <w:color w:val="auto"/>
          <w:sz w:val="36"/>
          <w:szCs w:val="36"/>
          <w:highlight w:val="none"/>
          <w:lang w:val="en-US" w:eastAsia="zh-CN"/>
        </w:rPr>
        <w:t>惠民“一卡通”平台全年累计发放5087万元，涉及1.7万余人；</w:t>
      </w:r>
      <w:bookmarkEnd w:id="3"/>
      <w:r>
        <w:rPr>
          <w:rFonts w:hint="eastAsia" w:ascii="仿宋_GB2312" w:hAnsi="仿宋" w:eastAsia="仿宋_GB2312"/>
          <w:color w:val="auto"/>
          <w:sz w:val="36"/>
          <w:szCs w:val="36"/>
          <w:highlight w:val="none"/>
          <w:lang w:val="en-US" w:eastAsia="zh-CN"/>
        </w:rPr>
        <w:t>弥补机关事业单位养老保险差额5031万元、城乡居民养老保险56万元。支持实施就业优先战略，落实稳岗就业政策，投入628万元，及时兑现岗位补贴、社保补贴、培训补贴等就业专项资金，完善更高质量、更加充分的公共就业服务。</w:t>
      </w:r>
    </w:p>
    <w:p w14:paraId="3086C0BD">
      <w:pPr>
        <w:keepNext w:val="0"/>
        <w:keepLines w:val="0"/>
        <w:pageBreakBefore w:val="0"/>
        <w:widowControl w:val="0"/>
        <w:kinsoku/>
        <w:wordWrap/>
        <w:overflowPunct/>
        <w:topLinePunct/>
        <w:autoSpaceDE/>
        <w:autoSpaceDN/>
        <w:bidi w:val="0"/>
        <w:spacing w:line="560" w:lineRule="exact"/>
        <w:ind w:left="0" w:firstLine="723" w:firstLineChars="200"/>
        <w:textAlignment w:val="auto"/>
        <w:rPr>
          <w:rFonts w:hint="eastAsia" w:ascii="仿宋_GB2312" w:hAnsi="仿宋" w:eastAsia="仿宋_GB2312"/>
          <w:color w:val="auto"/>
          <w:sz w:val="36"/>
          <w:szCs w:val="36"/>
          <w:highlight w:val="none"/>
          <w:lang w:val="en-US" w:eastAsia="zh-CN"/>
        </w:rPr>
      </w:pPr>
      <w:r>
        <w:rPr>
          <w:rFonts w:hint="eastAsia" w:ascii="仿宋_GB2312" w:hAnsi="仿宋" w:eastAsia="仿宋_GB2312"/>
          <w:b/>
          <w:bCs/>
          <w:color w:val="auto"/>
          <w:sz w:val="36"/>
          <w:szCs w:val="36"/>
          <w:highlight w:val="none"/>
          <w:lang w:val="en-US" w:eastAsia="zh-CN"/>
        </w:rPr>
        <w:t>3.</w:t>
      </w:r>
      <w:r>
        <w:rPr>
          <w:rFonts w:hint="eastAsia" w:ascii="仿宋_GB2312" w:hAnsi="仿宋" w:eastAsia="仿宋_GB2312"/>
          <w:b/>
          <w:bCs/>
          <w:color w:val="auto"/>
          <w:sz w:val="36"/>
          <w:szCs w:val="36"/>
          <w:highlight w:val="none"/>
        </w:rPr>
        <w:t>发挥统筹作用，</w:t>
      </w:r>
      <w:r>
        <w:rPr>
          <w:rFonts w:hint="eastAsia" w:ascii="仿宋_GB2312" w:hAnsi="仿宋" w:eastAsia="仿宋_GB2312"/>
          <w:b/>
          <w:bCs/>
          <w:color w:val="auto"/>
          <w:sz w:val="36"/>
          <w:szCs w:val="36"/>
          <w:highlight w:val="none"/>
          <w:lang w:val="en-US" w:eastAsia="zh-CN"/>
        </w:rPr>
        <w:t>区域发展稳步</w:t>
      </w:r>
      <w:r>
        <w:rPr>
          <w:rFonts w:hint="eastAsia" w:ascii="仿宋_GB2312" w:hAnsi="仿宋" w:eastAsia="仿宋_GB2312"/>
          <w:b/>
          <w:bCs/>
          <w:color w:val="auto"/>
          <w:sz w:val="36"/>
          <w:szCs w:val="36"/>
          <w:highlight w:val="none"/>
        </w:rPr>
        <w:t>推进。</w:t>
      </w:r>
      <w:r>
        <w:rPr>
          <w:rFonts w:hint="eastAsia" w:ascii="仿宋_GB2312" w:hAnsi="仿宋" w:eastAsia="仿宋_GB2312"/>
          <w:b w:val="0"/>
          <w:bCs w:val="0"/>
          <w:color w:val="auto"/>
          <w:sz w:val="36"/>
          <w:szCs w:val="36"/>
          <w:highlight w:val="none"/>
        </w:rPr>
        <w:t>支持</w:t>
      </w:r>
      <w:bookmarkStart w:id="4" w:name="OLE_LINK14"/>
      <w:r>
        <w:rPr>
          <w:rFonts w:hint="eastAsia" w:ascii="仿宋_GB2312" w:hAnsi="仿宋" w:eastAsia="仿宋_GB2312"/>
          <w:b w:val="0"/>
          <w:bCs w:val="0"/>
          <w:color w:val="auto"/>
          <w:sz w:val="36"/>
          <w:szCs w:val="36"/>
          <w:highlight w:val="none"/>
        </w:rPr>
        <w:t>城市</w:t>
      </w:r>
      <w:bookmarkStart w:id="5" w:name="OLE_LINK13"/>
      <w:r>
        <w:rPr>
          <w:rFonts w:hint="eastAsia" w:ascii="仿宋_GB2312" w:hAnsi="仿宋" w:eastAsia="仿宋_GB2312"/>
          <w:b w:val="0"/>
          <w:bCs w:val="0"/>
          <w:color w:val="auto"/>
          <w:sz w:val="36"/>
          <w:szCs w:val="36"/>
          <w:highlight w:val="none"/>
        </w:rPr>
        <w:t>功能</w:t>
      </w:r>
      <w:bookmarkEnd w:id="5"/>
      <w:r>
        <w:rPr>
          <w:rFonts w:hint="eastAsia" w:ascii="仿宋_GB2312" w:hAnsi="仿宋" w:eastAsia="仿宋_GB2312"/>
          <w:b w:val="0"/>
          <w:bCs w:val="0"/>
          <w:color w:val="auto"/>
          <w:sz w:val="36"/>
          <w:szCs w:val="36"/>
          <w:highlight w:val="none"/>
        </w:rPr>
        <w:t>品质提升</w:t>
      </w:r>
      <w:bookmarkEnd w:id="4"/>
      <w:r>
        <w:rPr>
          <w:rFonts w:hint="eastAsia" w:ascii="仿宋_GB2312" w:hAnsi="仿宋" w:eastAsia="仿宋_GB2312"/>
          <w:b w:val="0"/>
          <w:bCs w:val="0"/>
          <w:color w:val="auto"/>
          <w:sz w:val="36"/>
          <w:szCs w:val="36"/>
          <w:highlight w:val="none"/>
        </w:rPr>
        <w:t>，投入</w:t>
      </w:r>
      <w:r>
        <w:rPr>
          <w:rFonts w:hint="eastAsia" w:ascii="仿宋_GB2312" w:hAnsi="仿宋" w:eastAsia="仿宋_GB2312"/>
          <w:b w:val="0"/>
          <w:bCs w:val="0"/>
          <w:color w:val="auto"/>
          <w:sz w:val="36"/>
          <w:szCs w:val="36"/>
          <w:highlight w:val="none"/>
          <w:lang w:val="en-US" w:eastAsia="zh-CN"/>
        </w:rPr>
        <w:t>271万</w:t>
      </w:r>
      <w:r>
        <w:rPr>
          <w:rFonts w:hint="eastAsia" w:ascii="仿宋_GB2312" w:hAnsi="仿宋" w:eastAsia="仿宋_GB2312"/>
          <w:b w:val="0"/>
          <w:bCs w:val="0"/>
          <w:color w:val="auto"/>
          <w:sz w:val="36"/>
          <w:szCs w:val="36"/>
          <w:highlight w:val="none"/>
        </w:rPr>
        <w:t>元，开展</w:t>
      </w:r>
      <w:bookmarkStart w:id="6" w:name="OLE_LINK7"/>
      <w:r>
        <w:rPr>
          <w:rFonts w:hint="eastAsia" w:ascii="仿宋_GB2312" w:hAnsi="仿宋" w:eastAsia="仿宋_GB2312"/>
          <w:b w:val="0"/>
          <w:bCs w:val="0"/>
          <w:color w:val="auto"/>
          <w:sz w:val="36"/>
          <w:szCs w:val="36"/>
          <w:highlight w:val="none"/>
        </w:rPr>
        <w:t>老旧</w:t>
      </w:r>
      <w:bookmarkEnd w:id="6"/>
      <w:r>
        <w:rPr>
          <w:rFonts w:hint="eastAsia" w:ascii="仿宋_GB2312" w:hAnsi="仿宋" w:eastAsia="仿宋_GB2312"/>
          <w:b w:val="0"/>
          <w:bCs w:val="0"/>
          <w:color w:val="auto"/>
          <w:sz w:val="36"/>
          <w:szCs w:val="36"/>
          <w:highlight w:val="none"/>
        </w:rPr>
        <w:t>小区基础设施改造等公共配套完善工作</w:t>
      </w:r>
      <w:r>
        <w:rPr>
          <w:rFonts w:hint="eastAsia" w:ascii="仿宋_GB2312" w:hAnsi="仿宋" w:eastAsia="仿宋_GB2312"/>
          <w:b w:val="0"/>
          <w:bCs w:val="0"/>
          <w:color w:val="auto"/>
          <w:sz w:val="36"/>
          <w:szCs w:val="36"/>
          <w:highlight w:val="none"/>
          <w:lang w:eastAsia="zh-CN"/>
        </w:rPr>
        <w:t>，</w:t>
      </w:r>
      <w:r>
        <w:rPr>
          <w:rFonts w:hint="eastAsia" w:ascii="仿宋_GB2312" w:hAnsi="仿宋" w:eastAsia="仿宋_GB2312"/>
          <w:b w:val="0"/>
          <w:bCs w:val="0"/>
          <w:color w:val="auto"/>
          <w:sz w:val="36"/>
          <w:szCs w:val="36"/>
          <w:highlight w:val="none"/>
        </w:rPr>
        <w:t>提升城市硬件设施，加快实施城市更新项目。持续保障全国文明城区创建工作，</w:t>
      </w:r>
      <w:r>
        <w:rPr>
          <w:rFonts w:hint="eastAsia" w:ascii="仿宋_GB2312" w:hAnsi="仿宋" w:eastAsia="仿宋_GB2312"/>
          <w:b w:val="0"/>
          <w:bCs w:val="0"/>
          <w:color w:val="auto"/>
          <w:sz w:val="36"/>
          <w:szCs w:val="36"/>
          <w:highlight w:val="none"/>
          <w:lang w:val="en-US" w:eastAsia="zh-CN"/>
        </w:rPr>
        <w:t>投入291万元，</w:t>
      </w:r>
      <w:r>
        <w:rPr>
          <w:rFonts w:hint="eastAsia" w:ascii="仿宋_GB2312" w:hAnsi="仿宋" w:eastAsia="仿宋_GB2312"/>
          <w:b w:val="0"/>
          <w:bCs w:val="0"/>
          <w:color w:val="auto"/>
          <w:sz w:val="36"/>
          <w:szCs w:val="36"/>
          <w:highlight w:val="none"/>
        </w:rPr>
        <w:t>在更高水平上提升区域文明环境。</w:t>
      </w:r>
      <w:r>
        <w:rPr>
          <w:rFonts w:hint="eastAsia" w:ascii="仿宋_GB2312" w:hAnsi="仿宋" w:eastAsia="仿宋_GB2312"/>
          <w:b w:val="0"/>
          <w:bCs w:val="0"/>
          <w:color w:val="auto"/>
          <w:sz w:val="36"/>
          <w:szCs w:val="36"/>
          <w:highlight w:val="none"/>
          <w:lang w:eastAsia="zh-CN"/>
        </w:rPr>
        <w:t>投入</w:t>
      </w:r>
      <w:r>
        <w:rPr>
          <w:rFonts w:hint="eastAsia" w:ascii="仿宋_GB2312" w:hAnsi="仿宋" w:eastAsia="仿宋_GB2312"/>
          <w:b w:val="0"/>
          <w:bCs w:val="0"/>
          <w:color w:val="auto"/>
          <w:sz w:val="36"/>
          <w:szCs w:val="36"/>
          <w:highlight w:val="none"/>
          <w:lang w:val="en-US" w:eastAsia="zh-CN"/>
        </w:rPr>
        <w:t>442万</w:t>
      </w:r>
      <w:r>
        <w:rPr>
          <w:rFonts w:hint="eastAsia" w:ascii="仿宋_GB2312" w:hAnsi="仿宋" w:eastAsia="仿宋_GB2312"/>
          <w:b w:val="0"/>
          <w:bCs w:val="0"/>
          <w:color w:val="auto"/>
          <w:sz w:val="36"/>
          <w:szCs w:val="36"/>
          <w:highlight w:val="none"/>
          <w:lang w:eastAsia="zh-CN"/>
        </w:rPr>
        <w:t>元，支持城市安全韧性提升，增强安全生产、应急管理、消防救援、防灾减灾救灾能力体系建设，城市安全发展水平有效提升。</w:t>
      </w:r>
      <w:r>
        <w:rPr>
          <w:rFonts w:hint="eastAsia" w:ascii="仿宋_GB2312" w:hAnsi="仿宋" w:eastAsia="仿宋_GB2312"/>
          <w:b w:val="0"/>
          <w:bCs w:val="0"/>
          <w:color w:val="auto"/>
          <w:sz w:val="36"/>
          <w:szCs w:val="36"/>
          <w:highlight w:val="none"/>
          <w:lang w:val="en-US" w:eastAsia="zh-CN"/>
        </w:rPr>
        <w:t>夯实</w:t>
      </w:r>
      <w:bookmarkStart w:id="7" w:name="OLE_LINK8"/>
      <w:r>
        <w:rPr>
          <w:rFonts w:hint="eastAsia" w:ascii="仿宋_GB2312" w:hAnsi="仿宋" w:eastAsia="仿宋_GB2312"/>
          <w:b w:val="0"/>
          <w:bCs w:val="0"/>
          <w:color w:val="auto"/>
          <w:sz w:val="36"/>
          <w:szCs w:val="36"/>
          <w:highlight w:val="none"/>
          <w:lang w:val="en-US" w:eastAsia="zh-CN"/>
        </w:rPr>
        <w:t>生态</w:t>
      </w:r>
      <w:bookmarkEnd w:id="7"/>
      <w:r>
        <w:rPr>
          <w:rFonts w:hint="eastAsia" w:ascii="仿宋_GB2312" w:hAnsi="仿宋" w:eastAsia="仿宋_GB2312"/>
          <w:b w:val="0"/>
          <w:bCs w:val="0"/>
          <w:color w:val="auto"/>
          <w:sz w:val="36"/>
          <w:szCs w:val="36"/>
          <w:highlight w:val="none"/>
          <w:lang w:val="en-US" w:eastAsia="zh-CN"/>
        </w:rPr>
        <w:t>环境保障</w:t>
      </w:r>
      <w:r>
        <w:rPr>
          <w:rFonts w:hint="eastAsia" w:ascii="仿宋_GB2312" w:hAnsi="仿宋" w:eastAsia="仿宋_GB2312"/>
          <w:b w:val="0"/>
          <w:bCs w:val="0"/>
          <w:color w:val="auto"/>
          <w:sz w:val="36"/>
          <w:szCs w:val="36"/>
          <w:highlight w:val="none"/>
          <w:lang w:eastAsia="zh-CN"/>
        </w:rPr>
        <w:t>，拨付资金</w:t>
      </w:r>
      <w:r>
        <w:rPr>
          <w:rFonts w:hint="eastAsia" w:ascii="仿宋_GB2312" w:hAnsi="仿宋" w:eastAsia="仿宋_GB2312"/>
          <w:b w:val="0"/>
          <w:bCs w:val="0"/>
          <w:color w:val="auto"/>
          <w:sz w:val="36"/>
          <w:szCs w:val="36"/>
          <w:highlight w:val="none"/>
          <w:lang w:val="en-US" w:eastAsia="zh-CN"/>
        </w:rPr>
        <w:t>4238万元统筹做好大气、水、土壤污染防治工作，加快推进山水林田湖草沙一体化保护和修复等生态修复项目，切实维护生态环境安全。</w:t>
      </w:r>
      <w:r>
        <w:rPr>
          <w:rFonts w:hint="default" w:ascii="仿宋_GB2312" w:hAnsi="仿宋" w:eastAsia="仿宋_GB2312"/>
          <w:b w:val="0"/>
          <w:bCs w:val="0"/>
          <w:color w:val="auto"/>
          <w:sz w:val="36"/>
          <w:szCs w:val="36"/>
          <w:highlight w:val="none"/>
          <w:lang w:val="en-US" w:eastAsia="zh-CN"/>
        </w:rPr>
        <w:t>巩固乡村振兴成效，</w:t>
      </w:r>
      <w:r>
        <w:rPr>
          <w:rFonts w:hint="eastAsia" w:ascii="仿宋_GB2312" w:hAnsi="仿宋" w:eastAsia="仿宋_GB2312"/>
          <w:b w:val="0"/>
          <w:bCs w:val="0"/>
          <w:color w:val="auto"/>
          <w:sz w:val="36"/>
          <w:szCs w:val="36"/>
          <w:highlight w:val="none"/>
          <w:lang w:val="en-US" w:eastAsia="zh-CN"/>
        </w:rPr>
        <w:t>统筹资金504万</w:t>
      </w:r>
      <w:r>
        <w:rPr>
          <w:rFonts w:hint="default" w:ascii="仿宋_GB2312" w:hAnsi="仿宋" w:eastAsia="仿宋_GB2312"/>
          <w:b w:val="0"/>
          <w:bCs w:val="0"/>
          <w:color w:val="auto"/>
          <w:sz w:val="36"/>
          <w:szCs w:val="36"/>
          <w:highlight w:val="none"/>
          <w:lang w:val="en-US" w:eastAsia="zh-CN"/>
        </w:rPr>
        <w:t>元，深入落实乡村振兴战略</w:t>
      </w:r>
      <w:r>
        <w:rPr>
          <w:rFonts w:hint="eastAsia" w:ascii="仿宋_GB2312" w:hAnsi="仿宋" w:eastAsia="仿宋_GB2312"/>
          <w:b w:val="0"/>
          <w:bCs w:val="0"/>
          <w:color w:val="auto"/>
          <w:sz w:val="36"/>
          <w:szCs w:val="36"/>
          <w:highlight w:val="none"/>
          <w:lang w:val="en-US" w:eastAsia="zh-CN"/>
        </w:rPr>
        <w:t>，</w:t>
      </w:r>
      <w:r>
        <w:rPr>
          <w:rFonts w:hint="default" w:ascii="仿宋_GB2312" w:hAnsi="仿宋" w:eastAsia="仿宋_GB2312"/>
          <w:b w:val="0"/>
          <w:bCs w:val="0"/>
          <w:color w:val="auto"/>
          <w:sz w:val="36"/>
          <w:szCs w:val="36"/>
          <w:highlight w:val="none"/>
          <w:lang w:val="en-US" w:eastAsia="zh-CN"/>
        </w:rPr>
        <w:t>常态化整治农村人居环境</w:t>
      </w:r>
      <w:r>
        <w:rPr>
          <w:rFonts w:hint="eastAsia" w:ascii="仿宋_GB2312" w:hAnsi="仿宋" w:eastAsia="仿宋_GB2312"/>
          <w:b w:val="0"/>
          <w:bCs w:val="0"/>
          <w:color w:val="auto"/>
          <w:sz w:val="36"/>
          <w:szCs w:val="36"/>
          <w:highlight w:val="none"/>
          <w:lang w:val="en-US" w:eastAsia="zh-CN"/>
        </w:rPr>
        <w:t>；</w:t>
      </w:r>
      <w:r>
        <w:rPr>
          <w:rFonts w:hint="default" w:ascii="仿宋_GB2312" w:hAnsi="仿宋" w:eastAsia="仿宋_GB2312"/>
          <w:b w:val="0"/>
          <w:bCs w:val="0"/>
          <w:color w:val="auto"/>
          <w:sz w:val="36"/>
          <w:szCs w:val="36"/>
          <w:highlight w:val="none"/>
          <w:lang w:val="en-US" w:eastAsia="zh-CN"/>
        </w:rPr>
        <w:t>实施妙山林场生态科普研学基地</w:t>
      </w:r>
      <w:r>
        <w:rPr>
          <w:rFonts w:hint="eastAsia" w:ascii="仿宋_GB2312" w:hAnsi="仿宋" w:eastAsia="仿宋_GB2312"/>
          <w:b w:val="0"/>
          <w:bCs w:val="0"/>
          <w:color w:val="auto"/>
          <w:sz w:val="36"/>
          <w:szCs w:val="36"/>
          <w:highlight w:val="none"/>
          <w:lang w:val="en-US" w:eastAsia="zh-CN"/>
        </w:rPr>
        <w:t>建设、玉露泉水厂技改等8</w:t>
      </w:r>
      <w:r>
        <w:rPr>
          <w:rFonts w:hint="default" w:ascii="仿宋_GB2312" w:hAnsi="仿宋" w:eastAsia="仿宋_GB2312"/>
          <w:b w:val="0"/>
          <w:bCs w:val="0"/>
          <w:color w:val="auto"/>
          <w:sz w:val="36"/>
          <w:szCs w:val="36"/>
          <w:highlight w:val="none"/>
          <w:lang w:val="en-US" w:eastAsia="zh-CN"/>
        </w:rPr>
        <w:t>个乡村振兴项目，</w:t>
      </w:r>
      <w:r>
        <w:rPr>
          <w:rFonts w:hint="eastAsia" w:ascii="仿宋_GB2312" w:hAnsi="仿宋" w:eastAsia="仿宋_GB2312"/>
          <w:b w:val="0"/>
          <w:bCs w:val="0"/>
          <w:color w:val="auto"/>
          <w:sz w:val="36"/>
          <w:szCs w:val="36"/>
          <w:highlight w:val="none"/>
          <w:lang w:val="en-US" w:eastAsia="zh-CN"/>
        </w:rPr>
        <w:t>争取一般债券资金1040万元支持</w:t>
      </w:r>
      <w:r>
        <w:rPr>
          <w:rFonts w:hint="eastAsia" w:ascii="仿宋_GB2312" w:hAnsi="仿宋" w:eastAsia="仿宋_GB2312"/>
          <w:color w:val="auto"/>
          <w:sz w:val="36"/>
          <w:szCs w:val="36"/>
          <w:highlight w:val="none"/>
        </w:rPr>
        <w:t>南塘水库安全监测设施建设</w:t>
      </w:r>
      <w:r>
        <w:rPr>
          <w:rFonts w:hint="eastAsia" w:ascii="仿宋_GB2312" w:hAnsi="仿宋" w:eastAsia="仿宋_GB2312"/>
          <w:color w:val="auto"/>
          <w:sz w:val="36"/>
          <w:szCs w:val="36"/>
          <w:highlight w:val="none"/>
          <w:lang w:val="en-US" w:eastAsia="zh-CN"/>
        </w:rPr>
        <w:t>和</w:t>
      </w:r>
      <w:r>
        <w:rPr>
          <w:rFonts w:hint="eastAsia" w:ascii="仿宋_GB2312" w:hAnsi="仿宋" w:eastAsia="仿宋_GB2312"/>
          <w:color w:val="auto"/>
          <w:sz w:val="36"/>
          <w:szCs w:val="36"/>
          <w:highlight w:val="none"/>
        </w:rPr>
        <w:t>山王镇闪冲村和美乡村精品示范村</w:t>
      </w:r>
      <w:r>
        <w:rPr>
          <w:rFonts w:hint="eastAsia" w:ascii="仿宋_GB2312" w:hAnsi="仿宋" w:eastAsia="仿宋_GB2312"/>
          <w:color w:val="auto"/>
          <w:sz w:val="36"/>
          <w:szCs w:val="36"/>
          <w:highlight w:val="none"/>
          <w:lang w:val="en-US" w:eastAsia="zh-CN"/>
        </w:rPr>
        <w:t>项目</w:t>
      </w:r>
      <w:r>
        <w:rPr>
          <w:rFonts w:hint="eastAsia" w:ascii="仿宋_GB2312" w:hAnsi="仿宋" w:eastAsia="仿宋_GB2312"/>
          <w:color w:val="auto"/>
          <w:sz w:val="36"/>
          <w:szCs w:val="36"/>
          <w:highlight w:val="none"/>
          <w:lang w:eastAsia="zh-CN"/>
        </w:rPr>
        <w:t>，</w:t>
      </w:r>
      <w:r>
        <w:rPr>
          <w:rFonts w:hint="default" w:ascii="仿宋_GB2312" w:hAnsi="仿宋" w:eastAsia="仿宋_GB2312"/>
          <w:b w:val="0"/>
          <w:bCs w:val="0"/>
          <w:color w:val="auto"/>
          <w:sz w:val="36"/>
          <w:szCs w:val="36"/>
          <w:highlight w:val="none"/>
          <w:lang w:val="en-US" w:eastAsia="zh-CN"/>
        </w:rPr>
        <w:t>打卡发放惠农补贴资金</w:t>
      </w:r>
      <w:r>
        <w:rPr>
          <w:rFonts w:hint="eastAsia" w:ascii="仿宋_GB2312" w:hAnsi="仿宋" w:eastAsia="仿宋_GB2312"/>
          <w:b w:val="0"/>
          <w:bCs w:val="0"/>
          <w:color w:val="auto"/>
          <w:sz w:val="36"/>
          <w:szCs w:val="36"/>
          <w:highlight w:val="none"/>
          <w:lang w:val="en-US" w:eastAsia="zh-CN"/>
        </w:rPr>
        <w:t>212万</w:t>
      </w:r>
      <w:r>
        <w:rPr>
          <w:rFonts w:hint="default" w:ascii="仿宋_GB2312" w:hAnsi="仿宋" w:eastAsia="仿宋_GB2312"/>
          <w:b w:val="0"/>
          <w:bCs w:val="0"/>
          <w:color w:val="auto"/>
          <w:sz w:val="36"/>
          <w:szCs w:val="36"/>
          <w:highlight w:val="none"/>
          <w:lang w:val="en-US" w:eastAsia="zh-CN"/>
        </w:rPr>
        <w:t>元</w:t>
      </w:r>
      <w:r>
        <w:rPr>
          <w:rFonts w:hint="eastAsia" w:ascii="仿宋_GB2312" w:hAnsi="仿宋" w:eastAsia="仿宋_GB2312"/>
          <w:b w:val="0"/>
          <w:bCs w:val="0"/>
          <w:color w:val="auto"/>
          <w:sz w:val="36"/>
          <w:szCs w:val="36"/>
          <w:highlight w:val="none"/>
          <w:lang w:val="en-US" w:eastAsia="zh-CN"/>
        </w:rPr>
        <w:t>。文旅事业稳步发展，投入资金723万</w:t>
      </w:r>
      <w:r>
        <w:rPr>
          <w:rFonts w:hint="default" w:ascii="仿宋_GB2312" w:hAnsi="仿宋" w:eastAsia="仿宋_GB2312"/>
          <w:b w:val="0"/>
          <w:bCs w:val="0"/>
          <w:color w:val="auto"/>
          <w:sz w:val="36"/>
          <w:szCs w:val="36"/>
          <w:highlight w:val="none"/>
          <w:lang w:val="en-US" w:eastAsia="zh-CN"/>
        </w:rPr>
        <w:t>元</w:t>
      </w:r>
      <w:r>
        <w:rPr>
          <w:rFonts w:hint="eastAsia" w:ascii="仿宋_GB2312" w:hAnsi="仿宋" w:eastAsia="仿宋_GB2312"/>
          <w:b w:val="0"/>
          <w:bCs w:val="0"/>
          <w:color w:val="auto"/>
          <w:sz w:val="36"/>
          <w:szCs w:val="36"/>
          <w:highlight w:val="none"/>
          <w:lang w:val="en-US" w:eastAsia="zh-CN"/>
        </w:rPr>
        <w:t>，扩大文化服务供给，基层公共文化服务体系日趋完善；强化旅游品牌打造，争取非标专项债券资金</w:t>
      </w:r>
      <w:r>
        <w:rPr>
          <w:rFonts w:hint="eastAsia" w:ascii="仿宋_GB2312" w:hAnsi="仿宋" w:eastAsia="仿宋_GB2312"/>
          <w:color w:val="auto"/>
          <w:sz w:val="36"/>
          <w:szCs w:val="36"/>
          <w:highlight w:val="none"/>
        </w:rPr>
        <w:t>5600万元</w:t>
      </w:r>
      <w:r>
        <w:rPr>
          <w:rFonts w:hint="eastAsia" w:ascii="仿宋_GB2312" w:hAnsi="仿宋" w:eastAsia="仿宋_GB2312"/>
          <w:color w:val="auto"/>
          <w:sz w:val="36"/>
          <w:szCs w:val="36"/>
          <w:highlight w:val="none"/>
          <w:lang w:val="en-US" w:eastAsia="zh-CN"/>
        </w:rPr>
        <w:t>支持</w:t>
      </w:r>
      <w:r>
        <w:rPr>
          <w:rFonts w:hint="eastAsia" w:ascii="仿宋_GB2312" w:hAnsi="仿宋" w:eastAsia="仿宋_GB2312"/>
          <w:color w:val="auto"/>
          <w:sz w:val="36"/>
          <w:szCs w:val="36"/>
          <w:highlight w:val="none"/>
        </w:rPr>
        <w:t>八公山风景区建设提升项目</w:t>
      </w:r>
      <w:r>
        <w:rPr>
          <w:rFonts w:hint="eastAsia" w:ascii="仿宋_GB2312" w:hAnsi="仿宋" w:eastAsia="仿宋_GB2312"/>
          <w:color w:val="auto"/>
          <w:sz w:val="36"/>
          <w:szCs w:val="36"/>
          <w:highlight w:val="none"/>
          <w:lang w:val="en-US" w:eastAsia="zh-CN"/>
        </w:rPr>
        <w:t>建设，扎实推动八公山区文化旅游高质量提升发展。</w:t>
      </w:r>
    </w:p>
    <w:p w14:paraId="456BB8A9">
      <w:pPr>
        <w:keepNext w:val="0"/>
        <w:keepLines w:val="0"/>
        <w:pageBreakBefore w:val="0"/>
        <w:widowControl w:val="0"/>
        <w:kinsoku/>
        <w:wordWrap/>
        <w:overflowPunct/>
        <w:topLinePunct/>
        <w:autoSpaceDE/>
        <w:autoSpaceDN/>
        <w:bidi w:val="0"/>
        <w:spacing w:line="560" w:lineRule="exact"/>
        <w:ind w:left="0" w:firstLine="723" w:firstLineChars="200"/>
        <w:textAlignment w:val="auto"/>
        <w:rPr>
          <w:rFonts w:hint="eastAsia" w:ascii="仿宋_GB2312" w:hAnsi="仿宋" w:eastAsia="仿宋_GB2312"/>
          <w:color w:val="auto"/>
          <w:sz w:val="36"/>
          <w:szCs w:val="36"/>
          <w:highlight w:val="none"/>
          <w:lang w:val="en-US" w:eastAsia="zh-CN"/>
        </w:rPr>
      </w:pPr>
      <w:r>
        <w:rPr>
          <w:rFonts w:hint="eastAsia" w:ascii="仿宋_GB2312" w:hAnsi="仿宋" w:eastAsia="仿宋_GB2312"/>
          <w:b/>
          <w:bCs/>
          <w:color w:val="auto"/>
          <w:sz w:val="36"/>
          <w:szCs w:val="36"/>
          <w:highlight w:val="none"/>
          <w:lang w:val="en-US" w:eastAsia="zh-CN"/>
        </w:rPr>
        <w:t>4.加强财政管理，提升财政工作质效。</w:t>
      </w:r>
      <w:r>
        <w:rPr>
          <w:rFonts w:hint="default" w:ascii="仿宋_GB2312" w:hAnsi="仿宋" w:eastAsia="仿宋_GB2312"/>
          <w:color w:val="auto"/>
          <w:sz w:val="36"/>
          <w:szCs w:val="36"/>
          <w:highlight w:val="none"/>
          <w:lang w:val="en-US" w:eastAsia="zh-CN"/>
        </w:rPr>
        <w:t>不断提升预算管理水平</w:t>
      </w:r>
      <w:r>
        <w:rPr>
          <w:rFonts w:hint="eastAsia" w:ascii="仿宋_GB2312" w:hAnsi="仿宋" w:eastAsia="仿宋_GB2312"/>
          <w:color w:val="auto"/>
          <w:sz w:val="36"/>
          <w:szCs w:val="36"/>
          <w:highlight w:val="none"/>
          <w:lang w:val="en-US" w:eastAsia="zh-CN"/>
        </w:rPr>
        <w:t>，</w:t>
      </w:r>
      <w:r>
        <w:rPr>
          <w:rFonts w:hint="default" w:ascii="仿宋_GB2312" w:hAnsi="仿宋" w:eastAsia="仿宋_GB2312"/>
          <w:color w:val="auto"/>
          <w:sz w:val="36"/>
          <w:szCs w:val="36"/>
          <w:highlight w:val="none"/>
          <w:lang w:val="en-US" w:eastAsia="zh-CN"/>
        </w:rPr>
        <w:t>加强预算项目管理</w:t>
      </w:r>
      <w:r>
        <w:rPr>
          <w:rFonts w:hint="eastAsia" w:ascii="仿宋_GB2312" w:hAnsi="仿宋" w:eastAsia="仿宋_GB2312"/>
          <w:color w:val="auto"/>
          <w:sz w:val="36"/>
          <w:szCs w:val="36"/>
          <w:highlight w:val="none"/>
          <w:lang w:val="en-US" w:eastAsia="zh-CN"/>
        </w:rPr>
        <w:t>，严把预算编审关，大力压减非急需、非刚性支出；</w:t>
      </w:r>
      <w:r>
        <w:rPr>
          <w:rFonts w:hint="default" w:ascii="仿宋_GB2312" w:hAnsi="仿宋" w:eastAsia="仿宋_GB2312"/>
          <w:color w:val="auto"/>
          <w:sz w:val="36"/>
          <w:szCs w:val="36"/>
          <w:highlight w:val="none"/>
          <w:lang w:val="en-US" w:eastAsia="zh-CN"/>
        </w:rPr>
        <w:t>深化预算绩效管理</w:t>
      </w:r>
      <w:r>
        <w:rPr>
          <w:rFonts w:hint="eastAsia" w:ascii="仿宋_GB2312" w:hAnsi="仿宋" w:eastAsia="仿宋_GB2312"/>
          <w:color w:val="auto"/>
          <w:sz w:val="36"/>
          <w:szCs w:val="36"/>
          <w:highlight w:val="none"/>
          <w:lang w:val="en-US" w:eastAsia="zh-CN"/>
        </w:rPr>
        <w:t>，推动预算与绩效管理一体化，树牢“花钱必问效”理念，强化事前、事中、事后整体绩效管理，全年完成36个部门本级和所属单位项目绩效自评，涉及财政资金5866万元；开展7个项目财政重点绩效评价，涉及财政资金4195万元。落实政府过紧日子长效机制，持续压减一般性支出，一般公共服务支出同比下降12%；加强清理统筹，收回单位结余资金，统筹用于全区重点项目，全年盘活资金</w:t>
      </w:r>
      <w:r>
        <w:rPr>
          <w:rFonts w:hint="eastAsia" w:ascii="仿宋_GB2312" w:hAnsi="仿宋_GB2312" w:eastAsia="仿宋_GB2312" w:cs="仿宋_GB2312"/>
          <w:kern w:val="0"/>
          <w:sz w:val="36"/>
          <w:szCs w:val="36"/>
          <w:highlight w:val="none"/>
        </w:rPr>
        <w:t>4056</w:t>
      </w:r>
      <w:r>
        <w:rPr>
          <w:rFonts w:hint="eastAsia" w:ascii="仿宋_GB2312" w:hAnsi="仿宋" w:eastAsia="仿宋_GB2312"/>
          <w:color w:val="auto"/>
          <w:sz w:val="36"/>
          <w:szCs w:val="36"/>
          <w:highlight w:val="none"/>
          <w:lang w:val="en-US" w:eastAsia="zh-CN"/>
        </w:rPr>
        <w:t>万元；加大财会监督力度，开展财会监督专项行动、预算执行监督专项行动和重点民生资金检查专项整治行动，切实严肃财经纪律。</w:t>
      </w:r>
      <w:r>
        <w:rPr>
          <w:rFonts w:hint="eastAsia" w:ascii="仿宋_GB2312" w:hAnsi="仿宋" w:eastAsia="仿宋_GB2312"/>
          <w:b w:val="0"/>
          <w:bCs w:val="0"/>
          <w:color w:val="auto"/>
          <w:sz w:val="36"/>
          <w:szCs w:val="36"/>
          <w:highlight w:val="none"/>
        </w:rPr>
        <w:t>强化债务风险防范</w:t>
      </w:r>
      <w:r>
        <w:rPr>
          <w:rFonts w:hint="eastAsia" w:ascii="仿宋_GB2312" w:hAnsi="仿宋" w:eastAsia="仿宋_GB2312"/>
          <w:b w:val="0"/>
          <w:bCs w:val="0"/>
          <w:color w:val="auto"/>
          <w:sz w:val="36"/>
          <w:szCs w:val="36"/>
          <w:highlight w:val="none"/>
          <w:lang w:eastAsia="zh-CN"/>
        </w:rPr>
        <w:t>，坚决落实政府债务风险防控责任，树牢风险防范化解意识，稳步推进债务偿还化解，确保政府债务风险状况始终处于安全可控范围。</w:t>
      </w:r>
    </w:p>
    <w:p w14:paraId="07E1058A">
      <w:pPr>
        <w:keepNext w:val="0"/>
        <w:keepLines w:val="0"/>
        <w:pageBreakBefore w:val="0"/>
        <w:widowControl w:val="0"/>
        <w:kinsoku/>
        <w:wordWrap/>
        <w:overflowPunct/>
        <w:autoSpaceDE/>
        <w:autoSpaceDN/>
        <w:bidi w:val="0"/>
        <w:spacing w:line="560" w:lineRule="exact"/>
        <w:ind w:left="0" w:firstLine="720" w:firstLineChars="200"/>
        <w:textAlignment w:val="auto"/>
        <w:rPr>
          <w:rFonts w:ascii="仿宋_GB2312" w:hAnsi="仿宋" w:eastAsia="仿宋_GB2312" w:cs="宋体"/>
          <w:color w:val="auto"/>
          <w:kern w:val="0"/>
          <w:sz w:val="36"/>
          <w:szCs w:val="36"/>
          <w:highlight w:val="none"/>
        </w:rPr>
      </w:pPr>
      <w:r>
        <w:rPr>
          <w:rFonts w:hint="eastAsia" w:ascii="仿宋_GB2312" w:hAnsi="仿宋" w:eastAsia="仿宋_GB2312" w:cs="宋体"/>
          <w:color w:val="auto"/>
          <w:kern w:val="0"/>
          <w:sz w:val="36"/>
          <w:szCs w:val="36"/>
          <w:highlight w:val="none"/>
        </w:rPr>
        <w:t>过去一年，全区财政运行总体良好，但预算执行和财政工作中还存在一些困难和问题需要重视应对</w:t>
      </w:r>
      <w:r>
        <w:rPr>
          <w:rFonts w:hint="eastAsia" w:ascii="仿宋_GB2312" w:hAnsi="仿宋" w:eastAsia="仿宋_GB2312" w:cs="宋体"/>
          <w:color w:val="auto"/>
          <w:kern w:val="0"/>
          <w:sz w:val="36"/>
          <w:szCs w:val="36"/>
          <w:highlight w:val="none"/>
          <w:lang w:eastAsia="zh-CN"/>
        </w:rPr>
        <w:t>：</w:t>
      </w:r>
      <w:r>
        <w:rPr>
          <w:rFonts w:hint="eastAsia" w:ascii="仿宋_GB2312" w:hAnsi="仿宋" w:eastAsia="仿宋_GB2312" w:cs="宋体"/>
          <w:color w:val="auto"/>
          <w:kern w:val="0"/>
          <w:sz w:val="36"/>
          <w:szCs w:val="36"/>
          <w:highlight w:val="none"/>
        </w:rPr>
        <w:t>财政收支总体上仍处于有缺口的紧平衡状态，各领域支出增长刚性不断增强，预算平衡难度较大；财政收支矛盾突出，兜牢兜实“三保”底线压力加大；地方债务负担较重，债务风险不容忽视等等。我们高度重视这些问题，将积极采取措施加以解决。</w:t>
      </w:r>
    </w:p>
    <w:p w14:paraId="1B6DA679">
      <w:pPr>
        <w:keepNext w:val="0"/>
        <w:keepLines w:val="0"/>
        <w:pageBreakBefore w:val="0"/>
        <w:widowControl w:val="0"/>
        <w:kinsoku/>
        <w:wordWrap/>
        <w:overflowPunct/>
        <w:autoSpaceDE/>
        <w:autoSpaceDN/>
        <w:bidi w:val="0"/>
        <w:spacing w:line="560" w:lineRule="exact"/>
        <w:ind w:left="0" w:firstLine="723" w:firstLineChars="200"/>
        <w:textAlignment w:val="auto"/>
        <w:rPr>
          <w:rFonts w:ascii="仿宋_GB2312" w:hAnsi="仿宋" w:eastAsia="仿宋_GB2312"/>
          <w:color w:val="auto"/>
          <w:sz w:val="36"/>
          <w:szCs w:val="36"/>
          <w:highlight w:val="none"/>
        </w:rPr>
      </w:pPr>
      <w:r>
        <w:rPr>
          <w:rFonts w:hint="eastAsia" w:ascii="黑体" w:hAnsi="黑体" w:eastAsia="黑体"/>
          <w:b/>
          <w:color w:val="auto"/>
          <w:sz w:val="36"/>
          <w:szCs w:val="36"/>
          <w:highlight w:val="none"/>
        </w:rPr>
        <w:t>二、202</w:t>
      </w:r>
      <w:r>
        <w:rPr>
          <w:rFonts w:hint="eastAsia" w:ascii="黑体" w:hAnsi="黑体" w:eastAsia="黑体"/>
          <w:b/>
          <w:color w:val="auto"/>
          <w:sz w:val="36"/>
          <w:szCs w:val="36"/>
          <w:highlight w:val="none"/>
          <w:lang w:val="en-US" w:eastAsia="zh-CN"/>
        </w:rPr>
        <w:t>4</w:t>
      </w:r>
      <w:r>
        <w:rPr>
          <w:rFonts w:hint="eastAsia" w:ascii="黑体" w:hAnsi="黑体" w:eastAsia="黑体"/>
          <w:b/>
          <w:color w:val="auto"/>
          <w:sz w:val="36"/>
          <w:szCs w:val="36"/>
          <w:highlight w:val="none"/>
        </w:rPr>
        <w:t>年上半年财政预算执行情况</w:t>
      </w:r>
    </w:p>
    <w:p w14:paraId="3A03FD0C">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rFonts w:hint="eastAsia" w:ascii="Times New Roman" w:hAnsi="Times New Roman" w:eastAsia="仿宋_GB2312"/>
          <w:color w:val="auto"/>
          <w:sz w:val="36"/>
          <w:szCs w:val="36"/>
          <w:highlight w:val="none"/>
        </w:rPr>
      </w:pPr>
      <w:r>
        <w:rPr>
          <w:rFonts w:hint="eastAsia" w:ascii="仿宋_GB2312" w:hAnsi="Times New Roman" w:eastAsia="仿宋_GB2312"/>
          <w:color w:val="auto"/>
          <w:sz w:val="36"/>
          <w:szCs w:val="36"/>
          <w:highlight w:val="none"/>
        </w:rPr>
        <w:t>202</w:t>
      </w:r>
      <w:r>
        <w:rPr>
          <w:rFonts w:hint="eastAsia" w:ascii="仿宋_GB2312" w:hAnsi="Times New Roman" w:eastAsia="仿宋_GB2312"/>
          <w:color w:val="auto"/>
          <w:sz w:val="36"/>
          <w:szCs w:val="36"/>
          <w:highlight w:val="none"/>
          <w:lang w:val="en-US" w:eastAsia="zh-CN"/>
        </w:rPr>
        <w:t>4</w:t>
      </w:r>
      <w:r>
        <w:rPr>
          <w:rFonts w:hint="eastAsia" w:ascii="仿宋_GB2312" w:hAnsi="Times New Roman" w:eastAsia="仿宋_GB2312"/>
          <w:color w:val="auto"/>
          <w:sz w:val="36"/>
          <w:szCs w:val="36"/>
          <w:highlight w:val="none"/>
        </w:rPr>
        <w:t>年，</w:t>
      </w:r>
      <w:r>
        <w:rPr>
          <w:rFonts w:hint="eastAsia" w:ascii="Times New Roman" w:hAnsi="Times New Roman" w:eastAsia="仿宋_GB2312"/>
          <w:color w:val="auto"/>
          <w:sz w:val="36"/>
          <w:szCs w:val="36"/>
          <w:highlight w:val="none"/>
        </w:rPr>
        <w:t>财政部门坚持以习近平新时代中国特色社会主义思想为指导，全面贯彻落实党的二十大精神，坚持稳中求进工作总基调，紧紧扭住推动积极的财政政策加力提效，立足新发展阶段，贯彻新发展理念，以</w:t>
      </w:r>
      <w:r>
        <w:rPr>
          <w:rFonts w:hint="eastAsia" w:ascii="Times New Roman" w:hAnsi="Times New Roman" w:eastAsia="仿宋_GB2312"/>
          <w:color w:val="auto"/>
          <w:sz w:val="36"/>
          <w:szCs w:val="36"/>
          <w:highlight w:val="none"/>
          <w:lang w:eastAsia="zh-CN"/>
        </w:rPr>
        <w:t>财政绩效提升三年行动</w:t>
      </w:r>
      <w:r>
        <w:rPr>
          <w:rFonts w:hint="eastAsia" w:ascii="Times New Roman" w:hAnsi="Times New Roman" w:eastAsia="仿宋_GB2312"/>
          <w:color w:val="auto"/>
          <w:sz w:val="36"/>
          <w:szCs w:val="36"/>
          <w:highlight w:val="none"/>
        </w:rPr>
        <w:t>为抓手，积极抓收入、调结构、防风险、保民生、促发展，各项工作取得新成效、新进展。</w:t>
      </w:r>
    </w:p>
    <w:p w14:paraId="0EE82460">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color w:val="auto"/>
          <w:sz w:val="36"/>
          <w:szCs w:val="36"/>
          <w:highlight w:val="none"/>
        </w:rPr>
      </w:pPr>
      <w:r>
        <w:rPr>
          <w:rFonts w:hint="eastAsia"/>
          <w:color w:val="auto"/>
          <w:sz w:val="36"/>
          <w:szCs w:val="36"/>
          <w:highlight w:val="none"/>
        </w:rPr>
        <w:t>（一）上半年一般公共预算收支预算执行情况</w:t>
      </w:r>
    </w:p>
    <w:p w14:paraId="222B904E">
      <w:pPr>
        <w:keepNext w:val="0"/>
        <w:keepLines w:val="0"/>
        <w:pageBreakBefore w:val="0"/>
        <w:widowControl w:val="0"/>
        <w:kinsoku/>
        <w:wordWrap/>
        <w:overflowPunct/>
        <w:topLinePunct w:val="0"/>
        <w:autoSpaceDE/>
        <w:autoSpaceDN/>
        <w:bidi w:val="0"/>
        <w:spacing w:line="560" w:lineRule="exact"/>
        <w:ind w:left="0" w:firstLine="723" w:firstLineChars="200"/>
        <w:textAlignment w:val="auto"/>
        <w:rPr>
          <w:rFonts w:ascii="仿宋_GB2312" w:hAnsi="Times New Roman" w:eastAsia="仿宋_GB2312"/>
          <w:color w:val="000000" w:themeColor="text1"/>
          <w:sz w:val="36"/>
          <w:szCs w:val="36"/>
          <w:highlight w:val="none"/>
          <w14:textFill>
            <w14:solidFill>
              <w14:schemeClr w14:val="tx1"/>
            </w14:solidFill>
          </w14:textFill>
        </w:rPr>
      </w:pPr>
      <w:r>
        <w:rPr>
          <w:rFonts w:hint="eastAsia" w:ascii="Times New Roman" w:hAnsi="Times New Roman" w:eastAsia="仿宋_GB2312"/>
          <w:b/>
          <w:color w:val="auto"/>
          <w:sz w:val="36"/>
          <w:szCs w:val="36"/>
          <w:highlight w:val="none"/>
        </w:rPr>
        <w:t>1</w:t>
      </w:r>
      <w:r>
        <w:rPr>
          <w:rFonts w:hint="eastAsia" w:ascii="Times New Roman" w:hAnsi="Times New Roman" w:eastAsia="仿宋_GB2312"/>
          <w:b/>
          <w:color w:val="auto"/>
          <w:sz w:val="36"/>
          <w:szCs w:val="36"/>
          <w:highlight w:val="none"/>
          <w:lang w:eastAsia="zh-CN"/>
        </w:rPr>
        <w:t>.</w:t>
      </w:r>
      <w:r>
        <w:rPr>
          <w:rFonts w:hint="eastAsia" w:ascii="Times New Roman" w:hAnsi="Times New Roman" w:eastAsia="仿宋_GB2312"/>
          <w:b/>
          <w:color w:val="auto"/>
          <w:sz w:val="36"/>
          <w:szCs w:val="36"/>
          <w:highlight w:val="none"/>
        </w:rPr>
        <w:t>上半年一般公共预算收入执行情况。</w:t>
      </w:r>
      <w:r>
        <w:rPr>
          <w:rFonts w:hint="eastAsia" w:ascii="仿宋_GB2312" w:hAnsi="Times New Roman" w:eastAsia="仿宋_GB2312"/>
          <w:color w:val="000000" w:themeColor="text1"/>
          <w:sz w:val="36"/>
          <w:szCs w:val="36"/>
          <w:highlight w:val="none"/>
          <w14:textFill>
            <w14:solidFill>
              <w14:schemeClr w14:val="tx1"/>
            </w14:solidFill>
          </w14:textFill>
        </w:rPr>
        <w:t>202</w:t>
      </w:r>
      <w:r>
        <w:rPr>
          <w:rFonts w:hint="eastAsia" w:ascii="仿宋_GB2312" w:hAnsi="Times New Roman" w:eastAsia="仿宋_GB2312"/>
          <w:color w:val="000000" w:themeColor="text1"/>
          <w:sz w:val="36"/>
          <w:szCs w:val="36"/>
          <w:highlight w:val="none"/>
          <w:lang w:val="en-US" w:eastAsia="zh-CN"/>
          <w14:textFill>
            <w14:solidFill>
              <w14:schemeClr w14:val="tx1"/>
            </w14:solidFill>
          </w14:textFill>
        </w:rPr>
        <w:t>4</w:t>
      </w:r>
      <w:r>
        <w:rPr>
          <w:rFonts w:hint="eastAsia" w:ascii="仿宋_GB2312" w:hAnsi="Times New Roman" w:eastAsia="仿宋_GB2312"/>
          <w:color w:val="000000" w:themeColor="text1"/>
          <w:sz w:val="36"/>
          <w:szCs w:val="36"/>
          <w:highlight w:val="none"/>
          <w14:textFill>
            <w14:solidFill>
              <w14:schemeClr w14:val="tx1"/>
            </w14:solidFill>
          </w14:textFill>
        </w:rPr>
        <w:t>年1-6月全区一般公共预算地方财政收入完成</w:t>
      </w:r>
      <w:r>
        <w:rPr>
          <w:rFonts w:hint="eastAsia" w:ascii="仿宋_GB2312" w:hAnsi="Times New Roman" w:eastAsia="仿宋_GB2312"/>
          <w:color w:val="000000" w:themeColor="text1"/>
          <w:sz w:val="36"/>
          <w:szCs w:val="36"/>
          <w:highlight w:val="none"/>
          <w:lang w:val="en-US" w:eastAsia="zh-CN"/>
          <w14:textFill>
            <w14:solidFill>
              <w14:schemeClr w14:val="tx1"/>
            </w14:solidFill>
          </w14:textFill>
        </w:rPr>
        <w:t>14361</w:t>
      </w:r>
      <w:r>
        <w:rPr>
          <w:rFonts w:hint="eastAsia" w:ascii="仿宋_GB2312" w:hAnsi="Times New Roman" w:eastAsia="仿宋_GB2312"/>
          <w:color w:val="000000" w:themeColor="text1"/>
          <w:sz w:val="36"/>
          <w:szCs w:val="36"/>
          <w:highlight w:val="none"/>
          <w14:textFill>
            <w14:solidFill>
              <w14:schemeClr w14:val="tx1"/>
            </w14:solidFill>
          </w14:textFill>
        </w:rPr>
        <w:t>万元，完成年初预算</w:t>
      </w:r>
      <w:r>
        <w:rPr>
          <w:rFonts w:hint="eastAsia" w:ascii="仿宋_GB2312" w:hAnsi="Times New Roman" w:eastAsia="仿宋_GB2312"/>
          <w:color w:val="000000" w:themeColor="text1"/>
          <w:sz w:val="36"/>
          <w:szCs w:val="36"/>
          <w:highlight w:val="none"/>
          <w:lang w:val="en-US" w:eastAsia="zh-CN"/>
          <w14:textFill>
            <w14:solidFill>
              <w14:schemeClr w14:val="tx1"/>
            </w14:solidFill>
          </w14:textFill>
        </w:rPr>
        <w:t>44</w:t>
      </w:r>
      <w:r>
        <w:rPr>
          <w:rFonts w:hint="eastAsia" w:ascii="仿宋_GB2312" w:hAnsi="Times New Roman" w:eastAsia="仿宋_GB2312"/>
          <w:color w:val="000000" w:themeColor="text1"/>
          <w:sz w:val="36"/>
          <w:szCs w:val="36"/>
          <w:highlight w:val="none"/>
          <w14:textFill>
            <w14:solidFill>
              <w14:schemeClr w14:val="tx1"/>
            </w14:solidFill>
          </w14:textFill>
        </w:rPr>
        <w:t>%。其中:税收收入完成</w:t>
      </w:r>
      <w:r>
        <w:rPr>
          <w:rFonts w:hint="eastAsia" w:ascii="仿宋_GB2312" w:hAnsi="Times New Roman" w:eastAsia="仿宋_GB2312"/>
          <w:color w:val="000000" w:themeColor="text1"/>
          <w:sz w:val="36"/>
          <w:szCs w:val="36"/>
          <w:highlight w:val="none"/>
          <w:lang w:val="en-US" w:eastAsia="zh-CN"/>
          <w14:textFill>
            <w14:solidFill>
              <w14:schemeClr w14:val="tx1"/>
            </w14:solidFill>
          </w14:textFill>
        </w:rPr>
        <w:t>4726</w:t>
      </w:r>
      <w:r>
        <w:rPr>
          <w:rFonts w:hint="eastAsia" w:ascii="仿宋_GB2312" w:hAnsi="Times New Roman" w:eastAsia="仿宋_GB2312"/>
          <w:color w:val="000000" w:themeColor="text1"/>
          <w:sz w:val="36"/>
          <w:szCs w:val="36"/>
          <w:highlight w:val="none"/>
          <w14:textFill>
            <w14:solidFill>
              <w14:schemeClr w14:val="tx1"/>
            </w14:solidFill>
          </w14:textFill>
        </w:rPr>
        <w:t>万元，非税收入完成</w:t>
      </w:r>
      <w:r>
        <w:rPr>
          <w:rFonts w:hint="eastAsia" w:ascii="仿宋_GB2312" w:hAnsi="Times New Roman" w:eastAsia="仿宋_GB2312"/>
          <w:color w:val="000000" w:themeColor="text1"/>
          <w:sz w:val="36"/>
          <w:szCs w:val="36"/>
          <w:highlight w:val="none"/>
          <w:lang w:val="en-US" w:eastAsia="zh-CN"/>
          <w14:textFill>
            <w14:solidFill>
              <w14:schemeClr w14:val="tx1"/>
            </w14:solidFill>
          </w14:textFill>
        </w:rPr>
        <w:t>9635</w:t>
      </w:r>
      <w:r>
        <w:rPr>
          <w:rFonts w:hint="eastAsia" w:ascii="仿宋_GB2312" w:hAnsi="Times New Roman" w:eastAsia="仿宋_GB2312"/>
          <w:color w:val="000000" w:themeColor="text1"/>
          <w:sz w:val="36"/>
          <w:szCs w:val="36"/>
          <w:highlight w:val="none"/>
          <w14:textFill>
            <w14:solidFill>
              <w14:schemeClr w14:val="tx1"/>
            </w14:solidFill>
          </w14:textFill>
        </w:rPr>
        <w:t>万元。税收收入中，增值税2086万元，企业所得税1202万元，个人所得税263万元，城市维护建设税233万元，房产税197万元，印花税103万元，城镇土地使用税507万元，土地增值税34万元，车船税101万元。</w:t>
      </w:r>
    </w:p>
    <w:p w14:paraId="7D861D56">
      <w:pPr>
        <w:keepNext w:val="0"/>
        <w:keepLines w:val="0"/>
        <w:pageBreakBefore w:val="0"/>
        <w:widowControl w:val="0"/>
        <w:kinsoku/>
        <w:wordWrap/>
        <w:overflowPunct/>
        <w:topLinePunct w:val="0"/>
        <w:autoSpaceDE/>
        <w:autoSpaceDN/>
        <w:bidi w:val="0"/>
        <w:spacing w:line="560" w:lineRule="exact"/>
        <w:ind w:left="0" w:firstLine="723" w:firstLineChars="200"/>
        <w:textAlignment w:val="auto"/>
        <w:rPr>
          <w:rFonts w:ascii="仿宋_GB2312" w:eastAsia="仿宋_GB2312" w:cs="宋体"/>
          <w:color w:val="FF0000"/>
          <w:kern w:val="0"/>
          <w:sz w:val="36"/>
          <w:szCs w:val="36"/>
          <w:highlight w:val="cyan"/>
        </w:rPr>
      </w:pPr>
      <w:r>
        <w:rPr>
          <w:rFonts w:hint="eastAsia" w:ascii="Times New Roman" w:hAnsi="Times New Roman" w:eastAsia="仿宋_GB2312"/>
          <w:b/>
          <w:color w:val="auto"/>
          <w:sz w:val="36"/>
          <w:szCs w:val="36"/>
          <w:highlight w:val="none"/>
        </w:rPr>
        <w:t>2</w:t>
      </w:r>
      <w:r>
        <w:rPr>
          <w:rFonts w:hint="eastAsia" w:ascii="Times New Roman" w:hAnsi="Times New Roman" w:eastAsia="仿宋_GB2312"/>
          <w:b/>
          <w:color w:val="auto"/>
          <w:sz w:val="36"/>
          <w:szCs w:val="36"/>
          <w:highlight w:val="none"/>
          <w:lang w:eastAsia="zh-CN"/>
        </w:rPr>
        <w:t>.</w:t>
      </w:r>
      <w:r>
        <w:rPr>
          <w:rFonts w:hint="eastAsia" w:ascii="Times New Roman" w:hAnsi="Times New Roman" w:eastAsia="仿宋_GB2312"/>
          <w:b/>
          <w:color w:val="auto"/>
          <w:sz w:val="36"/>
          <w:szCs w:val="36"/>
          <w:highlight w:val="none"/>
        </w:rPr>
        <w:t>上半年一般公共预算支出执行情况。</w:t>
      </w:r>
      <w:r>
        <w:rPr>
          <w:rFonts w:hint="eastAsia" w:ascii="仿宋_GB2312" w:eastAsia="仿宋_GB2312"/>
          <w:color w:val="000000" w:themeColor="text1"/>
          <w:sz w:val="36"/>
          <w:szCs w:val="36"/>
          <w:highlight w:val="none"/>
          <w14:textFill>
            <w14:solidFill>
              <w14:schemeClr w14:val="tx1"/>
            </w14:solidFill>
          </w14:textFill>
        </w:rPr>
        <w:t>202</w:t>
      </w:r>
      <w:r>
        <w:rPr>
          <w:rFonts w:hint="eastAsia" w:ascii="仿宋_GB2312" w:eastAsia="仿宋_GB2312"/>
          <w:color w:val="000000" w:themeColor="text1"/>
          <w:sz w:val="36"/>
          <w:szCs w:val="36"/>
          <w:highlight w:val="none"/>
          <w:lang w:val="en-US" w:eastAsia="zh-CN"/>
          <w14:textFill>
            <w14:solidFill>
              <w14:schemeClr w14:val="tx1"/>
            </w14:solidFill>
          </w14:textFill>
        </w:rPr>
        <w:t>4</w:t>
      </w:r>
      <w:r>
        <w:rPr>
          <w:rFonts w:hint="eastAsia" w:ascii="仿宋_GB2312" w:eastAsia="仿宋_GB2312"/>
          <w:color w:val="000000" w:themeColor="text1"/>
          <w:sz w:val="36"/>
          <w:szCs w:val="36"/>
          <w:highlight w:val="none"/>
          <w14:textFill>
            <w14:solidFill>
              <w14:schemeClr w14:val="tx1"/>
            </w14:solidFill>
          </w14:textFill>
        </w:rPr>
        <w:t>年1-6月全区一般公共预算支出完成2</w:t>
      </w:r>
      <w:r>
        <w:rPr>
          <w:rFonts w:hint="eastAsia" w:ascii="仿宋_GB2312" w:eastAsia="仿宋_GB2312"/>
          <w:color w:val="000000" w:themeColor="text1"/>
          <w:sz w:val="36"/>
          <w:szCs w:val="36"/>
          <w:highlight w:val="none"/>
          <w:lang w:val="en-US" w:eastAsia="zh-CN"/>
          <w14:textFill>
            <w14:solidFill>
              <w14:schemeClr w14:val="tx1"/>
            </w14:solidFill>
          </w14:textFill>
        </w:rPr>
        <w:t>7676</w:t>
      </w:r>
      <w:r>
        <w:rPr>
          <w:rFonts w:hint="eastAsia" w:ascii="仿宋_GB2312" w:eastAsia="仿宋_GB2312"/>
          <w:color w:val="000000" w:themeColor="text1"/>
          <w:sz w:val="36"/>
          <w:szCs w:val="36"/>
          <w:highlight w:val="none"/>
          <w14:textFill>
            <w14:solidFill>
              <w14:schemeClr w14:val="tx1"/>
            </w14:solidFill>
          </w14:textFill>
        </w:rPr>
        <w:t>万元，完成年初预算</w:t>
      </w:r>
      <w:r>
        <w:rPr>
          <w:rFonts w:hint="eastAsia" w:ascii="仿宋_GB2312" w:eastAsia="仿宋_GB2312"/>
          <w:color w:val="000000" w:themeColor="text1"/>
          <w:sz w:val="36"/>
          <w:szCs w:val="36"/>
          <w:highlight w:val="none"/>
          <w:lang w:val="en-US" w:eastAsia="zh-CN"/>
          <w14:textFill>
            <w14:solidFill>
              <w14:schemeClr w14:val="tx1"/>
            </w14:solidFill>
          </w14:textFill>
        </w:rPr>
        <w:t>47.2</w:t>
      </w:r>
      <w:r>
        <w:rPr>
          <w:rFonts w:hint="eastAsia" w:ascii="仿宋_GB2312" w:eastAsia="仿宋_GB2312"/>
          <w:color w:val="000000" w:themeColor="text1"/>
          <w:sz w:val="36"/>
          <w:szCs w:val="36"/>
          <w:highlight w:val="none"/>
          <w14:textFill>
            <w14:solidFill>
              <w14:schemeClr w14:val="tx1"/>
            </w14:solidFill>
          </w14:textFill>
        </w:rPr>
        <w:t>%。其中：一般公共服务支出2017万元，为年预算的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50.4</w:t>
      </w:r>
      <w:r>
        <w:rPr>
          <w:rFonts w:hint="eastAsia" w:ascii="仿宋_GB2312" w:eastAsia="仿宋_GB2312"/>
          <w:color w:val="000000" w:themeColor="text1"/>
          <w:sz w:val="36"/>
          <w:szCs w:val="36"/>
          <w:highlight w:val="none"/>
          <w14:textFill>
            <w14:solidFill>
              <w14:schemeClr w14:val="tx1"/>
            </w14:solidFill>
          </w14:textFill>
        </w:rPr>
        <w:t>%；国防支出17万元，为年预算的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11.3</w:t>
      </w:r>
      <w:r>
        <w:rPr>
          <w:rFonts w:hint="eastAsia" w:ascii="仿宋_GB2312" w:eastAsia="仿宋_GB2312"/>
          <w:color w:val="000000" w:themeColor="text1"/>
          <w:sz w:val="36"/>
          <w:szCs w:val="36"/>
          <w:highlight w:val="none"/>
          <w14:textFill>
            <w14:solidFill>
              <w14:schemeClr w14:val="tx1"/>
            </w14:solidFill>
          </w14:textFill>
        </w:rPr>
        <w:t>%；公共安全支出176万元，为年预算的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48.9</w:t>
      </w:r>
      <w:r>
        <w:rPr>
          <w:rFonts w:hint="eastAsia" w:ascii="仿宋_GB2312" w:eastAsia="仿宋_GB2312"/>
          <w:color w:val="000000" w:themeColor="text1"/>
          <w:sz w:val="36"/>
          <w:szCs w:val="36"/>
          <w:highlight w:val="none"/>
          <w14:textFill>
            <w14:solidFill>
              <w14:schemeClr w14:val="tx1"/>
            </w14:solidFill>
          </w14:textFill>
        </w:rPr>
        <w:t>%；教育支出6141万元，为年预算的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50.1</w:t>
      </w:r>
      <w:r>
        <w:rPr>
          <w:rFonts w:hint="eastAsia" w:ascii="仿宋_GB2312" w:eastAsia="仿宋_GB2312"/>
          <w:color w:val="000000" w:themeColor="text1"/>
          <w:sz w:val="36"/>
          <w:szCs w:val="36"/>
          <w:highlight w:val="none"/>
          <w14:textFill>
            <w14:solidFill>
              <w14:schemeClr w14:val="tx1"/>
            </w14:solidFill>
          </w14:textFill>
        </w:rPr>
        <w:t>%；科学技术支出</w:t>
      </w:r>
      <w:r>
        <w:rPr>
          <w:rFonts w:hint="eastAsia" w:ascii="仿宋_GB2312" w:eastAsia="仿宋_GB2312"/>
          <w:color w:val="000000" w:themeColor="text1"/>
          <w:sz w:val="36"/>
          <w:szCs w:val="36"/>
          <w:highlight w:val="none"/>
          <w:lang w:val="en-US" w:eastAsia="zh-CN"/>
          <w14:textFill>
            <w14:solidFill>
              <w14:schemeClr w14:val="tx1"/>
            </w14:solidFill>
          </w14:textFill>
        </w:rPr>
        <w:t>108</w:t>
      </w:r>
      <w:r>
        <w:rPr>
          <w:rFonts w:hint="eastAsia" w:ascii="仿宋_GB2312" w:eastAsia="仿宋_GB2312"/>
          <w:color w:val="000000" w:themeColor="text1"/>
          <w:sz w:val="36"/>
          <w:szCs w:val="36"/>
          <w:highlight w:val="none"/>
          <w14:textFill>
            <w14:solidFill>
              <w14:schemeClr w14:val="tx1"/>
            </w14:solidFill>
          </w14:textFill>
        </w:rPr>
        <w:t>万元，为年预算的3</w:t>
      </w:r>
      <w:r>
        <w:rPr>
          <w:rFonts w:hint="eastAsia" w:ascii="仿宋_GB2312" w:eastAsia="仿宋_GB2312"/>
          <w:color w:val="000000" w:themeColor="text1"/>
          <w:sz w:val="36"/>
          <w:szCs w:val="36"/>
          <w:highlight w:val="none"/>
          <w:lang w:val="en-US" w:eastAsia="zh-CN"/>
          <w14:textFill>
            <w14:solidFill>
              <w14:schemeClr w14:val="tx1"/>
            </w14:solidFill>
          </w14:textFill>
        </w:rPr>
        <w:t>0</w:t>
      </w:r>
      <w:r>
        <w:rPr>
          <w:rFonts w:hint="eastAsia" w:ascii="仿宋_GB2312" w:eastAsia="仿宋_GB2312"/>
          <w:color w:val="000000" w:themeColor="text1"/>
          <w:sz w:val="36"/>
          <w:szCs w:val="36"/>
          <w:highlight w:val="none"/>
          <w14:textFill>
            <w14:solidFill>
              <w14:schemeClr w14:val="tx1"/>
            </w14:solidFill>
          </w14:textFill>
        </w:rPr>
        <w:t>%；文化旅游体育与传媒支出</w:t>
      </w:r>
      <w:r>
        <w:rPr>
          <w:rFonts w:hint="eastAsia" w:ascii="仿宋_GB2312" w:eastAsia="仿宋_GB2312"/>
          <w:color w:val="000000" w:themeColor="text1"/>
          <w:sz w:val="36"/>
          <w:szCs w:val="36"/>
          <w:highlight w:val="none"/>
          <w:lang w:val="en-US" w:eastAsia="zh-CN"/>
          <w14:textFill>
            <w14:solidFill>
              <w14:schemeClr w14:val="tx1"/>
            </w14:solidFill>
          </w14:textFill>
        </w:rPr>
        <w:t>311</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45.7</w:t>
      </w:r>
      <w:r>
        <w:rPr>
          <w:rFonts w:hint="eastAsia" w:ascii="仿宋_GB2312" w:eastAsia="仿宋_GB2312"/>
          <w:color w:val="000000" w:themeColor="text1"/>
          <w:sz w:val="36"/>
          <w:szCs w:val="36"/>
          <w:highlight w:val="none"/>
          <w14:textFill>
            <w14:solidFill>
              <w14:schemeClr w14:val="tx1"/>
            </w14:solidFill>
          </w14:textFill>
        </w:rPr>
        <w:t>%；社会保障和就业支出</w:t>
      </w:r>
      <w:r>
        <w:rPr>
          <w:rFonts w:hint="eastAsia" w:ascii="仿宋_GB2312" w:eastAsia="仿宋_GB2312"/>
          <w:color w:val="000000" w:themeColor="text1"/>
          <w:sz w:val="36"/>
          <w:szCs w:val="36"/>
          <w:highlight w:val="none"/>
          <w:lang w:val="en-US" w:eastAsia="zh-CN"/>
          <w14:textFill>
            <w14:solidFill>
              <w14:schemeClr w14:val="tx1"/>
            </w14:solidFill>
          </w14:textFill>
        </w:rPr>
        <w:t>8569</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50.6</w:t>
      </w:r>
      <w:r>
        <w:rPr>
          <w:rFonts w:hint="eastAsia" w:ascii="仿宋_GB2312" w:eastAsia="仿宋_GB2312"/>
          <w:color w:val="000000" w:themeColor="text1"/>
          <w:sz w:val="36"/>
          <w:szCs w:val="36"/>
          <w:highlight w:val="none"/>
          <w14:textFill>
            <w14:solidFill>
              <w14:schemeClr w14:val="tx1"/>
            </w14:solidFill>
          </w14:textFill>
        </w:rPr>
        <w:t>%；卫生健康支出</w:t>
      </w:r>
      <w:r>
        <w:rPr>
          <w:rFonts w:hint="eastAsia" w:ascii="仿宋_GB2312" w:eastAsia="仿宋_GB2312"/>
          <w:color w:val="000000" w:themeColor="text1"/>
          <w:sz w:val="36"/>
          <w:szCs w:val="36"/>
          <w:highlight w:val="none"/>
          <w:lang w:val="en-US" w:eastAsia="zh-CN"/>
          <w14:textFill>
            <w14:solidFill>
              <w14:schemeClr w14:val="tx1"/>
            </w14:solidFill>
          </w14:textFill>
        </w:rPr>
        <w:t>1873</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40.7</w:t>
      </w:r>
      <w:r>
        <w:rPr>
          <w:rFonts w:hint="eastAsia" w:ascii="仿宋_GB2312" w:eastAsia="仿宋_GB2312"/>
          <w:color w:val="000000" w:themeColor="text1"/>
          <w:sz w:val="36"/>
          <w:szCs w:val="36"/>
          <w:highlight w:val="none"/>
          <w14:textFill>
            <w14:solidFill>
              <w14:schemeClr w14:val="tx1"/>
            </w14:solidFill>
          </w14:textFill>
        </w:rPr>
        <w:t>%；节能环保支出</w:t>
      </w:r>
      <w:r>
        <w:rPr>
          <w:rFonts w:hint="eastAsia" w:ascii="仿宋_GB2312" w:eastAsia="仿宋_GB2312"/>
          <w:color w:val="000000" w:themeColor="text1"/>
          <w:sz w:val="36"/>
          <w:szCs w:val="36"/>
          <w:highlight w:val="none"/>
          <w:lang w:val="en-US" w:eastAsia="zh-CN"/>
          <w14:textFill>
            <w14:solidFill>
              <w14:schemeClr w14:val="tx1"/>
            </w14:solidFill>
          </w14:textFill>
        </w:rPr>
        <w:t>473</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18.2</w:t>
      </w:r>
      <w:r>
        <w:rPr>
          <w:rFonts w:hint="eastAsia" w:ascii="仿宋_GB2312" w:eastAsia="仿宋_GB2312"/>
          <w:color w:val="000000" w:themeColor="text1"/>
          <w:sz w:val="36"/>
          <w:szCs w:val="36"/>
          <w:highlight w:val="none"/>
          <w14:textFill>
            <w14:solidFill>
              <w14:schemeClr w14:val="tx1"/>
            </w14:solidFill>
          </w14:textFill>
        </w:rPr>
        <w:t>%；城乡社区支出</w:t>
      </w:r>
      <w:r>
        <w:rPr>
          <w:rFonts w:hint="eastAsia" w:ascii="仿宋_GB2312" w:eastAsia="仿宋_GB2312"/>
          <w:color w:val="000000" w:themeColor="text1"/>
          <w:sz w:val="36"/>
          <w:szCs w:val="36"/>
          <w:highlight w:val="none"/>
          <w:lang w:val="en-US" w:eastAsia="zh-CN"/>
          <w14:textFill>
            <w14:solidFill>
              <w14:schemeClr w14:val="tx1"/>
            </w14:solidFill>
          </w14:textFill>
        </w:rPr>
        <w:t>3625</w:t>
      </w:r>
      <w:r>
        <w:rPr>
          <w:rFonts w:hint="eastAsia" w:ascii="仿宋_GB2312" w:eastAsia="仿宋_GB2312"/>
          <w:color w:val="000000" w:themeColor="text1"/>
          <w:sz w:val="36"/>
          <w:szCs w:val="36"/>
          <w:highlight w:val="none"/>
          <w14:textFill>
            <w14:solidFill>
              <w14:schemeClr w14:val="tx1"/>
            </w14:solidFill>
          </w14:textFill>
        </w:rPr>
        <w:t>万元，为年预算的6</w:t>
      </w:r>
      <w:r>
        <w:rPr>
          <w:rFonts w:hint="eastAsia" w:ascii="仿宋_GB2312" w:eastAsia="仿宋_GB2312"/>
          <w:color w:val="000000" w:themeColor="text1"/>
          <w:sz w:val="36"/>
          <w:szCs w:val="36"/>
          <w:highlight w:val="none"/>
          <w:lang w:val="en-US" w:eastAsia="zh-CN"/>
          <w14:textFill>
            <w14:solidFill>
              <w14:schemeClr w14:val="tx1"/>
            </w14:solidFill>
          </w14:textFill>
        </w:rPr>
        <w:t>4.7</w:t>
      </w:r>
      <w:r>
        <w:rPr>
          <w:rFonts w:hint="eastAsia" w:ascii="仿宋_GB2312" w:eastAsia="仿宋_GB2312"/>
          <w:color w:val="000000" w:themeColor="text1"/>
          <w:sz w:val="36"/>
          <w:szCs w:val="36"/>
          <w:highlight w:val="none"/>
          <w14:textFill>
            <w14:solidFill>
              <w14:schemeClr w14:val="tx1"/>
            </w14:solidFill>
          </w14:textFill>
        </w:rPr>
        <w:t>%；农林水支出</w:t>
      </w:r>
      <w:r>
        <w:rPr>
          <w:rFonts w:hint="eastAsia" w:ascii="仿宋_GB2312" w:eastAsia="仿宋_GB2312"/>
          <w:color w:val="000000" w:themeColor="text1"/>
          <w:sz w:val="36"/>
          <w:szCs w:val="36"/>
          <w:highlight w:val="none"/>
          <w:lang w:val="en-US" w:eastAsia="zh-CN"/>
          <w14:textFill>
            <w14:solidFill>
              <w14:schemeClr w14:val="tx1"/>
            </w14:solidFill>
          </w14:textFill>
        </w:rPr>
        <w:t>1947</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50.6</w:t>
      </w:r>
      <w:r>
        <w:rPr>
          <w:rFonts w:hint="eastAsia" w:ascii="仿宋_GB2312" w:eastAsia="仿宋_GB2312"/>
          <w:color w:val="000000" w:themeColor="text1"/>
          <w:sz w:val="36"/>
          <w:szCs w:val="36"/>
          <w:highlight w:val="none"/>
          <w14:textFill>
            <w14:solidFill>
              <w14:schemeClr w14:val="tx1"/>
            </w14:solidFill>
          </w14:textFill>
        </w:rPr>
        <w:t>%；资源勘探工业信息等支出</w:t>
      </w:r>
      <w:r>
        <w:rPr>
          <w:rFonts w:hint="eastAsia" w:ascii="仿宋_GB2312" w:eastAsia="仿宋_GB2312"/>
          <w:color w:val="000000" w:themeColor="text1"/>
          <w:sz w:val="36"/>
          <w:szCs w:val="36"/>
          <w:highlight w:val="none"/>
          <w:lang w:val="en-US" w:eastAsia="zh-CN"/>
          <w14:textFill>
            <w14:solidFill>
              <w14:schemeClr w14:val="tx1"/>
            </w14:solidFill>
          </w14:textFill>
        </w:rPr>
        <w:t>175</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145.8</w:t>
      </w:r>
      <w:r>
        <w:rPr>
          <w:rFonts w:hint="eastAsia" w:ascii="仿宋_GB2312" w:eastAsia="仿宋_GB2312"/>
          <w:color w:val="000000" w:themeColor="text1"/>
          <w:sz w:val="36"/>
          <w:szCs w:val="36"/>
          <w:highlight w:val="none"/>
          <w14:textFill>
            <w14:solidFill>
              <w14:schemeClr w14:val="tx1"/>
            </w14:solidFill>
          </w14:textFill>
        </w:rPr>
        <w:t>%；自然资源海洋气象等支出</w:t>
      </w:r>
      <w:r>
        <w:rPr>
          <w:rFonts w:hint="eastAsia" w:ascii="仿宋_GB2312" w:eastAsia="仿宋_GB2312"/>
          <w:color w:val="000000" w:themeColor="text1"/>
          <w:sz w:val="36"/>
          <w:szCs w:val="36"/>
          <w:highlight w:val="none"/>
          <w:lang w:val="en-US" w:eastAsia="zh-CN"/>
          <w14:textFill>
            <w14:solidFill>
              <w14:schemeClr w14:val="tx1"/>
            </w14:solidFill>
          </w14:textFill>
        </w:rPr>
        <w:t>3</w:t>
      </w:r>
      <w:r>
        <w:rPr>
          <w:rFonts w:hint="eastAsia" w:ascii="仿宋_GB2312" w:eastAsia="仿宋_GB2312"/>
          <w:color w:val="000000" w:themeColor="text1"/>
          <w:sz w:val="36"/>
          <w:szCs w:val="36"/>
          <w:highlight w:val="none"/>
          <w14:textFill>
            <w14:solidFill>
              <w14:schemeClr w14:val="tx1"/>
            </w14:solidFill>
          </w14:textFill>
        </w:rPr>
        <w:t>90万元；住房保障支出1423万元，为年预算的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27</w:t>
      </w:r>
      <w:r>
        <w:rPr>
          <w:rFonts w:hint="eastAsia" w:ascii="仿宋_GB2312" w:eastAsia="仿宋_GB2312"/>
          <w:color w:val="000000" w:themeColor="text1"/>
          <w:sz w:val="36"/>
          <w:szCs w:val="36"/>
          <w:highlight w:val="none"/>
          <w14:textFill>
            <w14:solidFill>
              <w14:schemeClr w14:val="tx1"/>
            </w14:solidFill>
          </w14:textFill>
        </w:rPr>
        <w:t>%；灾害防治及应急管理支出</w:t>
      </w:r>
      <w:r>
        <w:rPr>
          <w:rFonts w:hint="eastAsia" w:ascii="仿宋_GB2312" w:eastAsia="仿宋_GB2312"/>
          <w:color w:val="000000" w:themeColor="text1"/>
          <w:sz w:val="36"/>
          <w:szCs w:val="36"/>
          <w:highlight w:val="none"/>
          <w:lang w:val="en-US" w:eastAsia="zh-CN"/>
          <w14:textFill>
            <w14:solidFill>
              <w14:schemeClr w14:val="tx1"/>
            </w14:solidFill>
          </w14:textFill>
        </w:rPr>
        <w:t>276</w:t>
      </w:r>
      <w:r>
        <w:rPr>
          <w:rFonts w:hint="eastAsia" w:ascii="仿宋_GB2312" w:eastAsia="仿宋_GB2312"/>
          <w:color w:val="000000" w:themeColor="text1"/>
          <w:sz w:val="36"/>
          <w:szCs w:val="36"/>
          <w:highlight w:val="none"/>
          <w14:textFill>
            <w14:solidFill>
              <w14:schemeClr w14:val="tx1"/>
            </w14:solidFill>
          </w14:textFill>
        </w:rPr>
        <w:t>万元，为年预算的</w:t>
      </w:r>
      <w:r>
        <w:rPr>
          <w:rFonts w:hint="eastAsia" w:ascii="仿宋_GB2312" w:eastAsia="仿宋_GB2312"/>
          <w:color w:val="000000" w:themeColor="text1"/>
          <w:sz w:val="36"/>
          <w:szCs w:val="36"/>
          <w:highlight w:val="none"/>
          <w:lang w:val="en-US" w:eastAsia="zh-CN"/>
          <w14:textFill>
            <w14:solidFill>
              <w14:schemeClr w14:val="tx1"/>
            </w14:solidFill>
          </w14:textFill>
        </w:rPr>
        <w:t>55</w:t>
      </w:r>
      <w:r>
        <w:rPr>
          <w:rFonts w:hint="eastAsia" w:ascii="仿宋_GB2312" w:eastAsia="仿宋_GB2312"/>
          <w:color w:val="000000" w:themeColor="text1"/>
          <w:sz w:val="36"/>
          <w:szCs w:val="36"/>
          <w:highlight w:val="none"/>
          <w14:textFill>
            <w14:solidFill>
              <w14:schemeClr w14:val="tx1"/>
            </w14:solidFill>
          </w14:textFill>
        </w:rPr>
        <w:t>.2%；债务付息支出</w:t>
      </w:r>
      <w:r>
        <w:rPr>
          <w:rFonts w:hint="eastAsia" w:ascii="仿宋_GB2312" w:eastAsia="仿宋_GB2312"/>
          <w:color w:val="000000" w:themeColor="text1"/>
          <w:sz w:val="36"/>
          <w:szCs w:val="36"/>
          <w:highlight w:val="none"/>
          <w:lang w:val="en-US" w:eastAsia="zh-CN"/>
          <w14:textFill>
            <w14:solidFill>
              <w14:schemeClr w14:val="tx1"/>
            </w14:solidFill>
          </w14:textFill>
        </w:rPr>
        <w:t>155</w:t>
      </w:r>
      <w:r>
        <w:rPr>
          <w:rFonts w:hint="eastAsia" w:ascii="仿宋_GB2312" w:eastAsia="仿宋_GB2312"/>
          <w:color w:val="000000" w:themeColor="text1"/>
          <w:sz w:val="36"/>
          <w:szCs w:val="36"/>
          <w:highlight w:val="none"/>
          <w14:textFill>
            <w14:solidFill>
              <w14:schemeClr w14:val="tx1"/>
            </w14:solidFill>
          </w14:textFill>
        </w:rPr>
        <w:t>万元，为年预算的2</w:t>
      </w:r>
      <w:r>
        <w:rPr>
          <w:rFonts w:hint="eastAsia" w:ascii="仿宋_GB2312" w:eastAsia="仿宋_GB2312"/>
          <w:color w:val="000000" w:themeColor="text1"/>
          <w:sz w:val="36"/>
          <w:szCs w:val="36"/>
          <w:highlight w:val="none"/>
          <w:lang w:val="en-US" w:eastAsia="zh-CN"/>
          <w14:textFill>
            <w14:solidFill>
              <w14:schemeClr w14:val="tx1"/>
            </w14:solidFill>
          </w14:textFill>
        </w:rPr>
        <w:t>6.1</w:t>
      </w:r>
      <w:r>
        <w:rPr>
          <w:rFonts w:hint="eastAsia" w:ascii="仿宋_GB2312" w:eastAsia="仿宋_GB2312"/>
          <w:color w:val="000000" w:themeColor="text1"/>
          <w:sz w:val="36"/>
          <w:szCs w:val="36"/>
          <w:highlight w:val="none"/>
          <w14:textFill>
            <w14:solidFill>
              <w14:schemeClr w14:val="tx1"/>
            </w14:solidFill>
          </w14:textFill>
        </w:rPr>
        <w:t>%。</w:t>
      </w:r>
    </w:p>
    <w:p w14:paraId="2F0AB1D8">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color w:val="auto"/>
          <w:sz w:val="36"/>
          <w:szCs w:val="36"/>
          <w:highlight w:val="none"/>
        </w:rPr>
      </w:pPr>
      <w:r>
        <w:rPr>
          <w:rFonts w:hint="eastAsia"/>
          <w:color w:val="auto"/>
          <w:sz w:val="36"/>
          <w:szCs w:val="36"/>
          <w:highlight w:val="none"/>
        </w:rPr>
        <w:t>（二）上半年政府性基金预算收支执行情况</w:t>
      </w:r>
    </w:p>
    <w:p w14:paraId="75357EEB">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rFonts w:hint="eastAsia" w:ascii="仿宋_GB2312" w:eastAsia="仿宋_GB2312" w:cs="Times New Roman"/>
          <w:color w:val="000000" w:themeColor="text1"/>
          <w:sz w:val="36"/>
          <w:szCs w:val="36"/>
          <w:highlight w:val="none"/>
          <w:lang w:val="en-US" w:eastAsia="zh-CN"/>
          <w14:textFill>
            <w14:solidFill>
              <w14:schemeClr w14:val="tx1"/>
            </w14:solidFill>
          </w14:textFill>
        </w:rPr>
      </w:pPr>
      <w:r>
        <w:rPr>
          <w:rFonts w:hint="eastAsia" w:ascii="仿宋_GB2312" w:eastAsia="仿宋_GB2312" w:cs="Times New Roman"/>
          <w:color w:val="000000" w:themeColor="text1"/>
          <w:sz w:val="36"/>
          <w:szCs w:val="36"/>
          <w:highlight w:val="none"/>
          <w:lang w:val="en-US" w:eastAsia="zh-CN"/>
          <w14:textFill>
            <w14:solidFill>
              <w14:schemeClr w14:val="tx1"/>
            </w14:solidFill>
          </w14:textFill>
        </w:rPr>
        <w:t>2024年1-6月政府性基金支出完成4282万元，其中：非标专项债券用于八公山风景区建设提升项目2300万元；上级补助基金用于彩票公益金支持社会福利、体育事业、残疾人事业93万元，征地拆迁补偿、农村基础设施建设、农业生产发展、农业农村生态环境等支出1106万元，城市环境卫生26万元，水库移民扶持基金2万元，专项债券利息支出755万元。</w:t>
      </w:r>
    </w:p>
    <w:p w14:paraId="5CFDE7E9">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rFonts w:hint="eastAsia"/>
          <w:color w:val="auto"/>
          <w:sz w:val="36"/>
          <w:szCs w:val="36"/>
          <w:highlight w:val="none"/>
        </w:rPr>
      </w:pPr>
      <w:r>
        <w:rPr>
          <w:rFonts w:hint="eastAsia"/>
          <w:color w:val="auto"/>
          <w:sz w:val="36"/>
          <w:szCs w:val="36"/>
          <w:highlight w:val="none"/>
        </w:rPr>
        <w:t>（三）上半年财政预算执行的主要特点及重点工作</w:t>
      </w:r>
    </w:p>
    <w:p w14:paraId="61481247">
      <w:pPr>
        <w:keepNext w:val="0"/>
        <w:keepLines w:val="0"/>
        <w:pageBreakBefore w:val="0"/>
        <w:widowControl w:val="0"/>
        <w:kinsoku/>
        <w:wordWrap/>
        <w:overflowPunct/>
        <w:topLinePunct w:val="0"/>
        <w:autoSpaceDE/>
        <w:autoSpaceDN/>
        <w:bidi w:val="0"/>
        <w:spacing w:line="560" w:lineRule="exact"/>
        <w:ind w:left="0" w:firstLine="723" w:firstLineChars="200"/>
        <w:textAlignment w:val="auto"/>
        <w:rPr>
          <w:rFonts w:hint="eastAsia" w:ascii="仿宋_GB2312" w:eastAsia="仿宋_GB2312" w:cs="宋体"/>
          <w:color w:val="auto"/>
          <w:kern w:val="0"/>
          <w:sz w:val="36"/>
          <w:szCs w:val="36"/>
          <w:highlight w:val="none"/>
        </w:rPr>
      </w:pPr>
      <w:r>
        <w:rPr>
          <w:rStyle w:val="9"/>
          <w:rFonts w:hint="eastAsia" w:ascii="仿宋_GB2312" w:hAnsi="仿宋" w:eastAsia="仿宋_GB2312"/>
          <w:color w:val="auto"/>
          <w:sz w:val="36"/>
          <w:szCs w:val="36"/>
          <w:highlight w:val="none"/>
          <w:shd w:val="clear" w:color="auto" w:fill="FFFFFF"/>
        </w:rPr>
        <w:t>1</w:t>
      </w:r>
      <w:r>
        <w:rPr>
          <w:rStyle w:val="9"/>
          <w:rFonts w:hint="eastAsia" w:ascii="仿宋_GB2312" w:hAnsi="仿宋" w:eastAsia="仿宋_GB2312"/>
          <w:color w:val="auto"/>
          <w:sz w:val="36"/>
          <w:szCs w:val="36"/>
          <w:highlight w:val="none"/>
          <w:shd w:val="clear" w:color="auto" w:fill="FFFFFF"/>
          <w:lang w:eastAsia="zh-CN"/>
        </w:rPr>
        <w:t>.</w:t>
      </w:r>
      <w:r>
        <w:rPr>
          <w:rStyle w:val="9"/>
          <w:rFonts w:hint="eastAsia" w:ascii="仿宋_GB2312" w:hAnsi="仿宋" w:eastAsia="仿宋_GB2312"/>
          <w:color w:val="auto"/>
          <w:sz w:val="36"/>
          <w:szCs w:val="36"/>
          <w:highlight w:val="none"/>
          <w:shd w:val="clear" w:color="auto" w:fill="FFFFFF"/>
          <w:lang w:val="en-US" w:eastAsia="zh-CN"/>
        </w:rPr>
        <w:t>聚力抓好收入管理，实现财政稳健运行。</w:t>
      </w:r>
      <w:r>
        <w:rPr>
          <w:rStyle w:val="9"/>
          <w:rFonts w:hint="eastAsia" w:ascii="仿宋_GB2312" w:hAnsi="仿宋" w:eastAsia="仿宋_GB2312"/>
          <w:b w:val="0"/>
          <w:bCs w:val="0"/>
          <w:color w:val="auto"/>
          <w:sz w:val="36"/>
          <w:szCs w:val="36"/>
          <w:highlight w:val="none"/>
          <w:shd w:val="clear" w:color="auto" w:fill="FFFFFF"/>
          <w:lang w:val="en-US" w:eastAsia="zh-CN"/>
        </w:rPr>
        <w:t>一是强化组织稳收入。</w:t>
      </w:r>
      <w:r>
        <w:rPr>
          <w:rFonts w:hint="eastAsia" w:ascii="仿宋_GB2312" w:eastAsia="仿宋_GB2312" w:cs="宋体"/>
          <w:b w:val="0"/>
          <w:bCs w:val="0"/>
          <w:color w:val="auto"/>
          <w:kern w:val="0"/>
          <w:sz w:val="36"/>
          <w:szCs w:val="36"/>
          <w:highlight w:val="none"/>
          <w:lang w:val="en-US" w:eastAsia="zh-CN"/>
        </w:rPr>
        <w:t>加强征管培植税源，落实好结构性减税降费政策，确保应减尽减、应享尽享</w:t>
      </w:r>
      <w:r>
        <w:rPr>
          <w:rFonts w:hint="eastAsia" w:ascii="仿宋_GB2312" w:eastAsia="仿宋_GB2312" w:cs="宋体"/>
          <w:b w:val="0"/>
          <w:bCs w:val="0"/>
          <w:color w:val="auto"/>
          <w:kern w:val="0"/>
          <w:sz w:val="36"/>
          <w:szCs w:val="36"/>
          <w:highlight w:val="none"/>
        </w:rPr>
        <w:t>。加大非税收入征管，确保财政收入及时、均衡入库。</w:t>
      </w:r>
      <w:r>
        <w:rPr>
          <w:rFonts w:hint="eastAsia" w:ascii="仿宋_GB2312" w:hAnsi="仿宋_GB2312" w:eastAsia="仿宋_GB2312" w:cs="仿宋_GB2312"/>
          <w:b w:val="0"/>
          <w:bCs w:val="0"/>
          <w:sz w:val="36"/>
          <w:szCs w:val="36"/>
          <w:lang w:val="en-US" w:eastAsia="zh-CN"/>
        </w:rPr>
        <w:t>2024年</w:t>
      </w:r>
      <w:r>
        <w:rPr>
          <w:rFonts w:hint="eastAsia" w:ascii="仿宋_GB2312" w:hAnsi="仿宋_GB2312" w:eastAsia="仿宋_GB2312" w:cs="仿宋_GB2312"/>
          <w:b w:val="0"/>
          <w:bCs w:val="0"/>
          <w:sz w:val="36"/>
          <w:szCs w:val="36"/>
          <w:lang w:eastAsia="zh-CN"/>
        </w:rPr>
        <w:t>上半年</w:t>
      </w:r>
      <w:r>
        <w:rPr>
          <w:rFonts w:hint="eastAsia" w:ascii="仿宋_GB2312" w:hAnsi="仿宋_GB2312" w:eastAsia="仿宋_GB2312" w:cs="仿宋_GB2312"/>
          <w:b w:val="0"/>
          <w:bCs w:val="0"/>
          <w:sz w:val="36"/>
          <w:szCs w:val="36"/>
          <w:highlight w:val="none"/>
          <w:lang w:val="en-US" w:eastAsia="zh-CN"/>
        </w:rPr>
        <w:t>，八公山区</w:t>
      </w:r>
      <w:r>
        <w:rPr>
          <w:rFonts w:hint="eastAsia" w:ascii="仿宋_GB2312" w:hAnsi="仿宋_GB2312" w:eastAsia="仿宋_GB2312" w:cs="仿宋_GB2312"/>
          <w:b w:val="0"/>
          <w:bCs w:val="0"/>
          <w:sz w:val="36"/>
          <w:szCs w:val="36"/>
          <w:highlight w:val="none"/>
          <w:lang w:eastAsia="zh-CN"/>
        </w:rPr>
        <w:t>一般公共预算收入完成</w:t>
      </w:r>
      <w:r>
        <w:rPr>
          <w:rFonts w:hint="eastAsia" w:ascii="仿宋_GB2312" w:hAnsi="仿宋_GB2312" w:eastAsia="仿宋_GB2312" w:cs="仿宋_GB2312"/>
          <w:b w:val="0"/>
          <w:bCs w:val="0"/>
          <w:sz w:val="36"/>
          <w:szCs w:val="36"/>
          <w:highlight w:val="none"/>
          <w:lang w:val="en-US" w:eastAsia="zh-CN"/>
        </w:rPr>
        <w:t>14361万元</w:t>
      </w:r>
      <w:r>
        <w:rPr>
          <w:rFonts w:hint="eastAsia" w:ascii="仿宋_GB2312" w:hAnsi="仿宋_GB2312" w:eastAsia="仿宋_GB2312" w:cs="仿宋_GB2312"/>
          <w:b w:val="0"/>
          <w:bCs w:val="0"/>
          <w:sz w:val="36"/>
          <w:szCs w:val="36"/>
          <w:highlight w:val="none"/>
          <w:lang w:eastAsia="zh-CN"/>
        </w:rPr>
        <w:t>，完成年初预算</w:t>
      </w:r>
      <w:r>
        <w:rPr>
          <w:rFonts w:hint="eastAsia" w:ascii="仿宋_GB2312" w:hAnsi="仿宋_GB2312" w:eastAsia="仿宋_GB2312" w:cs="仿宋_GB2312"/>
          <w:b w:val="0"/>
          <w:bCs w:val="0"/>
          <w:color w:val="000000"/>
          <w:sz w:val="36"/>
          <w:szCs w:val="36"/>
          <w:highlight w:val="none"/>
          <w:lang w:eastAsia="zh-CN"/>
        </w:rPr>
        <w:t>的</w:t>
      </w:r>
      <w:r>
        <w:rPr>
          <w:rFonts w:hint="eastAsia" w:ascii="仿宋_GB2312" w:hAnsi="仿宋_GB2312" w:eastAsia="仿宋_GB2312" w:cs="仿宋_GB2312"/>
          <w:b w:val="0"/>
          <w:bCs w:val="0"/>
          <w:color w:val="000000"/>
          <w:sz w:val="36"/>
          <w:szCs w:val="36"/>
          <w:highlight w:val="none"/>
          <w:lang w:val="en-US" w:eastAsia="zh-CN"/>
        </w:rPr>
        <w:t>44%</w:t>
      </w:r>
      <w:r>
        <w:rPr>
          <w:rFonts w:hint="eastAsia" w:ascii="仿宋_GB2312" w:hAnsi="仿宋_GB2312" w:eastAsia="仿宋_GB2312" w:cs="仿宋_GB2312"/>
          <w:b w:val="0"/>
          <w:bCs w:val="0"/>
          <w:color w:val="auto"/>
          <w:sz w:val="36"/>
          <w:szCs w:val="36"/>
          <w:highlight w:val="none"/>
          <w:lang w:val="en-US" w:eastAsia="zh-CN"/>
        </w:rPr>
        <w:t>。其中税收收入4726万元，非税收入9635万元。</w:t>
      </w:r>
      <w:r>
        <w:rPr>
          <w:rFonts w:ascii="仿宋_GB2312" w:hAnsi="Times New Roman" w:eastAsia="仿宋_GB2312" w:cs="仿宋_GB2312"/>
          <w:b w:val="0"/>
          <w:bCs w:val="0"/>
          <w:i w:val="0"/>
          <w:iCs w:val="0"/>
          <w:caps w:val="0"/>
          <w:color w:val="000000"/>
          <w:spacing w:val="0"/>
          <w:sz w:val="36"/>
          <w:szCs w:val="36"/>
          <w:shd w:val="clear" w:fill="FFFFFF"/>
        </w:rPr>
        <w:t>二是</w:t>
      </w:r>
      <w:r>
        <w:rPr>
          <w:rFonts w:hint="eastAsia" w:ascii="仿宋_GB2312" w:hAnsi="Times New Roman" w:eastAsia="仿宋_GB2312" w:cs="仿宋_GB2312"/>
          <w:b w:val="0"/>
          <w:bCs w:val="0"/>
          <w:i w:val="0"/>
          <w:iCs w:val="0"/>
          <w:caps w:val="0"/>
          <w:color w:val="000000"/>
          <w:spacing w:val="0"/>
          <w:sz w:val="36"/>
          <w:szCs w:val="36"/>
          <w:shd w:val="clear" w:fill="FFFFFF"/>
          <w:lang w:eastAsia="zh-CN"/>
        </w:rPr>
        <w:t>积极</w:t>
      </w:r>
      <w:r>
        <w:rPr>
          <w:rFonts w:ascii="仿宋_GB2312" w:hAnsi="Times New Roman" w:eastAsia="仿宋_GB2312" w:cs="仿宋_GB2312"/>
          <w:b w:val="0"/>
          <w:bCs w:val="0"/>
          <w:i w:val="0"/>
          <w:iCs w:val="0"/>
          <w:caps w:val="0"/>
          <w:color w:val="000000"/>
          <w:spacing w:val="0"/>
          <w:sz w:val="36"/>
          <w:szCs w:val="36"/>
          <w:shd w:val="clear" w:fill="FFFFFF"/>
        </w:rPr>
        <w:t>对上争取。</w:t>
      </w:r>
      <w:r>
        <w:rPr>
          <w:rFonts w:hint="eastAsia" w:ascii="仿宋_GB2312" w:eastAsia="仿宋_GB2312" w:cs="宋体"/>
          <w:b w:val="0"/>
          <w:bCs w:val="0"/>
          <w:color w:val="auto"/>
          <w:kern w:val="0"/>
          <w:sz w:val="36"/>
          <w:szCs w:val="36"/>
          <w:highlight w:val="none"/>
          <w:lang w:val="en-US" w:eastAsia="zh-CN"/>
        </w:rPr>
        <w:t>对标国家、省、市政策动向和资金投向，争取上级政策和资金支持，推动谋划重点项目落地见效，</w:t>
      </w:r>
      <w:r>
        <w:rPr>
          <w:rFonts w:hint="eastAsia" w:ascii="仿宋_GB2312" w:eastAsia="仿宋_GB2312" w:cs="宋体"/>
          <w:b w:val="0"/>
          <w:bCs w:val="0"/>
          <w:color w:val="auto"/>
          <w:kern w:val="0"/>
          <w:sz w:val="36"/>
          <w:szCs w:val="36"/>
          <w:highlight w:val="none"/>
        </w:rPr>
        <w:t>上半年累计争取财力性转移支付2108万元</w:t>
      </w:r>
      <w:r>
        <w:rPr>
          <w:rFonts w:hint="eastAsia" w:ascii="仿宋_GB2312" w:eastAsia="仿宋_GB2312" w:cs="宋体"/>
          <w:b w:val="0"/>
          <w:bCs w:val="0"/>
          <w:color w:val="auto"/>
          <w:kern w:val="0"/>
          <w:sz w:val="36"/>
          <w:szCs w:val="36"/>
          <w:highlight w:val="none"/>
          <w:lang w:eastAsia="zh-CN"/>
        </w:rPr>
        <w:t>，</w:t>
      </w:r>
      <w:r>
        <w:rPr>
          <w:rFonts w:hint="eastAsia" w:ascii="仿宋_GB2312" w:eastAsia="仿宋_GB2312" w:cs="宋体"/>
          <w:b w:val="0"/>
          <w:bCs w:val="0"/>
          <w:color w:val="auto"/>
          <w:kern w:val="0"/>
          <w:sz w:val="36"/>
          <w:szCs w:val="36"/>
          <w:highlight w:val="none"/>
          <w:lang w:val="en-US" w:eastAsia="zh-CN"/>
        </w:rPr>
        <w:t>争取八公山国家地质自然公园山水林田湖草沙一体化保护修复工程1500万元、狮子山废弃矿山生态修复项目1200万元；</w:t>
      </w:r>
      <w:r>
        <w:rPr>
          <w:rFonts w:hint="eastAsia" w:ascii="仿宋_GB2312" w:eastAsia="仿宋_GB2312" w:cs="宋体"/>
          <w:b w:val="0"/>
          <w:bCs w:val="0"/>
          <w:color w:val="auto"/>
          <w:kern w:val="0"/>
          <w:sz w:val="36"/>
          <w:szCs w:val="36"/>
          <w:highlight w:val="none"/>
        </w:rPr>
        <w:t>发行地方政府专项债券4300万元</w:t>
      </w:r>
      <w:r>
        <w:rPr>
          <w:rFonts w:hint="eastAsia" w:ascii="仿宋_GB2312" w:eastAsia="仿宋_GB2312" w:cs="宋体"/>
          <w:b w:val="0"/>
          <w:bCs w:val="0"/>
          <w:color w:val="auto"/>
          <w:kern w:val="0"/>
          <w:sz w:val="36"/>
          <w:szCs w:val="36"/>
          <w:highlight w:val="none"/>
          <w:lang w:eastAsia="zh-CN"/>
        </w:rPr>
        <w:t>，</w:t>
      </w:r>
      <w:r>
        <w:rPr>
          <w:rFonts w:hint="eastAsia" w:ascii="仿宋_GB2312" w:eastAsia="仿宋_GB2312" w:cs="宋体"/>
          <w:b w:val="0"/>
          <w:bCs w:val="0"/>
          <w:color w:val="auto"/>
          <w:kern w:val="0"/>
          <w:sz w:val="36"/>
          <w:szCs w:val="36"/>
          <w:highlight w:val="none"/>
          <w:lang w:val="en-US" w:eastAsia="zh-CN"/>
        </w:rPr>
        <w:t>用于豆腐产业园及基础设施建设、水环境综合治理、八公山风景区建设提升项目</w:t>
      </w:r>
      <w:r>
        <w:rPr>
          <w:rFonts w:hint="eastAsia" w:ascii="仿宋_GB2312" w:eastAsia="仿宋_GB2312" w:cs="宋体"/>
          <w:b w:val="0"/>
          <w:bCs w:val="0"/>
          <w:color w:val="auto"/>
          <w:kern w:val="0"/>
          <w:sz w:val="36"/>
          <w:szCs w:val="36"/>
          <w:highlight w:val="none"/>
        </w:rPr>
        <w:t>。</w:t>
      </w:r>
      <w:r>
        <w:rPr>
          <w:rFonts w:hint="eastAsia" w:ascii="仿宋_GB2312" w:hAnsi="Times New Roman" w:eastAsia="仿宋_GB2312" w:cs="仿宋_GB2312"/>
          <w:b w:val="0"/>
          <w:bCs w:val="0"/>
          <w:i w:val="0"/>
          <w:iCs w:val="0"/>
          <w:caps w:val="0"/>
          <w:color w:val="000000"/>
          <w:spacing w:val="0"/>
          <w:sz w:val="36"/>
          <w:szCs w:val="36"/>
          <w:shd w:val="clear" w:fill="FFFFFF"/>
        </w:rPr>
        <w:t>三是盘活资金提效益。</w:t>
      </w:r>
      <w:r>
        <w:rPr>
          <w:rFonts w:hint="eastAsia" w:ascii="仿宋_GB2312" w:eastAsia="仿宋_GB2312" w:cs="宋体"/>
          <w:color w:val="auto"/>
          <w:kern w:val="0"/>
          <w:sz w:val="36"/>
          <w:szCs w:val="36"/>
          <w:highlight w:val="none"/>
          <w:lang w:val="en-US" w:eastAsia="zh-CN"/>
        </w:rPr>
        <w:t>对全区74家预算单位的往来结余资金进行清理甄别和认定，积极盘活各领域财政资金，上半年</w:t>
      </w:r>
      <w:r>
        <w:rPr>
          <w:rFonts w:hint="eastAsia" w:ascii="仿宋_GB2312" w:eastAsia="仿宋_GB2312" w:cs="宋体"/>
          <w:color w:val="auto"/>
          <w:kern w:val="0"/>
          <w:sz w:val="36"/>
          <w:szCs w:val="36"/>
          <w:highlight w:val="none"/>
        </w:rPr>
        <w:t>清理盘活财政存量资金770万元</w:t>
      </w:r>
      <w:r>
        <w:rPr>
          <w:rFonts w:hint="eastAsia" w:ascii="仿宋_GB2312" w:eastAsia="仿宋_GB2312" w:cs="宋体"/>
          <w:color w:val="auto"/>
          <w:kern w:val="0"/>
          <w:sz w:val="36"/>
          <w:szCs w:val="36"/>
          <w:highlight w:val="none"/>
          <w:lang w:eastAsia="zh-CN"/>
        </w:rPr>
        <w:t>。</w:t>
      </w:r>
    </w:p>
    <w:p w14:paraId="105509AA">
      <w:pPr>
        <w:keepNext w:val="0"/>
        <w:keepLines w:val="0"/>
        <w:pageBreakBefore w:val="0"/>
        <w:widowControl w:val="0"/>
        <w:kinsoku/>
        <w:wordWrap/>
        <w:overflowPunct/>
        <w:topLinePunct w:val="0"/>
        <w:autoSpaceDE/>
        <w:autoSpaceDN/>
        <w:bidi w:val="0"/>
        <w:adjustRightInd/>
        <w:snapToGrid/>
        <w:spacing w:line="560" w:lineRule="exact"/>
        <w:ind w:left="0" w:firstLine="723" w:firstLineChars="200"/>
        <w:textAlignment w:val="auto"/>
        <w:rPr>
          <w:rFonts w:hint="eastAsia" w:ascii="仿宋_GB2312" w:eastAsia="仿宋_GB2312" w:cs="宋体"/>
          <w:b w:val="0"/>
          <w:bCs w:val="0"/>
          <w:color w:val="auto"/>
          <w:kern w:val="0"/>
          <w:sz w:val="36"/>
          <w:szCs w:val="36"/>
          <w:highlight w:val="none"/>
          <w:lang w:val="en-US" w:eastAsia="zh-CN"/>
        </w:rPr>
      </w:pPr>
      <w:r>
        <w:rPr>
          <w:rFonts w:hint="eastAsia" w:ascii="仿宋_GB2312" w:eastAsia="仿宋_GB2312" w:cs="宋体"/>
          <w:b/>
          <w:bCs/>
          <w:color w:val="auto"/>
          <w:kern w:val="0"/>
          <w:sz w:val="36"/>
          <w:szCs w:val="36"/>
          <w:highlight w:val="none"/>
          <w:lang w:val="en-US" w:eastAsia="zh-CN"/>
        </w:rPr>
        <w:t>2.致力优化服务供给，提升民生保障质量。</w:t>
      </w:r>
      <w:r>
        <w:rPr>
          <w:rFonts w:hint="eastAsia" w:ascii="仿宋_GB2312" w:eastAsia="仿宋_GB2312" w:cs="宋体"/>
          <w:b w:val="0"/>
          <w:bCs w:val="0"/>
          <w:color w:val="auto"/>
          <w:kern w:val="0"/>
          <w:sz w:val="36"/>
          <w:szCs w:val="36"/>
          <w:highlight w:val="none"/>
          <w:lang w:val="en-US" w:eastAsia="zh-CN"/>
        </w:rPr>
        <w:t>始终把改善和保障民生作为财政工作的出发点和落脚点，支持民生事业加快发展，不断推进基本公共服务均等化，上半年民生类支出24860万元，占总支出的89.8%，创历史新高。深入实施就业优先战略，拨付245万元扎实推进高校毕业生、农民工、退役军人等重点群体就业。健全分层分类社会救助体系，落实城乡低保、特困人员救助等提标政策，持续推进养老服务体系建设，发放居家养老服务补贴等各类资金，上半年共发放惠民补贴34个项目、152批次，涉及资金总额2074万元，惠及补贴对象约1.4万人。加强医疗卫生服务体系建设,拨付2452万元落实基本药物制度和基本公共卫生项目补助等政策，完善计划生育利益导向机制。</w:t>
      </w:r>
      <w:bookmarkStart w:id="8" w:name="OLE_LINK10"/>
      <w:r>
        <w:rPr>
          <w:rFonts w:hint="eastAsia" w:ascii="仿宋_GB2312" w:eastAsia="仿宋_GB2312" w:cs="宋体"/>
          <w:b w:val="0"/>
          <w:bCs w:val="0"/>
          <w:color w:val="auto"/>
          <w:kern w:val="0"/>
          <w:sz w:val="36"/>
          <w:szCs w:val="36"/>
          <w:highlight w:val="none"/>
          <w:lang w:val="en-US" w:eastAsia="zh-CN"/>
        </w:rPr>
        <w:t>坚持</w:t>
      </w:r>
      <w:bookmarkStart w:id="9" w:name="OLE_LINK9"/>
      <w:r>
        <w:rPr>
          <w:rFonts w:hint="eastAsia" w:ascii="仿宋_GB2312" w:eastAsia="仿宋_GB2312" w:cs="宋体"/>
          <w:b w:val="0"/>
          <w:bCs w:val="0"/>
          <w:color w:val="auto"/>
          <w:kern w:val="0"/>
          <w:sz w:val="36"/>
          <w:szCs w:val="36"/>
          <w:highlight w:val="none"/>
          <w:lang w:val="en-US" w:eastAsia="zh-CN"/>
        </w:rPr>
        <w:t>教育</w:t>
      </w:r>
      <w:bookmarkEnd w:id="9"/>
      <w:r>
        <w:rPr>
          <w:rFonts w:hint="eastAsia" w:ascii="仿宋_GB2312" w:eastAsia="仿宋_GB2312" w:cs="宋体"/>
          <w:b w:val="0"/>
          <w:bCs w:val="0"/>
          <w:color w:val="auto"/>
          <w:kern w:val="0"/>
          <w:sz w:val="36"/>
          <w:szCs w:val="36"/>
          <w:highlight w:val="none"/>
          <w:lang w:val="en-US" w:eastAsia="zh-CN"/>
        </w:rPr>
        <w:t>优先发展战略</w:t>
      </w:r>
      <w:bookmarkEnd w:id="8"/>
      <w:r>
        <w:rPr>
          <w:rFonts w:hint="eastAsia" w:ascii="仿宋_GB2312" w:eastAsia="仿宋_GB2312" w:cs="宋体"/>
          <w:b w:val="0"/>
          <w:bCs w:val="0"/>
          <w:color w:val="auto"/>
          <w:kern w:val="0"/>
          <w:sz w:val="36"/>
          <w:szCs w:val="36"/>
          <w:highlight w:val="none"/>
          <w:lang w:val="en-US" w:eastAsia="zh-CN"/>
        </w:rPr>
        <w:t>，拨付15270万元切实保障教师人员经费和学校建设，促进教育均衡发展。稳步建设公共文化阵地，拨付161万元完善公共文化投入稳定增长机制，积极推动公共文化服务普及化、智慧化、特色化。</w:t>
      </w:r>
      <w:bookmarkStart w:id="10" w:name="OLE_LINK11"/>
      <w:r>
        <w:rPr>
          <w:rFonts w:hint="eastAsia" w:ascii="仿宋_GB2312" w:eastAsia="仿宋_GB2312" w:cs="宋体"/>
          <w:b w:val="0"/>
          <w:bCs w:val="0"/>
          <w:color w:val="auto"/>
          <w:kern w:val="0"/>
          <w:sz w:val="36"/>
          <w:szCs w:val="36"/>
          <w:highlight w:val="none"/>
          <w:lang w:val="en-US" w:eastAsia="zh-CN"/>
        </w:rPr>
        <w:t>健全住房保障体系</w:t>
      </w:r>
      <w:bookmarkEnd w:id="10"/>
      <w:r>
        <w:rPr>
          <w:rFonts w:hint="eastAsia" w:ascii="仿宋_GB2312" w:eastAsia="仿宋_GB2312" w:cs="宋体"/>
          <w:b w:val="0"/>
          <w:bCs w:val="0"/>
          <w:color w:val="auto"/>
          <w:kern w:val="0"/>
          <w:sz w:val="36"/>
          <w:szCs w:val="36"/>
          <w:highlight w:val="none"/>
          <w:lang w:val="en-US" w:eastAsia="zh-CN"/>
        </w:rPr>
        <w:t>，拨付961万元，持续推动项目建设，满足不同群体住房需求。聚焦改善生态环境质量，拨付资金81万元用于支持大气污染防治、排污口整治、污水处理等。持续优化城市环境品质，拨付资金654万元用于垃圾分类、环卫保洁、公厕管护等。</w:t>
      </w:r>
    </w:p>
    <w:p w14:paraId="7A29D2A7">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723" w:firstLineChars="200"/>
        <w:textAlignment w:val="auto"/>
        <w:rPr>
          <w:rFonts w:hint="eastAsia" w:ascii="仿宋_GB2312" w:hAnsi="仿宋_GB2312" w:eastAsia="仿宋_GB2312" w:cs="仿宋_GB2312"/>
          <w:b w:val="0"/>
          <w:bCs w:val="0"/>
          <w:sz w:val="36"/>
          <w:szCs w:val="36"/>
          <w:lang w:val="en-US" w:eastAsia="zh-CN"/>
        </w:rPr>
      </w:pPr>
      <w:r>
        <w:rPr>
          <w:rFonts w:hint="eastAsia" w:ascii="仿宋_GB2312" w:eastAsia="仿宋_GB2312" w:cs="宋体"/>
          <w:b/>
          <w:bCs/>
          <w:color w:val="auto"/>
          <w:kern w:val="0"/>
          <w:sz w:val="36"/>
          <w:szCs w:val="36"/>
          <w:highlight w:val="none"/>
          <w:lang w:val="en-US" w:eastAsia="zh-CN"/>
        </w:rPr>
        <w:t>3.加快提升政策效能，持续优化营商环境。</w:t>
      </w:r>
      <w:r>
        <w:rPr>
          <w:rFonts w:hint="eastAsia" w:ascii="仿宋_GB2312" w:hAnsi="仿宋_GB2312" w:eastAsia="仿宋_GB2312" w:cs="仿宋_GB2312"/>
          <w:sz w:val="36"/>
          <w:szCs w:val="36"/>
        </w:rPr>
        <w:t>落实</w:t>
      </w:r>
      <w:r>
        <w:rPr>
          <w:rFonts w:hint="eastAsia" w:ascii="仿宋_GB2312" w:hAnsi="仿宋_GB2312" w:eastAsia="仿宋_GB2312" w:cs="仿宋_GB2312"/>
          <w:sz w:val="36"/>
          <w:szCs w:val="36"/>
          <w:lang w:eastAsia="zh-CN"/>
        </w:rPr>
        <w:t>各项企业奖补</w:t>
      </w:r>
      <w:r>
        <w:rPr>
          <w:rFonts w:hint="eastAsia" w:ascii="仿宋_GB2312" w:hAnsi="仿宋_GB2312" w:eastAsia="仿宋_GB2312" w:cs="仿宋_GB2312"/>
          <w:sz w:val="36"/>
          <w:szCs w:val="36"/>
        </w:rPr>
        <w:t>政策</w:t>
      </w: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b w:val="0"/>
          <w:bCs w:val="0"/>
          <w:sz w:val="36"/>
          <w:szCs w:val="36"/>
          <w:lang w:val="en-US" w:eastAsia="zh-CN"/>
        </w:rPr>
        <w:t>“真金白银”补贴企业，</w:t>
      </w:r>
      <w:r>
        <w:rPr>
          <w:rFonts w:hint="eastAsia" w:ascii="仿宋_GB2312" w:hAnsi="仿宋_GB2312" w:eastAsia="仿宋_GB2312" w:cs="仿宋_GB2312"/>
          <w:color w:val="000000"/>
          <w:kern w:val="0"/>
          <w:sz w:val="36"/>
          <w:szCs w:val="36"/>
          <w:highlight w:val="none"/>
        </w:rPr>
        <w:t>确保政策红利精准直达经营主体</w:t>
      </w:r>
      <w:r>
        <w:rPr>
          <w:rFonts w:hint="eastAsia" w:ascii="仿宋_GB2312" w:hAnsi="仿宋_GB2312" w:eastAsia="仿宋_GB2312" w:cs="仿宋_GB2312"/>
          <w:color w:val="000000"/>
          <w:kern w:val="0"/>
          <w:sz w:val="36"/>
          <w:szCs w:val="36"/>
          <w:highlight w:val="none"/>
          <w:lang w:eastAsia="zh-CN"/>
        </w:rPr>
        <w:t>，</w:t>
      </w:r>
      <w:r>
        <w:rPr>
          <w:rFonts w:hint="eastAsia" w:ascii="仿宋_GB2312" w:hAnsi="仿宋_GB2312" w:eastAsia="仿宋_GB2312" w:cs="仿宋_GB2312"/>
          <w:color w:val="auto"/>
          <w:kern w:val="0"/>
          <w:sz w:val="36"/>
          <w:szCs w:val="36"/>
          <w:highlight w:val="none"/>
        </w:rPr>
        <w:t>202</w:t>
      </w:r>
      <w:r>
        <w:rPr>
          <w:rFonts w:hint="eastAsia" w:ascii="仿宋_GB2312" w:hAnsi="仿宋_GB2312" w:eastAsia="仿宋_GB2312" w:cs="仿宋_GB2312"/>
          <w:color w:val="auto"/>
          <w:kern w:val="0"/>
          <w:sz w:val="36"/>
          <w:szCs w:val="36"/>
          <w:highlight w:val="none"/>
          <w:lang w:val="en-US" w:eastAsia="zh-CN"/>
        </w:rPr>
        <w:t>4上半</w:t>
      </w:r>
      <w:r>
        <w:rPr>
          <w:rFonts w:hint="eastAsia" w:ascii="仿宋_GB2312" w:hAnsi="仿宋_GB2312" w:eastAsia="仿宋_GB2312" w:cs="仿宋_GB2312"/>
          <w:color w:val="auto"/>
          <w:kern w:val="0"/>
          <w:sz w:val="36"/>
          <w:szCs w:val="36"/>
          <w:highlight w:val="none"/>
        </w:rPr>
        <w:t>年累计</w:t>
      </w:r>
      <w:r>
        <w:rPr>
          <w:rFonts w:hint="eastAsia" w:ascii="仿宋_GB2312" w:hAnsi="仿宋_GB2312" w:eastAsia="仿宋_GB2312" w:cs="仿宋_GB2312"/>
          <w:color w:val="auto"/>
          <w:kern w:val="0"/>
          <w:sz w:val="36"/>
          <w:szCs w:val="36"/>
          <w:highlight w:val="none"/>
          <w:lang w:val="en-US" w:eastAsia="zh-CN"/>
        </w:rPr>
        <w:t>兑付涉企</w:t>
      </w:r>
      <w:r>
        <w:rPr>
          <w:rFonts w:hint="eastAsia" w:ascii="仿宋_GB2312" w:hAnsi="仿宋_GB2312" w:eastAsia="仿宋_GB2312" w:cs="仿宋_GB2312"/>
          <w:color w:val="auto"/>
          <w:kern w:val="0"/>
          <w:sz w:val="36"/>
          <w:szCs w:val="36"/>
          <w:highlight w:val="none"/>
        </w:rPr>
        <w:t>补助资金314.69万元</w:t>
      </w:r>
      <w:r>
        <w:rPr>
          <w:rFonts w:hint="eastAsia" w:ascii="仿宋_GB2312" w:hAnsi="仿宋_GB2312" w:eastAsia="仿宋_GB2312" w:cs="仿宋_GB2312"/>
          <w:color w:val="auto"/>
          <w:kern w:val="0"/>
          <w:sz w:val="36"/>
          <w:szCs w:val="36"/>
          <w:highlight w:val="none"/>
          <w:lang w:eastAsia="zh-CN"/>
        </w:rPr>
        <w:t>；</w:t>
      </w:r>
      <w:r>
        <w:rPr>
          <w:rFonts w:hint="eastAsia" w:ascii="仿宋_GB2312" w:hAnsi="仿宋_GB2312" w:eastAsia="仿宋_GB2312" w:cs="仿宋_GB2312"/>
          <w:color w:val="000000"/>
          <w:kern w:val="0"/>
          <w:sz w:val="36"/>
          <w:szCs w:val="36"/>
          <w:highlight w:val="none"/>
        </w:rPr>
        <w:t>推动“皖企通”平台、预算管理一体化系统、涉企系统信息互联互通，兑付“免申即享”“即申即享”惠企政策</w:t>
      </w:r>
      <w:r>
        <w:rPr>
          <w:rFonts w:hint="eastAsia" w:ascii="仿宋_GB2312" w:hAnsi="仿宋_GB2312" w:eastAsia="仿宋_GB2312" w:cs="仿宋_GB2312"/>
          <w:color w:val="000000"/>
          <w:kern w:val="0"/>
          <w:sz w:val="36"/>
          <w:szCs w:val="36"/>
          <w:highlight w:val="none"/>
          <w:lang w:val="en-US" w:eastAsia="zh-CN"/>
        </w:rPr>
        <w:t>共17家企业15.5</w:t>
      </w:r>
      <w:r>
        <w:rPr>
          <w:rFonts w:hint="eastAsia" w:ascii="仿宋_GB2312" w:hAnsi="仿宋_GB2312" w:eastAsia="仿宋_GB2312" w:cs="仿宋_GB2312"/>
          <w:color w:val="000000"/>
          <w:kern w:val="0"/>
          <w:sz w:val="36"/>
          <w:szCs w:val="36"/>
          <w:highlight w:val="none"/>
        </w:rPr>
        <w:t>万元。充分发挥“财政+金融”协同效应，</w:t>
      </w:r>
      <w:r>
        <w:rPr>
          <w:rFonts w:hint="eastAsia" w:ascii="仿宋_GB2312" w:hAnsi="仿宋_GB2312" w:eastAsia="仿宋_GB2312" w:cs="仿宋_GB2312"/>
          <w:color w:val="000000"/>
          <w:kern w:val="0"/>
          <w:sz w:val="36"/>
          <w:szCs w:val="36"/>
          <w:highlight w:val="none"/>
          <w:lang w:eastAsia="zh-CN"/>
        </w:rPr>
        <w:t>引导金融机构加强对企融资服务，提升小微企业融资便利度，减轻企业融资成本。</w:t>
      </w:r>
      <w:r>
        <w:rPr>
          <w:rFonts w:hint="eastAsia" w:ascii="仿宋_GB2312" w:hAnsi="仿宋_GB2312" w:eastAsia="仿宋_GB2312" w:cs="仿宋_GB2312"/>
          <w:b w:val="0"/>
          <w:bCs w:val="0"/>
          <w:sz w:val="36"/>
          <w:szCs w:val="36"/>
          <w:lang w:val="en-US" w:eastAsia="zh-CN"/>
        </w:rPr>
        <w:t>上半年开展政银企对接活动3次，对接银行和相关企业30余次，中小微企业通过金融服务平台成功申请贷款884笔共计34.1亿元，有力帮助企业解决融资难、融资贵的问题。加强市场联动，</w:t>
      </w:r>
      <w:r>
        <w:rPr>
          <w:rFonts w:hint="default" w:ascii="仿宋_GB2312" w:hAnsi="仿宋_GB2312" w:eastAsia="仿宋_GB2312" w:cs="仿宋_GB2312"/>
          <w:b w:val="0"/>
          <w:bCs w:val="0"/>
          <w:sz w:val="36"/>
          <w:szCs w:val="36"/>
          <w:lang w:val="en-US" w:eastAsia="zh-CN"/>
        </w:rPr>
        <w:t>大力推动具有高成长性的科技中小企业在“新三板”、“四板”市场挂牌，</w:t>
      </w:r>
      <w:r>
        <w:rPr>
          <w:rFonts w:hint="eastAsia" w:ascii="仿宋_GB2312" w:hAnsi="仿宋_GB2312" w:eastAsia="仿宋_GB2312" w:cs="仿宋_GB2312"/>
          <w:b w:val="0"/>
          <w:bCs w:val="0"/>
          <w:sz w:val="36"/>
          <w:szCs w:val="36"/>
          <w:lang w:val="en-US" w:eastAsia="zh-CN"/>
        </w:rPr>
        <w:t>新增畅九衢环保科技有限公司作为我区上市后备企业，加大东华欧科（现安徽精益源科技有限公司）上市培育力度。</w:t>
      </w:r>
    </w:p>
    <w:p w14:paraId="08CEA1A5">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723" w:firstLineChars="200"/>
        <w:textAlignment w:val="auto"/>
        <w:rPr>
          <w:rFonts w:hint="eastAsia" w:ascii="仿宋_GB2312" w:hAnsi="仿宋_GB2312" w:eastAsia="仿宋_GB2312" w:cs="仿宋_GB2312"/>
          <w:b w:val="0"/>
          <w:bCs w:val="0"/>
          <w:sz w:val="36"/>
          <w:szCs w:val="36"/>
          <w:highlight w:val="none"/>
          <w:lang w:val="en-US" w:eastAsia="zh-CN"/>
        </w:rPr>
      </w:pPr>
      <w:r>
        <w:rPr>
          <w:rFonts w:hint="eastAsia" w:ascii="仿宋_GB2312" w:eastAsia="仿宋_GB2312" w:cs="宋体"/>
          <w:b/>
          <w:bCs/>
          <w:color w:val="auto"/>
          <w:kern w:val="0"/>
          <w:sz w:val="36"/>
          <w:szCs w:val="36"/>
          <w:highlight w:val="none"/>
          <w:lang w:val="en-US" w:eastAsia="zh-CN"/>
        </w:rPr>
        <w:t>4.</w:t>
      </w:r>
      <w:r>
        <w:rPr>
          <w:rFonts w:hint="eastAsia" w:ascii="仿宋_GB2312" w:hAnsi="Times New Roman" w:eastAsia="仿宋_GB2312" w:cs="仿宋_GB2312"/>
          <w:b/>
          <w:bCs/>
          <w:i w:val="0"/>
          <w:iCs w:val="0"/>
          <w:caps w:val="0"/>
          <w:color w:val="000000"/>
          <w:spacing w:val="0"/>
          <w:sz w:val="36"/>
          <w:szCs w:val="36"/>
          <w:shd w:val="clear" w:fill="FFFFFF"/>
          <w:lang w:val="en-US" w:eastAsia="zh-CN"/>
        </w:rPr>
        <w:t>牢固树立底线思维，防范化解财政风险</w:t>
      </w:r>
      <w:r>
        <w:rPr>
          <w:rFonts w:hint="eastAsia" w:ascii="仿宋_GB2312" w:eastAsia="仿宋_GB2312" w:cs="宋体"/>
          <w:b/>
          <w:bCs/>
          <w:color w:val="auto"/>
          <w:kern w:val="0"/>
          <w:sz w:val="36"/>
          <w:szCs w:val="36"/>
          <w:highlight w:val="none"/>
          <w:lang w:val="en-US" w:eastAsia="zh-CN"/>
        </w:rPr>
        <w:t>。</w:t>
      </w:r>
      <w:r>
        <w:rPr>
          <w:rFonts w:hint="eastAsia" w:ascii="仿宋_GB2312" w:hAnsi="仿宋_GB2312" w:eastAsia="仿宋_GB2312" w:cs="仿宋_GB2312"/>
          <w:b w:val="0"/>
          <w:bCs w:val="0"/>
          <w:sz w:val="36"/>
          <w:szCs w:val="36"/>
          <w:highlight w:val="none"/>
          <w:lang w:val="en-US" w:eastAsia="zh-CN"/>
        </w:rPr>
        <w:t>一是强化债务风险防范。统筹做好新增政府债务限额安排，妥善处理稳增长和防风险的关系，将债务率控制在合理水平；有效化解存量</w:t>
      </w:r>
      <w:r>
        <w:rPr>
          <w:rFonts w:hint="eastAsia" w:ascii="仿宋_GB2312" w:hAnsi="Times New Roman" w:eastAsia="仿宋_GB2312" w:cs="仿宋_GB2312"/>
          <w:i w:val="0"/>
          <w:iCs w:val="0"/>
          <w:caps w:val="0"/>
          <w:color w:val="000000"/>
          <w:spacing w:val="0"/>
          <w:sz w:val="36"/>
          <w:szCs w:val="36"/>
          <w:shd w:val="clear" w:fill="FFFFFF"/>
        </w:rPr>
        <w:t>债务</w:t>
      </w:r>
      <w:r>
        <w:rPr>
          <w:rFonts w:hint="eastAsia" w:ascii="仿宋_GB2312" w:hAnsi="Times New Roman" w:eastAsia="仿宋_GB2312" w:cs="仿宋_GB2312"/>
          <w:i w:val="0"/>
          <w:iCs w:val="0"/>
          <w:caps w:val="0"/>
          <w:color w:val="000000"/>
          <w:spacing w:val="0"/>
          <w:sz w:val="36"/>
          <w:szCs w:val="36"/>
          <w:shd w:val="clear" w:fill="FFFFFF"/>
          <w:lang w:eastAsia="zh-CN"/>
        </w:rPr>
        <w:t>，</w:t>
      </w:r>
      <w:r>
        <w:rPr>
          <w:rFonts w:hint="eastAsia" w:ascii="仿宋_GB2312" w:hAnsi="Times New Roman" w:eastAsia="仿宋_GB2312" w:cs="仿宋_GB2312"/>
          <w:i w:val="0"/>
          <w:iCs w:val="0"/>
          <w:caps w:val="0"/>
          <w:color w:val="000000"/>
          <w:spacing w:val="0"/>
          <w:sz w:val="36"/>
          <w:szCs w:val="36"/>
          <w:shd w:val="clear" w:fill="FFFFFF"/>
        </w:rPr>
        <w:t>严格按照省、市要求，进一步强化风险意识，不断加强政府债务管理，编</w:t>
      </w:r>
      <w:r>
        <w:rPr>
          <w:rFonts w:hint="eastAsia" w:ascii="仿宋_GB2312" w:hAnsi="Times New Roman" w:eastAsia="仿宋_GB2312" w:cs="仿宋_GB2312"/>
          <w:i w:val="0"/>
          <w:iCs w:val="0"/>
          <w:caps w:val="0"/>
          <w:color w:val="000000"/>
          <w:spacing w:val="0"/>
          <w:sz w:val="36"/>
          <w:szCs w:val="36"/>
          <w:highlight w:val="none"/>
          <w:shd w:val="clear" w:fill="FFFFFF"/>
        </w:rPr>
        <w:t>制</w:t>
      </w:r>
      <w:r>
        <w:rPr>
          <w:rFonts w:hint="eastAsia" w:ascii="仿宋_GB2312" w:hAnsi="宋体" w:eastAsia="仿宋_GB2312" w:cs="仿宋_GB2312"/>
          <w:i w:val="0"/>
          <w:iCs w:val="0"/>
          <w:caps w:val="0"/>
          <w:color w:val="000000"/>
          <w:spacing w:val="0"/>
          <w:sz w:val="36"/>
          <w:szCs w:val="36"/>
          <w:highlight w:val="none"/>
          <w:shd w:val="clear" w:fill="FFFFFF"/>
        </w:rPr>
        <w:t>“</w:t>
      </w:r>
      <w:r>
        <w:rPr>
          <w:rFonts w:hint="default" w:ascii="Times New Roman" w:hAnsi="Times New Roman" w:eastAsia="宋体" w:cs="Times New Roman"/>
          <w:i w:val="0"/>
          <w:iCs w:val="0"/>
          <w:caps w:val="0"/>
          <w:color w:val="000000"/>
          <w:spacing w:val="0"/>
          <w:sz w:val="36"/>
          <w:szCs w:val="36"/>
          <w:highlight w:val="none"/>
          <w:shd w:val="clear" w:fill="FFFFFF"/>
        </w:rPr>
        <w:t>1+3+X</w:t>
      </w:r>
      <w:r>
        <w:rPr>
          <w:rFonts w:hint="eastAsia" w:ascii="仿宋_GB2312" w:hAnsi="宋体" w:eastAsia="仿宋_GB2312" w:cs="仿宋_GB2312"/>
          <w:i w:val="0"/>
          <w:iCs w:val="0"/>
          <w:caps w:val="0"/>
          <w:color w:val="000000"/>
          <w:spacing w:val="0"/>
          <w:sz w:val="36"/>
          <w:szCs w:val="36"/>
          <w:highlight w:val="none"/>
          <w:shd w:val="clear" w:fill="FFFFFF"/>
        </w:rPr>
        <w:t>”</w:t>
      </w:r>
      <w:r>
        <w:rPr>
          <w:rFonts w:hint="eastAsia" w:ascii="仿宋_GB2312" w:hAnsi="Times New Roman" w:eastAsia="仿宋_GB2312" w:cs="仿宋_GB2312"/>
          <w:i w:val="0"/>
          <w:iCs w:val="0"/>
          <w:caps w:val="0"/>
          <w:color w:val="000000"/>
          <w:spacing w:val="0"/>
          <w:sz w:val="36"/>
          <w:szCs w:val="36"/>
          <w:highlight w:val="none"/>
          <w:shd w:val="clear" w:fill="FFFFFF"/>
        </w:rPr>
        <w:t>化解方案，</w:t>
      </w:r>
      <w:r>
        <w:rPr>
          <w:rFonts w:hint="eastAsia" w:ascii="仿宋_GB2312" w:hAnsi="Times New Roman" w:eastAsia="仿宋_GB2312" w:cs="仿宋_GB2312"/>
          <w:i w:val="0"/>
          <w:iCs w:val="0"/>
          <w:caps w:val="0"/>
          <w:color w:val="000000"/>
          <w:spacing w:val="0"/>
          <w:sz w:val="36"/>
          <w:szCs w:val="36"/>
          <w:shd w:val="clear" w:fill="FFFFFF"/>
        </w:rPr>
        <w:t>合理测</w:t>
      </w:r>
      <w:r>
        <w:rPr>
          <w:rFonts w:hint="eastAsia" w:ascii="仿宋_GB2312" w:hAnsi="Times New Roman" w:eastAsia="仿宋_GB2312" w:cs="仿宋_GB2312"/>
          <w:i w:val="0"/>
          <w:iCs w:val="0"/>
          <w:caps w:val="0"/>
          <w:color w:val="000000"/>
          <w:spacing w:val="0"/>
          <w:sz w:val="36"/>
          <w:szCs w:val="36"/>
          <w:highlight w:val="none"/>
          <w:shd w:val="clear" w:fill="FFFFFF"/>
        </w:rPr>
        <w:t>算当年还本付息资金规模，将债务还本付息纳入预算管理</w:t>
      </w:r>
      <w:r>
        <w:rPr>
          <w:rFonts w:hint="eastAsia" w:ascii="仿宋_GB2312" w:hAnsi="Times New Roman" w:eastAsia="仿宋_GB2312" w:cs="仿宋_GB2312"/>
          <w:i w:val="0"/>
          <w:iCs w:val="0"/>
          <w:caps w:val="0"/>
          <w:color w:val="000000"/>
          <w:spacing w:val="0"/>
          <w:sz w:val="36"/>
          <w:szCs w:val="36"/>
          <w:highlight w:val="none"/>
          <w:shd w:val="clear" w:fill="FFFFFF"/>
          <w:lang w:eastAsia="zh-CN"/>
        </w:rPr>
        <w:t>；</w:t>
      </w:r>
      <w:r>
        <w:rPr>
          <w:rFonts w:hint="eastAsia" w:ascii="仿宋_GB2312" w:hAnsi="Times New Roman" w:eastAsia="仿宋_GB2312" w:cs="仿宋_GB2312"/>
          <w:i w:val="0"/>
          <w:iCs w:val="0"/>
          <w:caps w:val="0"/>
          <w:color w:val="000000"/>
          <w:spacing w:val="0"/>
          <w:sz w:val="36"/>
          <w:szCs w:val="36"/>
          <w:shd w:val="clear" w:fill="FFFFFF"/>
          <w:lang w:val="en-US" w:eastAsia="zh-CN"/>
        </w:rPr>
        <w:t>全力抓好政府债券资金使用管理，加快债券项目资金支出进度。二是兜牢“三保”底线。坚持“三保”支出在财政支出的</w:t>
      </w:r>
      <w:r>
        <w:rPr>
          <w:rFonts w:hint="eastAsia" w:ascii="仿宋_GB2312" w:hAnsi="仿宋_GB2312" w:eastAsia="仿宋_GB2312" w:cs="仿宋_GB2312"/>
          <w:b w:val="0"/>
          <w:bCs w:val="0"/>
          <w:sz w:val="36"/>
          <w:szCs w:val="36"/>
          <w:highlight w:val="none"/>
          <w:lang w:val="en-US" w:eastAsia="zh-CN"/>
        </w:rPr>
        <w:t>优先位置，全面梳理“三保”项目需求，编制“三保”支出清单，确保“三保”优先保障，2024年上半年“三保”支出执行17159万元。三是加强库款监测。及时掌握库款收入、支付、清算等事项，强化库款科学合理调度，加强财政收支预期管理，合理调度库款，切实防范基层财政运行风险。</w:t>
      </w:r>
    </w:p>
    <w:p w14:paraId="47F6DB21">
      <w:pPr>
        <w:keepNext w:val="0"/>
        <w:keepLines w:val="0"/>
        <w:pageBreakBefore w:val="0"/>
        <w:widowControl w:val="0"/>
        <w:kinsoku/>
        <w:wordWrap/>
        <w:overflowPunct/>
        <w:topLinePunct w:val="0"/>
        <w:autoSpaceDE/>
        <w:autoSpaceDN/>
        <w:bidi w:val="0"/>
        <w:adjustRightInd/>
        <w:snapToGrid/>
        <w:spacing w:line="560" w:lineRule="exact"/>
        <w:ind w:left="0" w:firstLine="723" w:firstLineChars="200"/>
        <w:textAlignment w:val="auto"/>
        <w:rPr>
          <w:rFonts w:ascii="仿宋_GB2312" w:eastAsia="仿宋_GB2312" w:cs="宋体"/>
          <w:color w:val="auto"/>
          <w:kern w:val="0"/>
          <w:sz w:val="36"/>
          <w:szCs w:val="36"/>
          <w:highlight w:val="cyan"/>
        </w:rPr>
      </w:pPr>
      <w:r>
        <w:rPr>
          <w:rFonts w:hint="eastAsia" w:ascii="仿宋_GB2312" w:hAnsi="仿宋_GB2312" w:eastAsia="仿宋_GB2312" w:cs="仿宋_GB2312"/>
          <w:b/>
          <w:bCs/>
          <w:sz w:val="36"/>
          <w:szCs w:val="36"/>
          <w:highlight w:val="none"/>
          <w:lang w:val="en-US" w:eastAsia="zh-CN"/>
        </w:rPr>
        <w:t>5.深化财政体制改革，提高财政治理水平。</w:t>
      </w:r>
      <w:r>
        <w:rPr>
          <w:rFonts w:hint="eastAsia" w:ascii="仿宋_GB2312" w:hAnsi="仿宋_GB2312" w:eastAsia="仿宋_GB2312" w:cs="仿宋_GB2312"/>
          <w:b w:val="0"/>
          <w:bCs w:val="0"/>
          <w:sz w:val="36"/>
          <w:szCs w:val="36"/>
          <w:highlight w:val="none"/>
          <w:lang w:val="en-US" w:eastAsia="zh-CN"/>
        </w:rPr>
        <w:t>一是深化财政管理机制革新。持续推进预算一体化建设，依托预算管理一体化系统平台等信息化手段，建立全流程、全链条预警监测体系，确保基层财政平稳运行。二是完善资金审批制度。结合我区实际情况，重新修订了《八公山区本级财政资金审批规定（试行）》，进一步规范了我区财政性资金审批管理程序，保障财政资金的安全性和有效性。三是稳步推进国企改革。建立健全国企考核体系，制定出台《八公山区属国有企业领导班子薪酬改革方案(试行)》和《八公山区属国有企业领导班子绩效考核办法》，压实经营者国有资产保值增值责任。优化人才选用机制，建立健全以市场为导向全方位选聘引进人才制度，上半年区属国有企业通过市场化招聘人员12名，企业员工整体素质得到提升。深入挖掘国企重点领域的突出问题，开展国有企业经营状况摸底排查、监管整治专项行动等专项行动，推动区属国有企业实现更高质量发展。</w:t>
      </w:r>
    </w:p>
    <w:p w14:paraId="5C184E0F">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rFonts w:hint="eastAsia"/>
          <w:color w:val="auto"/>
          <w:sz w:val="36"/>
          <w:szCs w:val="36"/>
          <w:highlight w:val="none"/>
        </w:rPr>
      </w:pPr>
      <w:r>
        <w:rPr>
          <w:rFonts w:hint="eastAsia"/>
          <w:color w:val="auto"/>
          <w:sz w:val="36"/>
          <w:szCs w:val="36"/>
          <w:highlight w:val="none"/>
        </w:rPr>
        <w:t>（四）下半年财政工作重点</w:t>
      </w:r>
    </w:p>
    <w:p w14:paraId="7AEF142E">
      <w:pPr>
        <w:keepNext w:val="0"/>
        <w:keepLines w:val="0"/>
        <w:pageBreakBefore w:val="0"/>
        <w:widowControl w:val="0"/>
        <w:kinsoku/>
        <w:wordWrap/>
        <w:overflowPunct/>
        <w:topLinePunct w:val="0"/>
        <w:autoSpaceDE/>
        <w:autoSpaceDN/>
        <w:bidi w:val="0"/>
        <w:spacing w:line="560" w:lineRule="exact"/>
        <w:ind w:left="0" w:firstLine="720" w:firstLineChars="200"/>
        <w:textAlignment w:val="auto"/>
        <w:rPr>
          <w:rFonts w:hint="eastAsia" w:ascii="仿宋_GB2312" w:eastAsia="仿宋_GB2312"/>
          <w:color w:val="auto"/>
          <w:sz w:val="36"/>
          <w:szCs w:val="36"/>
          <w:highlight w:val="none"/>
        </w:rPr>
      </w:pPr>
      <w:r>
        <w:rPr>
          <w:rFonts w:hint="eastAsia" w:ascii="仿宋_GB2312" w:eastAsia="仿宋_GB2312"/>
          <w:color w:val="auto"/>
          <w:sz w:val="36"/>
          <w:szCs w:val="36"/>
          <w:highlight w:val="none"/>
          <w:lang w:val="en-US" w:eastAsia="zh-CN"/>
        </w:rPr>
        <w:t>2024年，我区财政改革发展任务繁重，受房地产市场低迷，土地出让收入下降、</w:t>
      </w:r>
      <w:r>
        <w:rPr>
          <w:rFonts w:hint="eastAsia" w:ascii="Times New Roman" w:hAnsi="Times New Roman" w:eastAsia="仿宋_GB2312" w:cs="Times New Roman"/>
          <w:color w:val="auto"/>
          <w:sz w:val="36"/>
          <w:szCs w:val="36"/>
          <w:highlight w:val="none"/>
          <w:lang w:val="en-US" w:eastAsia="zh-CN"/>
        </w:rPr>
        <w:t>法院、检察院财物上</w:t>
      </w:r>
      <w:r>
        <w:rPr>
          <w:rFonts w:hint="eastAsia" w:ascii="Times New Roman" w:hAnsi="Times New Roman" w:eastAsia="仿宋_GB2312" w:cs="Times New Roman"/>
          <w:color w:val="000000"/>
          <w:sz w:val="36"/>
          <w:szCs w:val="36"/>
          <w:highlight w:val="none"/>
          <w:lang w:val="en-US" w:eastAsia="zh-CN"/>
        </w:rPr>
        <w:t>划、</w:t>
      </w:r>
      <w:r>
        <w:rPr>
          <w:rFonts w:hint="eastAsia" w:ascii="仿宋_GB2312" w:eastAsia="仿宋_GB2312"/>
          <w:color w:val="auto"/>
          <w:sz w:val="36"/>
          <w:szCs w:val="36"/>
          <w:highlight w:val="none"/>
          <w:lang w:val="en-US" w:eastAsia="zh-CN"/>
        </w:rPr>
        <w:t>上年税收收入征缴错库抬高基数等多重因素影响，地方一般公共预算收入完成年初预算任务难度较大。此外，财政收支矛盾持续加剧，在弥补一般公共预算财力缺口、债务化解、政府债券付息等基础上，维持财政收支平衡任务异常艰巨。下半年，我们将以习近平新时代中国特色社会主义思想为指导，全面贯彻落实党的二十大、二十届三中全会精神，紧紧围绕区委区政府决策部署，落实积极财政政策，采取各项过“紧日子”措施，积极增收节支，兜牢“三保”底线，努力完成年度各项任务。</w:t>
      </w:r>
    </w:p>
    <w:p w14:paraId="21B88B77">
      <w:pPr>
        <w:pStyle w:val="3"/>
        <w:keepNext w:val="0"/>
        <w:keepLines w:val="0"/>
        <w:pageBreakBefore w:val="0"/>
        <w:widowControl w:val="0"/>
        <w:numPr>
          <w:ilvl w:val="0"/>
          <w:numId w:val="0"/>
        </w:numPr>
        <w:kinsoku/>
        <w:wordWrap/>
        <w:overflowPunct/>
        <w:topLinePunct w:val="0"/>
        <w:autoSpaceDE/>
        <w:autoSpaceDN/>
        <w:bidi w:val="0"/>
        <w:spacing w:line="560" w:lineRule="exact"/>
        <w:ind w:left="0" w:firstLine="723" w:firstLineChars="200"/>
        <w:textAlignment w:val="auto"/>
        <w:rPr>
          <w:rFonts w:hint="eastAsia" w:ascii="仿宋_GB2312" w:eastAsia="仿宋_GB2312"/>
          <w:color w:val="auto"/>
          <w:sz w:val="36"/>
          <w:szCs w:val="36"/>
          <w:highlight w:val="none"/>
        </w:rPr>
      </w:pPr>
      <w:r>
        <w:rPr>
          <w:rFonts w:hint="eastAsia" w:ascii="仿宋_GB2312" w:eastAsia="仿宋_GB2312"/>
          <w:b/>
          <w:bCs/>
          <w:color w:val="auto"/>
          <w:sz w:val="36"/>
          <w:szCs w:val="36"/>
          <w:highlight w:val="none"/>
          <w:lang w:val="en-US" w:eastAsia="zh-CN"/>
        </w:rPr>
        <w:t>1.</w:t>
      </w:r>
      <w:r>
        <w:rPr>
          <w:rFonts w:hint="eastAsia" w:ascii="仿宋_GB2312" w:eastAsia="仿宋_GB2312"/>
          <w:b/>
          <w:bCs/>
          <w:color w:val="auto"/>
          <w:sz w:val="36"/>
          <w:szCs w:val="36"/>
          <w:highlight w:val="none"/>
        </w:rPr>
        <w:t>统筹谋划财政平稳运行</w:t>
      </w:r>
      <w:r>
        <w:rPr>
          <w:rFonts w:hint="eastAsia" w:ascii="仿宋_GB2312" w:eastAsia="仿宋_GB2312"/>
          <w:b/>
          <w:bCs/>
          <w:color w:val="auto"/>
          <w:sz w:val="36"/>
          <w:szCs w:val="36"/>
          <w:highlight w:val="none"/>
          <w:lang w:eastAsia="zh-CN"/>
        </w:rPr>
        <w:t>。</w:t>
      </w:r>
      <w:r>
        <w:rPr>
          <w:rFonts w:hint="eastAsia" w:ascii="仿宋_GB2312" w:eastAsia="仿宋_GB2312"/>
          <w:color w:val="auto"/>
          <w:sz w:val="36"/>
          <w:szCs w:val="36"/>
          <w:highlight w:val="none"/>
        </w:rPr>
        <w:t>紧盯收入目标，强化非税收入管理，全面抓实收入工作。关注重点税种、重点行业、重点企业，加强企业走访调研，及时了解企业最新发展动态。强化预算闲置资金和结转结余及存量资金统筹，强化预算执行动态监控，提高财政资金使用效益。用好地方政府专项债券，配合各单位加强项目储备，合理把握发行节奏，提高债券资金使用绩效。加强与上级对接，积极争取更多资金及政策支持</w:t>
      </w:r>
      <w:r>
        <w:rPr>
          <w:rFonts w:hint="eastAsia" w:ascii="仿宋_GB2312" w:eastAsia="仿宋_GB2312"/>
          <w:color w:val="auto"/>
          <w:sz w:val="36"/>
          <w:szCs w:val="36"/>
          <w:highlight w:val="none"/>
          <w:lang w:eastAsia="zh-CN"/>
        </w:rPr>
        <w:t>，</w:t>
      </w:r>
      <w:r>
        <w:rPr>
          <w:rFonts w:hint="eastAsia" w:ascii="仿宋_GB2312" w:eastAsia="仿宋_GB2312"/>
          <w:color w:val="auto"/>
          <w:sz w:val="36"/>
          <w:szCs w:val="36"/>
          <w:highlight w:val="none"/>
        </w:rPr>
        <w:t>弥补我区日渐增大的财力缺口</w:t>
      </w:r>
      <w:r>
        <w:rPr>
          <w:rFonts w:hint="eastAsia" w:ascii="仿宋_GB2312" w:eastAsia="仿宋_GB2312"/>
          <w:color w:val="auto"/>
          <w:sz w:val="36"/>
          <w:szCs w:val="36"/>
          <w:highlight w:val="none"/>
          <w:lang w:eastAsia="zh-CN"/>
        </w:rPr>
        <w:t>。</w:t>
      </w:r>
      <w:r>
        <w:rPr>
          <w:rFonts w:hint="eastAsia" w:ascii="仿宋_GB2312" w:eastAsia="仿宋_GB2312"/>
          <w:color w:val="auto"/>
          <w:sz w:val="36"/>
          <w:szCs w:val="36"/>
          <w:highlight w:val="none"/>
        </w:rPr>
        <w:t>加强财政资源统筹，强化调入资金管理，提高预算支出序时进度。</w:t>
      </w:r>
    </w:p>
    <w:p w14:paraId="43DC23EE">
      <w:pPr>
        <w:pStyle w:val="3"/>
        <w:keepNext w:val="0"/>
        <w:keepLines w:val="0"/>
        <w:pageBreakBefore w:val="0"/>
        <w:widowControl w:val="0"/>
        <w:kinsoku/>
        <w:wordWrap/>
        <w:overflowPunct/>
        <w:topLinePunct w:val="0"/>
        <w:autoSpaceDE/>
        <w:autoSpaceDN/>
        <w:bidi w:val="0"/>
        <w:spacing w:line="560" w:lineRule="exact"/>
        <w:ind w:left="0" w:firstLine="723" w:firstLineChars="200"/>
        <w:textAlignment w:val="auto"/>
        <w:rPr>
          <w:rFonts w:hint="eastAsia" w:ascii="仿宋_GB2312" w:eastAsia="仿宋_GB2312"/>
          <w:color w:val="auto"/>
          <w:sz w:val="36"/>
          <w:szCs w:val="36"/>
          <w:highlight w:val="none"/>
        </w:rPr>
      </w:pPr>
      <w:r>
        <w:rPr>
          <w:rFonts w:hint="eastAsia" w:ascii="仿宋_GB2312" w:eastAsia="仿宋_GB2312"/>
          <w:b/>
          <w:bCs/>
          <w:color w:val="auto"/>
          <w:sz w:val="36"/>
          <w:szCs w:val="36"/>
          <w:highlight w:val="none"/>
          <w:lang w:val="en-US" w:eastAsia="zh-CN"/>
        </w:rPr>
        <w:t>2.</w:t>
      </w:r>
      <w:r>
        <w:rPr>
          <w:rFonts w:hint="eastAsia" w:ascii="仿宋_GB2312" w:eastAsia="仿宋_GB2312"/>
          <w:b/>
          <w:bCs/>
          <w:color w:val="auto"/>
          <w:sz w:val="36"/>
          <w:szCs w:val="36"/>
          <w:highlight w:val="none"/>
        </w:rPr>
        <w:t>做好重点领域财力保障</w:t>
      </w:r>
      <w:r>
        <w:rPr>
          <w:rFonts w:hint="eastAsia" w:ascii="仿宋_GB2312" w:eastAsia="仿宋_GB2312"/>
          <w:b/>
          <w:bCs/>
          <w:color w:val="auto"/>
          <w:sz w:val="36"/>
          <w:szCs w:val="36"/>
          <w:highlight w:val="none"/>
          <w:lang w:eastAsia="zh-CN"/>
        </w:rPr>
        <w:t>。</w:t>
      </w:r>
      <w:r>
        <w:rPr>
          <w:rFonts w:hint="eastAsia" w:ascii="Times New Roman" w:hAnsi="Times New Roman" w:eastAsia="仿宋_GB2312" w:cs="Times New Roman"/>
          <w:sz w:val="36"/>
          <w:szCs w:val="36"/>
          <w:highlight w:val="none"/>
          <w:lang w:val="en-US" w:eastAsia="zh-CN"/>
        </w:rPr>
        <w:t>让思想从“紧日子”</w:t>
      </w:r>
      <w:r>
        <w:rPr>
          <w:rFonts w:hint="eastAsia" w:ascii="Times New Roman" w:hAnsi="Times New Roman" w:eastAsia="仿宋_GB2312" w:cs="仿宋_GB2312"/>
          <w:sz w:val="36"/>
          <w:szCs w:val="36"/>
          <w:highlight w:val="none"/>
          <w:lang w:val="en-US" w:eastAsia="zh-CN"/>
        </w:rPr>
        <w:t>向“苦日子”转变，大力压减非急需、非刚性支出，坚持“大钱大方，小钱小气”，把宝贵的财政资金用在发展紧要处、民生急需上，</w:t>
      </w:r>
      <w:r>
        <w:rPr>
          <w:rFonts w:hint="eastAsia" w:ascii="Times New Roman" w:hAnsi="Times New Roman" w:eastAsia="仿宋_GB2312" w:cs="仿宋_GB2312"/>
          <w:sz w:val="36"/>
          <w:szCs w:val="36"/>
          <w:highlight w:val="none"/>
        </w:rPr>
        <w:t>扎实兜牢底线</w:t>
      </w:r>
      <w:r>
        <w:rPr>
          <w:rFonts w:hint="eastAsia" w:ascii="Times New Roman" w:hAnsi="Times New Roman" w:eastAsia="仿宋_GB2312" w:cs="仿宋_GB2312"/>
          <w:sz w:val="36"/>
          <w:szCs w:val="36"/>
          <w:highlight w:val="none"/>
          <w:lang w:eastAsia="zh-CN"/>
        </w:rPr>
        <w:t>。</w:t>
      </w:r>
      <w:r>
        <w:rPr>
          <w:rFonts w:hint="eastAsia" w:ascii="Times New Roman" w:hAnsi="Times New Roman" w:eastAsia="仿宋_GB2312" w:cs="仿宋_GB2312"/>
          <w:sz w:val="36"/>
          <w:szCs w:val="36"/>
          <w:highlight w:val="none"/>
        </w:rPr>
        <w:t>牢牢把握“三保”优先的原则，千方百计</w:t>
      </w:r>
      <w:r>
        <w:rPr>
          <w:rFonts w:hint="eastAsia" w:ascii="Times New Roman" w:hAnsi="Times New Roman" w:eastAsia="仿宋_GB2312" w:cs="仿宋_GB2312"/>
          <w:sz w:val="36"/>
          <w:szCs w:val="36"/>
          <w:highlight w:val="none"/>
          <w:lang w:eastAsia="zh-CN"/>
        </w:rPr>
        <w:t>确</w:t>
      </w:r>
      <w:bookmarkStart w:id="11" w:name="_GoBack"/>
      <w:bookmarkEnd w:id="11"/>
      <w:r>
        <w:rPr>
          <w:rFonts w:hint="eastAsia" w:ascii="Times New Roman" w:hAnsi="Times New Roman" w:eastAsia="仿宋_GB2312" w:cs="仿宋_GB2312"/>
          <w:sz w:val="36"/>
          <w:szCs w:val="36"/>
          <w:highlight w:val="none"/>
          <w:lang w:eastAsia="zh-CN"/>
        </w:rPr>
        <w:t>保</w:t>
      </w:r>
      <w:r>
        <w:rPr>
          <w:rFonts w:hint="eastAsia" w:ascii="Times New Roman" w:hAnsi="Times New Roman" w:eastAsia="仿宋_GB2312" w:cs="仿宋_GB2312"/>
          <w:sz w:val="36"/>
          <w:szCs w:val="36"/>
          <w:highlight w:val="none"/>
        </w:rPr>
        <w:t>“三保”</w:t>
      </w:r>
      <w:r>
        <w:rPr>
          <w:rFonts w:hint="eastAsia" w:ascii="Times New Roman" w:hAnsi="Times New Roman" w:eastAsia="仿宋_GB2312" w:cs="仿宋_GB2312"/>
          <w:sz w:val="36"/>
          <w:szCs w:val="36"/>
          <w:highlight w:val="none"/>
          <w:lang w:eastAsia="zh-CN"/>
        </w:rPr>
        <w:t>正常运转</w:t>
      </w:r>
      <w:r>
        <w:rPr>
          <w:rFonts w:hint="eastAsia" w:ascii="Times New Roman" w:hAnsi="Times New Roman" w:eastAsia="仿宋_GB2312" w:cs="仿宋_GB2312"/>
          <w:sz w:val="36"/>
          <w:szCs w:val="36"/>
          <w:highlight w:val="none"/>
        </w:rPr>
        <w:t>。</w:t>
      </w:r>
      <w:r>
        <w:rPr>
          <w:rFonts w:hint="eastAsia" w:ascii="Times New Roman" w:hAnsi="Times New Roman" w:eastAsia="仿宋_GB2312" w:cs="仿宋_GB2312"/>
          <w:sz w:val="36"/>
          <w:szCs w:val="36"/>
          <w:highlight w:val="none"/>
          <w:lang w:val="en-US" w:eastAsia="zh-CN"/>
        </w:rPr>
        <w:t>一般性支出已压缩到底，</w:t>
      </w:r>
      <w:r>
        <w:rPr>
          <w:rFonts w:hint="eastAsia" w:ascii="仿宋_GB2312" w:eastAsia="仿宋_GB2312"/>
          <w:color w:val="auto"/>
          <w:sz w:val="36"/>
          <w:szCs w:val="36"/>
          <w:highlight w:val="none"/>
        </w:rPr>
        <w:t>严控三公经费管理。坚持做好普惠性、基础性、兜底性民生建设。加强基本民生保障，支持解决好教育、养老、医疗、托育、优抚等资金保障。尽力而为、量力而行，加大困难群体托底保障力度。多渠道支持全面实施乡村振兴战略，做好巩固拓展脱贫攻坚成果同乡村振兴有效衔接。</w:t>
      </w:r>
    </w:p>
    <w:p w14:paraId="47F3FBE5">
      <w:pPr>
        <w:keepNext w:val="0"/>
        <w:keepLines w:val="0"/>
        <w:pageBreakBefore w:val="0"/>
        <w:widowControl w:val="0"/>
        <w:kinsoku/>
        <w:wordWrap/>
        <w:overflowPunct/>
        <w:topLinePunct w:val="0"/>
        <w:autoSpaceDE/>
        <w:autoSpaceDN/>
        <w:bidi w:val="0"/>
        <w:adjustRightInd/>
        <w:snapToGrid/>
        <w:spacing w:line="560" w:lineRule="exact"/>
        <w:ind w:left="0" w:firstLine="723" w:firstLineChars="200"/>
        <w:textAlignment w:val="auto"/>
        <w:rPr>
          <w:rFonts w:hint="eastAsia"/>
          <w:sz w:val="36"/>
          <w:szCs w:val="36"/>
        </w:rPr>
      </w:pPr>
      <w:r>
        <w:rPr>
          <w:rFonts w:hint="eastAsia" w:ascii="仿宋_GB2312" w:eastAsia="仿宋_GB2312"/>
          <w:b/>
          <w:bCs/>
          <w:color w:val="auto"/>
          <w:sz w:val="36"/>
          <w:szCs w:val="36"/>
          <w:highlight w:val="none"/>
          <w:lang w:val="en-US" w:eastAsia="zh-CN"/>
        </w:rPr>
        <w:t>3.推进零基预算改革深化。</w:t>
      </w:r>
      <w:r>
        <w:rPr>
          <w:rFonts w:hint="eastAsia" w:ascii="仿宋_GB2312" w:eastAsia="仿宋_GB2312"/>
          <w:b w:val="0"/>
          <w:bCs w:val="0"/>
          <w:color w:val="auto"/>
          <w:sz w:val="36"/>
          <w:szCs w:val="36"/>
          <w:highlight w:val="none"/>
          <w:lang w:val="en-US" w:eastAsia="zh-CN"/>
        </w:rPr>
        <w:t>从紧从实编制2025年预算，结合政府支出责任、财力情况、实际需求等，在预算安排上按照轻重缓急进行排序，通过资金安排方式倒逼部门预算编制方式转变，推动部门加强项目谋划和储备。一方面打破支出固化格局，构建“先有项目后有预算”的预算安排机制，</w:t>
      </w:r>
      <w:r>
        <w:rPr>
          <w:rFonts w:hint="eastAsia" w:ascii="仿宋_GB2312" w:eastAsia="仿宋_GB2312" w:cs="宋体"/>
          <w:b w:val="0"/>
          <w:bCs w:val="0"/>
          <w:color w:val="auto"/>
          <w:kern w:val="0"/>
          <w:sz w:val="36"/>
          <w:szCs w:val="36"/>
          <w:highlight w:val="none"/>
          <w:lang w:val="en-US" w:eastAsia="zh-CN"/>
        </w:rPr>
        <w:t>以落实既定政策作为资金安排依据，编制“三保”支出需求清单，</w:t>
      </w:r>
      <w:r>
        <w:rPr>
          <w:rFonts w:hint="eastAsia" w:ascii="仿宋_GB2312" w:eastAsia="仿宋_GB2312"/>
          <w:b w:val="0"/>
          <w:bCs w:val="0"/>
          <w:color w:val="auto"/>
          <w:sz w:val="36"/>
          <w:szCs w:val="36"/>
          <w:highlight w:val="none"/>
          <w:lang w:val="en-US" w:eastAsia="zh-CN"/>
        </w:rPr>
        <w:t>提升保障重点的能力</w:t>
      </w:r>
      <w:r>
        <w:rPr>
          <w:rFonts w:hint="eastAsia" w:ascii="仿宋_GB2312" w:eastAsia="仿宋_GB2312" w:cs="宋体"/>
          <w:b w:val="0"/>
          <w:bCs w:val="0"/>
          <w:color w:val="auto"/>
          <w:kern w:val="0"/>
          <w:sz w:val="36"/>
          <w:szCs w:val="36"/>
          <w:highlight w:val="none"/>
          <w:lang w:val="en-US" w:eastAsia="zh-CN"/>
        </w:rPr>
        <w:t>。另一方面要加强预算资金绩效目标的编制和审核，以压减一般性支出，优化支出结构，集中财力转而用于保障重点支出，健全绩效评价结果与预算安排挂钩机制，着力提高财政资金和产出效益。</w:t>
      </w:r>
    </w:p>
    <w:p w14:paraId="7B41B89C">
      <w:pPr>
        <w:pStyle w:val="3"/>
        <w:keepNext w:val="0"/>
        <w:keepLines w:val="0"/>
        <w:pageBreakBefore w:val="0"/>
        <w:widowControl w:val="0"/>
        <w:kinsoku/>
        <w:wordWrap/>
        <w:overflowPunct/>
        <w:topLinePunct w:val="0"/>
        <w:autoSpaceDE/>
        <w:autoSpaceDN/>
        <w:bidi w:val="0"/>
        <w:adjustRightInd/>
        <w:snapToGrid/>
        <w:spacing w:line="560" w:lineRule="exact"/>
        <w:ind w:left="0" w:firstLine="723" w:firstLineChars="200"/>
        <w:textAlignment w:val="auto"/>
        <w:rPr>
          <w:rFonts w:hint="eastAsia" w:ascii="仿宋_GB2312" w:eastAsia="仿宋_GB2312"/>
          <w:color w:val="auto"/>
          <w:sz w:val="36"/>
          <w:szCs w:val="36"/>
          <w:highlight w:val="none"/>
        </w:rPr>
      </w:pPr>
      <w:r>
        <w:rPr>
          <w:rFonts w:hint="eastAsia" w:ascii="仿宋_GB2312" w:eastAsia="仿宋_GB2312"/>
          <w:b/>
          <w:bCs/>
          <w:color w:val="auto"/>
          <w:sz w:val="36"/>
          <w:szCs w:val="36"/>
          <w:highlight w:val="none"/>
          <w:lang w:val="en-US" w:eastAsia="zh-CN"/>
        </w:rPr>
        <w:t>4.推动财政管理提质增效。</w:t>
      </w:r>
      <w:r>
        <w:rPr>
          <w:rFonts w:hint="eastAsia" w:ascii="仿宋_GB2312" w:eastAsia="仿宋_GB2312"/>
          <w:color w:val="auto"/>
          <w:sz w:val="36"/>
          <w:szCs w:val="36"/>
          <w:highlight w:val="none"/>
        </w:rPr>
        <w:t>深入推进预算一体化建设，有效运用财政数据资源，夯实业务基础。</w:t>
      </w:r>
      <w:r>
        <w:rPr>
          <w:rFonts w:hint="eastAsia" w:ascii="仿宋_GB2312" w:eastAsia="仿宋_GB2312"/>
          <w:color w:val="auto"/>
          <w:sz w:val="36"/>
          <w:szCs w:val="36"/>
          <w:highlight w:val="none"/>
          <w:lang w:eastAsia="zh-CN"/>
        </w:rPr>
        <w:t>发挥财政政策的导向作用，深入实施镇（街道）财政管理体制改革，</w:t>
      </w:r>
      <w:r>
        <w:rPr>
          <w:rFonts w:hint="default" w:ascii="仿宋_GB2312" w:hAnsi="微软雅黑" w:eastAsia="仿宋_GB2312" w:cs="仿宋_GB2312"/>
          <w:color w:val="auto"/>
          <w:kern w:val="0"/>
          <w:sz w:val="36"/>
          <w:szCs w:val="36"/>
          <w:lang w:val="en-US" w:eastAsia="zh-CN" w:bidi="ar"/>
        </w:rPr>
        <w:t>充分调动镇（街道）</w:t>
      </w:r>
      <w:r>
        <w:rPr>
          <w:rFonts w:hint="eastAsia" w:ascii="仿宋_GB2312" w:hAnsi="微软雅黑" w:eastAsia="仿宋_GB2312" w:cs="仿宋_GB2312"/>
          <w:color w:val="auto"/>
          <w:kern w:val="0"/>
          <w:sz w:val="36"/>
          <w:szCs w:val="36"/>
          <w:lang w:val="en-US" w:eastAsia="zh-CN" w:bidi="ar"/>
        </w:rPr>
        <w:t>协税护税和</w:t>
      </w:r>
      <w:r>
        <w:rPr>
          <w:rFonts w:hint="default" w:ascii="仿宋_GB2312" w:hAnsi="微软雅黑" w:eastAsia="仿宋_GB2312" w:cs="仿宋_GB2312"/>
          <w:color w:val="auto"/>
          <w:kern w:val="0"/>
          <w:sz w:val="36"/>
          <w:szCs w:val="36"/>
          <w:lang w:val="en-US" w:eastAsia="zh-CN" w:bidi="ar"/>
        </w:rPr>
        <w:t>增收节支积极性，增强镇（街道）财政保障能力</w:t>
      </w:r>
      <w:r>
        <w:rPr>
          <w:rFonts w:hint="eastAsia" w:ascii="仿宋_GB2312" w:eastAsia="仿宋_GB2312"/>
          <w:color w:val="auto"/>
          <w:sz w:val="36"/>
          <w:szCs w:val="36"/>
          <w:highlight w:val="none"/>
        </w:rPr>
        <w:t>。进一步推动财会监督与其他各类监督贯通协调，建立健全信息沟通、线索移送、成果共享等工作机制。将“花钱必问效”理念贯穿财政管理全过程，提升财政资金使用效益。</w:t>
      </w:r>
      <w:r>
        <w:rPr>
          <w:rFonts w:hint="eastAsia" w:ascii="仿宋_GB2312" w:eastAsia="仿宋_GB2312"/>
          <w:color w:val="auto"/>
          <w:sz w:val="36"/>
          <w:szCs w:val="36"/>
          <w:highlight w:val="none"/>
          <w:lang w:eastAsia="zh-CN"/>
        </w:rPr>
        <w:t>制定</w:t>
      </w:r>
      <w:r>
        <w:rPr>
          <w:rFonts w:hint="eastAsia" w:ascii="仿宋_GB2312" w:eastAsia="仿宋_GB2312"/>
          <w:color w:val="auto"/>
          <w:sz w:val="36"/>
          <w:szCs w:val="36"/>
          <w:highlight w:val="none"/>
          <w:lang w:val="en-US" w:eastAsia="zh-CN"/>
        </w:rPr>
        <w:t>印发《</w:t>
      </w:r>
      <w:r>
        <w:rPr>
          <w:rFonts w:hint="eastAsia" w:ascii="仿宋_GB2312" w:eastAsia="仿宋_GB2312"/>
          <w:color w:val="auto"/>
          <w:sz w:val="36"/>
          <w:szCs w:val="36"/>
          <w:highlight w:val="none"/>
        </w:rPr>
        <w:t>八公山区国有企业改革深化提升行动实施方案</w:t>
      </w:r>
      <w:r>
        <w:rPr>
          <w:rFonts w:hint="eastAsia" w:ascii="仿宋_GB2312" w:eastAsia="仿宋_GB2312"/>
          <w:color w:val="auto"/>
          <w:sz w:val="36"/>
          <w:szCs w:val="36"/>
          <w:highlight w:val="none"/>
          <w:lang w:val="en-US" w:eastAsia="zh-CN"/>
        </w:rPr>
        <w:t>》，以提高国有企业核心竞争力和增强核心功能为重点，加快国有经济布局优化和结构调整，健全以管资本为主的国资监管体制</w:t>
      </w:r>
      <w:r>
        <w:rPr>
          <w:rFonts w:hint="eastAsia" w:ascii="仿宋_GB2312" w:eastAsia="仿宋_GB2312"/>
          <w:color w:val="auto"/>
          <w:sz w:val="36"/>
          <w:szCs w:val="36"/>
          <w:highlight w:val="none"/>
        </w:rPr>
        <w:t>，保障国资国企高质量发展。</w:t>
      </w:r>
    </w:p>
    <w:p w14:paraId="6E8F71A4">
      <w:pPr>
        <w:keepNext w:val="0"/>
        <w:keepLines w:val="0"/>
        <w:pageBreakBefore w:val="0"/>
        <w:widowControl w:val="0"/>
        <w:kinsoku/>
        <w:wordWrap/>
        <w:overflowPunct/>
        <w:topLinePunct w:val="0"/>
        <w:autoSpaceDE/>
        <w:autoSpaceDN/>
        <w:bidi w:val="0"/>
        <w:adjustRightInd w:val="0"/>
        <w:snapToGrid w:val="0"/>
        <w:spacing w:line="560" w:lineRule="exact"/>
        <w:ind w:left="0" w:firstLine="720" w:firstLineChars="200"/>
        <w:textAlignment w:val="auto"/>
        <w:rPr>
          <w:snapToGrid w:val="0"/>
          <w:kern w:val="0"/>
          <w:sz w:val="36"/>
          <w:szCs w:val="36"/>
        </w:rPr>
      </w:pPr>
      <w:r>
        <w:rPr>
          <w:rFonts w:ascii="仿宋_GB2312" w:eastAsia="仿宋_GB2312"/>
          <w:color w:val="auto"/>
          <w:sz w:val="36"/>
          <w:szCs w:val="36"/>
          <w:highlight w:val="none"/>
        </w:rPr>
        <w:t>主任、各位</w:t>
      </w:r>
      <w:r>
        <w:rPr>
          <w:rFonts w:hint="eastAsia" w:ascii="仿宋_GB2312" w:eastAsia="仿宋_GB2312"/>
          <w:color w:val="auto"/>
          <w:sz w:val="36"/>
          <w:szCs w:val="36"/>
          <w:highlight w:val="none"/>
          <w:lang w:eastAsia="zh-CN"/>
        </w:rPr>
        <w:t>副</w:t>
      </w:r>
      <w:r>
        <w:rPr>
          <w:rFonts w:ascii="仿宋_GB2312" w:eastAsia="仿宋_GB2312"/>
          <w:color w:val="auto"/>
          <w:sz w:val="36"/>
          <w:szCs w:val="36"/>
          <w:highlight w:val="none"/>
        </w:rPr>
        <w:t>主任、各位委员，</w:t>
      </w:r>
      <w:r>
        <w:rPr>
          <w:rFonts w:hint="eastAsia" w:ascii="仿宋_GB2312" w:eastAsia="仿宋_GB2312"/>
          <w:color w:val="auto"/>
          <w:sz w:val="36"/>
          <w:szCs w:val="36"/>
          <w:highlight w:val="none"/>
        </w:rPr>
        <w:t>下半年，我们将在区委、区政府的坚强领导下，</w:t>
      </w:r>
      <w:r>
        <w:rPr>
          <w:rFonts w:hint="eastAsia" w:ascii="仿宋_GB2312" w:eastAsia="仿宋_GB2312"/>
          <w:color w:val="auto"/>
          <w:sz w:val="36"/>
          <w:szCs w:val="36"/>
          <w:highlight w:val="none"/>
          <w:lang w:eastAsia="zh-CN"/>
        </w:rPr>
        <w:t>在区人大及其常委会的监督下，强化财政保障能力、优化资源配置效率、提升财政政策效能</w:t>
      </w:r>
      <w:r>
        <w:rPr>
          <w:rFonts w:hint="eastAsia" w:ascii="仿宋_GB2312" w:eastAsia="仿宋_GB2312"/>
          <w:color w:val="auto"/>
          <w:sz w:val="36"/>
          <w:szCs w:val="36"/>
          <w:highlight w:val="none"/>
        </w:rPr>
        <w:t>，知难而进、迎难而上，扎实做好财政各项工作，</w:t>
      </w:r>
      <w:r>
        <w:rPr>
          <w:rFonts w:hint="eastAsia" w:ascii="仿宋_GB2312" w:eastAsia="仿宋_GB2312"/>
          <w:color w:val="auto"/>
          <w:sz w:val="36"/>
          <w:szCs w:val="36"/>
          <w:highlight w:val="none"/>
          <w:lang w:val="en-US" w:eastAsia="zh-CN"/>
        </w:rPr>
        <w:t>为</w:t>
      </w:r>
      <w:r>
        <w:rPr>
          <w:rFonts w:hint="eastAsia" w:ascii="仿宋_GB2312" w:eastAsia="仿宋_GB2312"/>
          <w:color w:val="auto"/>
          <w:sz w:val="36"/>
          <w:szCs w:val="36"/>
          <w:highlight w:val="none"/>
          <w:lang w:eastAsia="zh-CN"/>
        </w:rPr>
        <w:t>加快建设现代化美好八公山</w:t>
      </w:r>
      <w:r>
        <w:rPr>
          <w:rFonts w:hint="eastAsia" w:ascii="仿宋_GB2312" w:eastAsia="仿宋_GB2312"/>
          <w:color w:val="auto"/>
          <w:sz w:val="36"/>
          <w:szCs w:val="36"/>
          <w:highlight w:val="none"/>
        </w:rPr>
        <w:t>作出</w:t>
      </w:r>
      <w:r>
        <w:rPr>
          <w:rFonts w:hint="eastAsia" w:ascii="仿宋_GB2312" w:eastAsia="仿宋_GB2312"/>
          <w:color w:val="auto"/>
          <w:sz w:val="36"/>
          <w:szCs w:val="36"/>
          <w:highlight w:val="none"/>
          <w:lang w:eastAsia="zh-CN"/>
        </w:rPr>
        <w:t>新的</w:t>
      </w:r>
      <w:r>
        <w:rPr>
          <w:rFonts w:hint="eastAsia" w:ascii="仿宋_GB2312" w:eastAsia="仿宋_GB2312"/>
          <w:color w:val="auto"/>
          <w:sz w:val="36"/>
          <w:szCs w:val="36"/>
          <w:highlight w:val="none"/>
        </w:rPr>
        <w:t>贡献！</w:t>
      </w:r>
    </w:p>
    <w:p w14:paraId="60DE63B4">
      <w:pPr>
        <w:pStyle w:val="2"/>
        <w:keepNext w:val="0"/>
        <w:keepLines w:val="0"/>
        <w:pageBreakBefore w:val="0"/>
        <w:widowControl w:val="0"/>
        <w:kinsoku/>
        <w:wordWrap/>
        <w:overflowPunct/>
        <w:topLinePunct w:val="0"/>
        <w:autoSpaceDE/>
        <w:autoSpaceDN/>
        <w:bidi w:val="0"/>
        <w:spacing w:line="530" w:lineRule="exact"/>
        <w:ind w:left="0" w:leftChars="0" w:firstLine="0" w:firstLineChars="0"/>
        <w:textAlignment w:val="auto"/>
      </w:pPr>
    </w:p>
    <w:sectPr>
      <w:footerReference r:id="rId3" w:type="default"/>
      <w:pgSz w:w="11905" w:h="16838" w:orient="landscape"/>
      <w:pgMar w:top="1440" w:right="1304" w:bottom="1304" w:left="1304" w:header="851" w:footer="992" w:gutter="0"/>
      <w:cols w:space="0" w:num="1"/>
      <w:docGrid w:type="lines" w:linePitch="41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B1A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FDE2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0FDE2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bookFoldPrinting w:val="1"/>
  <w:bookFoldPrintingSheets w:val="0"/>
  <w:drawingGridVerticalSpacing w:val="20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ZTQ0ZTBkYWY3YzAzODkwN2E2MGNlNzE4OGE1ZjUifQ=="/>
  </w:docVars>
  <w:rsids>
    <w:rsidRoot w:val="2F8F3C0F"/>
    <w:rsid w:val="03C107D0"/>
    <w:rsid w:val="04F71ED5"/>
    <w:rsid w:val="05B01D99"/>
    <w:rsid w:val="061863AE"/>
    <w:rsid w:val="0C057362"/>
    <w:rsid w:val="0DD86620"/>
    <w:rsid w:val="0E7E5FC8"/>
    <w:rsid w:val="1512050B"/>
    <w:rsid w:val="17BE19D3"/>
    <w:rsid w:val="1C5012BE"/>
    <w:rsid w:val="1E7F010E"/>
    <w:rsid w:val="21B25253"/>
    <w:rsid w:val="21E32762"/>
    <w:rsid w:val="23812232"/>
    <w:rsid w:val="242C5169"/>
    <w:rsid w:val="2B984192"/>
    <w:rsid w:val="2CB74992"/>
    <w:rsid w:val="2F8F3C0F"/>
    <w:rsid w:val="337B0E24"/>
    <w:rsid w:val="33D96AB3"/>
    <w:rsid w:val="34B13B49"/>
    <w:rsid w:val="36B349A1"/>
    <w:rsid w:val="38196A86"/>
    <w:rsid w:val="39F31A7F"/>
    <w:rsid w:val="429B26CC"/>
    <w:rsid w:val="4BE96317"/>
    <w:rsid w:val="4C494D93"/>
    <w:rsid w:val="4EFC1B71"/>
    <w:rsid w:val="4F353A21"/>
    <w:rsid w:val="54544279"/>
    <w:rsid w:val="548A43CD"/>
    <w:rsid w:val="55F36710"/>
    <w:rsid w:val="56DD5F72"/>
    <w:rsid w:val="58150BC0"/>
    <w:rsid w:val="59441031"/>
    <w:rsid w:val="5B4762E1"/>
    <w:rsid w:val="5D664BCA"/>
    <w:rsid w:val="5DB237CB"/>
    <w:rsid w:val="6080356A"/>
    <w:rsid w:val="624547D8"/>
    <w:rsid w:val="64E221CB"/>
    <w:rsid w:val="653D6883"/>
    <w:rsid w:val="664C1DF6"/>
    <w:rsid w:val="66C8551C"/>
    <w:rsid w:val="67532252"/>
    <w:rsid w:val="69AA4EE0"/>
    <w:rsid w:val="6BE85984"/>
    <w:rsid w:val="6CC14A1B"/>
    <w:rsid w:val="6F2A2D4B"/>
    <w:rsid w:val="70A66401"/>
    <w:rsid w:val="77A0505E"/>
    <w:rsid w:val="783373B4"/>
    <w:rsid w:val="79077C59"/>
    <w:rsid w:val="7A0D1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楷体_GB2312" w:hAnsi="宋体" w:eastAsia="楷体_GB2312" w:cs="Times New Roman"/>
      <w:kern w:val="2"/>
      <w:sz w:val="30"/>
      <w:szCs w:val="30"/>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630"/>
    </w:pPr>
    <w:rPr>
      <w:rFonts w:ascii="Times New Roman" w:hAnsi="Times New Roman" w:eastAsia="仿宋_GB2312"/>
      <w:sz w:val="32"/>
      <w:szCs w:val="20"/>
    </w:rPr>
  </w:style>
  <w:style w:type="paragraph" w:styleId="3">
    <w:name w:val="Body Text"/>
    <w:basedOn w:val="1"/>
    <w:qFormat/>
    <w:uiPriority w:val="99"/>
  </w:style>
  <w:style w:type="paragraph" w:styleId="4">
    <w:name w:val="footer"/>
    <w:basedOn w:val="1"/>
    <w:unhideWhenUsed/>
    <w:qFormat/>
    <w:uiPriority w:val="0"/>
    <w:pPr>
      <w:tabs>
        <w:tab w:val="center" w:pos="4153"/>
        <w:tab w:val="right" w:pos="8306"/>
      </w:tabs>
      <w:spacing w:line="240" w:lineRule="atLeast"/>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eastAsia="宋体" w:cs="宋体"/>
      <w:kern w:val="0"/>
      <w:sz w:val="24"/>
      <w:szCs w:val="24"/>
    </w:rPr>
  </w:style>
  <w:style w:type="character" w:styleId="9">
    <w:name w:val="Strong"/>
    <w:basedOn w:val="8"/>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7668</Words>
  <Characters>8415</Characters>
  <Lines>0</Lines>
  <Paragraphs>0</Paragraphs>
  <TotalTime>1348</TotalTime>
  <ScaleCrop>false</ScaleCrop>
  <LinksUpToDate>false</LinksUpToDate>
  <CharactersWithSpaces>8421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2024-07-26T01:34:00Z</dcterms:created>
  <dc:creator>biu. biu. biu...</dc:creator>
  <cp:lastModifiedBy>程静</cp:lastModifiedBy>
  <cp:lastPrinted>2024-08-29T00:12:38Z</cp:lastPrinted>
  <dcterms:modified xsi:type="dcterms:W3CDTF">2024-08-29T06:52:16Z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B5601EF156634B9F8D3B1F0CF814EB10_13</vt:lpwstr>
  </property>
</Properties>
</file>