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42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“秸秆变肉”暨肉牛振兴计划</w:t>
      </w:r>
    </w:p>
    <w:p w14:paraId="3A523E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实施方案</w:t>
      </w:r>
    </w:p>
    <w:p w14:paraId="253531A7">
      <w:pPr>
        <w:widowControl w:val="0"/>
        <w:kinsoku/>
        <w:autoSpaceDE/>
        <w:autoSpaceDN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napToGrid/>
          <w:color w:val="333333"/>
          <w:kern w:val="0"/>
          <w:sz w:val="32"/>
          <w:szCs w:val="32"/>
          <w:lang w:eastAsia="zh-CN"/>
        </w:rPr>
        <w:t>（征求意见稿）</w:t>
      </w:r>
    </w:p>
    <w:p w14:paraId="302CD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为贯彻落实《安徽省人民政府办公厅关于实施“秸秆变肉”暨肉牛振兴计划的意见》（皖政办〔2023〕11号）和《淮南市人民政府办公室关于印发淮南市“秸秆变肉”暨肉牛振兴计划实施方案的通知》（淮府办秘〔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〕57号）要求，积极推进秸秆综合利用和农业绿色发展，促进我区乡村振兴和肉牛产业发展，结合我区实际，制定本实施方案。</w:t>
      </w:r>
    </w:p>
    <w:p w14:paraId="20002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一、总体要求</w:t>
      </w:r>
    </w:p>
    <w:p w14:paraId="3FED8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（一）发展思路。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以习近平新时代中国特色社会主义思想为指导，以推进乡村振兴和农业农村现代化为目标，以种养结合、农牧循环、绿色发展为导向，以政府推动、市场主导、联农带农为原则，加大政策支持，强化科技支撑，大力实施“秸秆变肉”暨肉牛振兴计划，不断提高秸秆饲料化利用水平，提升肉牛产业综合生产能力、供应保障能力和市场竞争力。优化区域布局，坚持全产业链发展，促进一二三产业深度融合。</w:t>
      </w:r>
    </w:p>
    <w:p w14:paraId="4A5D85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（二）发展目标。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2027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年，全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秸秆饲料化和肉牛产业良种化、规模化、标准化、产业化经营水平显著提升，秸秆饲料化利用量占利用总量达25%左右，肉牛饲养量达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0.31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万头，其中出栏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0.16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万头，肉牛规模养殖比重达到60%。到2030年，全</w:t>
      </w:r>
      <w:bookmarkStart w:id="0" w:name="OLE_LINK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秸秆饲料化利用量占利用总量达40%左右，全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肉牛饲养量力争达到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0.35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万头，肉牛规模养殖比重达到65%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入或培育超亿元以上的牛肉汤企业1家，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肉牛全产业链产值达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亿元。</w:t>
      </w:r>
    </w:p>
    <w:p w14:paraId="2CCAF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二、重点任务</w:t>
      </w:r>
    </w:p>
    <w:p w14:paraId="1FF2A0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（一）实施饲草饲料供给保障提升行动。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积极推进秸秆资源就地利用、就近利用、过腹增值。建立健全秸秆和饲草收储、加工、流通体系，促进水稻、小麦、玉米秸秆等饲料资源高效利用。支持肉牛、肉羊养殖主体秸秆饲料化利用。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落实农机购置与应用补贴政策，支持秸秆饲料收贮加工机械购置，提升秸秆收贮和加工机械化水平。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财政局及各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人民政府。排名第一的为牵头责任单位，以下责任单位均包括各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人民政府，不再单独列出）</w:t>
      </w:r>
    </w:p>
    <w:p w14:paraId="4E60A7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（二）实施良种繁育体系建设行动。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转变肉牛生产方式，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围绕增加基础母牛产能、推进品种改良、优化肉牛品种结构，提升我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肉牛品种市场竞争力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支持种公牛和基础母牛引进。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落实母牛补贴政策，依照省、市相关标准，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对现存栏母牛规模超过30头的，按照“见犊补母”的原则，每头母牛每产一犊补助200元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，最多补助不超过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财政局）</w:t>
      </w:r>
    </w:p>
    <w:p w14:paraId="7CE574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（三）实施规模养殖体系构建行动。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按照“小群体、大规模”“龙头带动、分户饲养”等发展路径，支持龙头企业、农民合作社组建产业化联合体，发挥新型经营主体引领带动作用。鼓励通过“公司（农民合作社）+农户（家庭农场）+市场”等方式，带动我区肉牛规模养殖发展，探索“母牛分户饲养、犊牛集中育肥”的产业发展模式。大力推广肉牛适度规模养殖典型模式，加大肉牛养殖标准化示范创建力度。到2027年，全区肉牛规模养殖场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家左右，创建市级及以上肉牛养殖标准化示范场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家以上。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财政局）</w:t>
      </w:r>
    </w:p>
    <w:p w14:paraId="0FA6FA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（四）实施肉牛屠宰加工能力提升行动。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加快推进“规模养殖、集中屠宰、冷链运输、冰鲜上市”发展模式，促进“运活畜”向“运鲜肉”转变。大力发展深精加工，延长产业链条，提升产业附加值，支持“淮南牛肉汤”、卤牛肉、红烧牛肉等预制菜生产开发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/>
          <w:dstrike w:val="0"/>
          <w:color w:val="auto"/>
          <w:sz w:val="32"/>
          <w:szCs w:val="32"/>
          <w:highlight w:val="none"/>
          <w:u w:val="none"/>
          <w:lang w:eastAsia="zh-CN"/>
        </w:rPr>
        <w:t>市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发展和改革委员会）</w:t>
      </w:r>
    </w:p>
    <w:p w14:paraId="230C6E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（五）实施品牌创建与市场拓展行动。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积极推进和创建肉牛品牌建设，继续做大做强“淮南牛肉汤”品牌建设。探索利用“互联网+”、直播带货和预算单位直采等营销模式，拓展牛肉销售渠道。促进肉牛产业与文化、旅游、科普、娱乐等产业融合，形成一二三产紧密融合的产业生态圈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市场监管局、区文旅局）</w:t>
      </w:r>
    </w:p>
    <w:p w14:paraId="7FFCFC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（六）实施畜禽粪污资源化利用提升行动。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进一步完善粪污收储运体系建设，落实养殖场（户）主体责任，强化指导服务，推动解决规模以下养殖户粪污处理难题，打通农牧循环“最后一公里”。积极引导肉牛粪便及时还田利用和沼气利用，全面提升肉牛绿色养殖水平。到2027年，全区畜禽粪污综合利用率稳定在95%以上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生态环境局）</w:t>
      </w:r>
    </w:p>
    <w:p w14:paraId="07809D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（七）实施肉牛疫病防控能力提升行动。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完善基层动物疫病防控体系建设，巩固基层动物防疫队伍，明确工作职责，保障动物防疫工作经费和专项业务经费。实施好口蹄疫强免制度，加强牛布鲁氏菌病、牛结核病和牛炭疽病等动物疫病监测预警、应急管理等能力，全力做好肉牛疫病防控。依托兽医行业相关企业、社会组织、防疫服务队等主体，进一步推进兽医社会化服务发展。到2027年确保口蹄疫群体免疫密度常年保持90%以上，免疫抗体合格率常年保持70%以上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财政局）</w:t>
      </w:r>
    </w:p>
    <w:p w14:paraId="6B2E5C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（八）实施肉牛产业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发展提升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大力支持镇、村积极做好秸秆收贮、肉牛养殖、疫病防控、散养户粪污集中收贮、资源化利用等工作，结合乡村振兴工作和文农旅融合发展，大力发展瓜果、蔬菜产业，谋划花卉苗木种植基地项目，提升农业附加值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生态环境局、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财政局）</w:t>
      </w:r>
    </w:p>
    <w:p w14:paraId="32D2BE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（九）实施肉牛产业数字赋能行动。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推广利用好智慧畜牧数据平台，实现肉牛产业向数字化、信息化、智能化方向转变。做到记录养殖、检疫、调运、屠宰、流通等各环节信息，提升肉牛产业信息化管理水平。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数据资源局、区财政局）</w:t>
      </w:r>
    </w:p>
    <w:p w14:paraId="59CA04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（十）实施肉牛产业招大引强行动。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用好钱湖砖厂闲置厂房资源，通过招商引资推动肉牛养殖项目落地。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利用好淮南牛肉汤产业支持政策，结合全区发展实际，加快牛肉汤全要素市场等项目建设，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开工建设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牛肉汤产业园。依托牛肉汤产业园，建立招商引资目标企业信息库和重点客商资源库，大力开展产业链招商，精准招引肉牛养殖、屠宰、加工、检测、饲料加工、兽药生产等下游加工企业、龙头企业、配套企业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绿色食品产业招商专班、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区发展和改革委员会商务投资促进局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052E8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三、保障措施</w:t>
      </w:r>
    </w:p>
    <w:p w14:paraId="4B03C7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（一）加强组织领导。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组建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“秸秆变肉”暨肉牛振兴计划工作专班，设在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，承担具体工作。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各镇人民政府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结合实际组建肉牛工作专班，推进重点工作落实。并将肉牛产业发展情况纳入乡村振兴战略考核。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“秸秆变肉”暨肉牛振兴计划工作专班）</w:t>
      </w:r>
    </w:p>
    <w:p w14:paraId="732E4F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（二）加强财政金融支持。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积极发挥财政资金引导作用，健全完善风险分担机制，支持肉牛生产经营主体发展。区政府利用政府一般债、专项债券资金和脱贫攻坚衔接资金支持肉牛产业发展；市、区财政将建立肉牛政策性保险机制，出台肉牛保险政策，设立肉牛特色农产品保险，保费不超过500元/头，各级财政补贴保费的80%（其中省级财政保费补贴比例为40%，市辖区市级财政保费补贴比例为24%、区级财政保费补贴比例为16%），养殖场（户）自缴保费的20%。构建金融支持肉牛产业协作机制，鼓励银行机构研究创新肉牛专属信贷产品，积极开展养殖圈舍、设施设备、肉牛活体抵押贷款等信贷业务，扩大信贷产品覆盖面，简化审批程序，降低贷款门槛，优化贷款模式，不断满足肉牛产业全产业链生产经营主体资金需求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财政局、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发展和改革委员会、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商务投资促进局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7E06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（三）加强用地服务保障。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按照国土空间规划，支持保障肉牛产业发展空间需求。坚持挖掘存量与用好增量并重，支持盘活农村存量建设用地，拓展集体建设用地使用途径，创新使用点状供地等方式，优先保障肉牛养殖、屠宰、加工、销售全链条产业融合发展用地。依法依规合理利用林地资源开展肉牛养殖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八公山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自然资源和规划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局、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A8005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（四）强化人才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队伍建设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实施基层农技推广人才培养计划，定向培养畜牧兽医专业人才，充实畜牧兽医基层专业人才队伍。积极开展“畜牧科技进万家”活动，支持科技特派员到肉牛企业开展服务，通过农民合作社带头人结对帮扶和邀请省、市专家讲座等形式，开展线上线下培训，不断提高肉牛养殖技术水平，全面带动我区肉牛产业绿色高质量发展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区农业农村水利局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区科经局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人力资源和社会保障局、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教育体育局）</w:t>
      </w:r>
    </w:p>
    <w:p w14:paraId="39FB2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优化营商环境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农业农村、发展改革、财政、自然资源、生态环境、金融监管、招商等部门要主动做好肉牛产业项目选址、立项、用地审批、用水、用电、环保、金融担保等指导服务，依法依规简化审批程序，提升服务质量，加快推进新建肉牛产业项目落地投产，帮扶指导落实污染防治责任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（责任单位：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“秸秆变肉”暨肉牛振兴计划工作专班、各相关单位按职责分工）</w:t>
      </w:r>
    </w:p>
    <w:p w14:paraId="08C8AE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C1C56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469A14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80" w:hanging="1280" w:hangingChars="4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八公山区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“秸秆变肉”暨肉牛振兴计划工作专班组成人员</w:t>
      </w:r>
    </w:p>
    <w:p w14:paraId="293368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78" w:leftChars="304" w:hanging="640" w:hanging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八公山区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“秸秆变肉”暨肉牛振兴计划重点任务清单</w:t>
      </w:r>
    </w:p>
    <w:p w14:paraId="54E41B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78" w:leftChars="456" w:hanging="320" w:hangingChars="100"/>
        <w:textAlignment w:val="baseline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八公山区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肉牛产业年度发展目标</w:t>
      </w:r>
    </w:p>
    <w:p w14:paraId="33D8FD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78" w:leftChars="456" w:hanging="320" w:hangingChars="100"/>
        <w:textAlignment w:val="baseline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highlight w:val="none"/>
          <w:u w:val="none"/>
        </w:rPr>
      </w:pPr>
    </w:p>
    <w:p w14:paraId="1A7BBB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78" w:leftChars="456" w:hanging="320" w:hangingChars="100"/>
        <w:textAlignment w:val="baseline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highlight w:val="none"/>
          <w:u w:val="none"/>
        </w:rPr>
      </w:pPr>
    </w:p>
    <w:p w14:paraId="684F31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80" w:lineRule="exact"/>
        <w:ind w:left="104"/>
        <w:textAlignment w:val="baseline"/>
        <w:rPr>
          <w:rFonts w:ascii="Arial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黑体" w:hAnsi="黑体" w:eastAsia="黑体" w:cs="黑体"/>
          <w:b w:val="0"/>
          <w:bCs w:val="0"/>
          <w:color w:val="auto"/>
          <w:spacing w:val="-16"/>
          <w:sz w:val="32"/>
          <w:szCs w:val="32"/>
          <w:highlight w:val="none"/>
          <w:u w:val="none"/>
        </w:rPr>
        <w:t>附</w:t>
      </w:r>
      <w:r>
        <w:rPr>
          <w:rFonts w:ascii="黑体" w:hAnsi="黑体" w:eastAsia="黑体" w:cs="黑体"/>
          <w:b w:val="0"/>
          <w:bCs w:val="0"/>
          <w:color w:val="auto"/>
          <w:spacing w:val="-71"/>
          <w:sz w:val="32"/>
          <w:szCs w:val="32"/>
          <w:highlight w:val="none"/>
          <w:u w:val="none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-16"/>
          <w:sz w:val="32"/>
          <w:szCs w:val="32"/>
          <w:highlight w:val="none"/>
          <w:u w:val="none"/>
        </w:rPr>
        <w:t>件</w:t>
      </w:r>
      <w:r>
        <w:rPr>
          <w:rFonts w:ascii="黑体" w:hAnsi="黑体" w:eastAsia="黑体" w:cs="黑体"/>
          <w:b w:val="0"/>
          <w:bCs w:val="0"/>
          <w:color w:val="auto"/>
          <w:spacing w:val="-53"/>
          <w:sz w:val="32"/>
          <w:szCs w:val="32"/>
          <w:highlight w:val="none"/>
          <w:u w:val="none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-16"/>
          <w:sz w:val="32"/>
          <w:szCs w:val="32"/>
          <w:highlight w:val="none"/>
          <w:u w:val="none"/>
        </w:rPr>
        <w:t>1</w:t>
      </w:r>
    </w:p>
    <w:p w14:paraId="06CC90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8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spacing w:val="-8"/>
          <w:sz w:val="44"/>
          <w:szCs w:val="44"/>
          <w:highlight w:val="none"/>
          <w:u w:val="none"/>
          <w:lang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highlight w:val="none"/>
          <w:u w:val="none"/>
        </w:rPr>
        <w:t>“秸秆变肉”暨肉牛振兴计划</w:t>
      </w:r>
    </w:p>
    <w:p w14:paraId="7A0A9F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8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highlight w:val="none"/>
          <w:u w:val="none"/>
        </w:rPr>
        <w:t>工作专班组成人员</w:t>
      </w:r>
    </w:p>
    <w:p w14:paraId="340E2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48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</w:p>
    <w:p w14:paraId="5C543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孔德强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区农业农村水利局党组书记、局长</w:t>
      </w:r>
    </w:p>
    <w:p w14:paraId="1683B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副组长：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李泽龙  区农业农村水利局副局长</w:t>
      </w:r>
    </w:p>
    <w:p w14:paraId="2CA33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成  员：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陈  虎  八公山自然资源和规划分局副局长</w:t>
      </w:r>
    </w:p>
    <w:p w14:paraId="04DFEA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left="3195" w:leftChars="912" w:hanging="1280" w:hangingChars="4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蔡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区发展和改革委员会（商务投资促进局）副主任</w:t>
      </w:r>
    </w:p>
    <w:p w14:paraId="2DC2E2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尤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佳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区教育体育局副局长</w:t>
      </w:r>
    </w:p>
    <w:p w14:paraId="237E16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玮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区科技经济信息化局副局长</w:t>
      </w:r>
    </w:p>
    <w:p w14:paraId="5FFAE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区财政局副局长</w:t>
      </w:r>
    </w:p>
    <w:p w14:paraId="4300C0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梅映雪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人力资源和社会保障局副局长</w:t>
      </w:r>
    </w:p>
    <w:p w14:paraId="0C525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翔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生态环境局副局长</w:t>
      </w:r>
    </w:p>
    <w:p w14:paraId="71DFA9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运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区市场监督管理局副局长</w:t>
      </w:r>
    </w:p>
    <w:p w14:paraId="48A399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李红云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区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数据资源管理局副局长</w:t>
      </w:r>
    </w:p>
    <w:p w14:paraId="0FBF62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6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5"/>
          <w:position w:val="15"/>
          <w:sz w:val="32"/>
          <w:szCs w:val="32"/>
          <w:highlight w:val="none"/>
          <w:u w:val="none"/>
        </w:rPr>
      </w:pPr>
    </w:p>
    <w:p w14:paraId="49270F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60" w:lineRule="exact"/>
        <w:ind w:firstLine="660" w:firstLineChars="200"/>
        <w:jc w:val="left"/>
        <w:textAlignment w:val="baseline"/>
        <w:rPr>
          <w:color w:val="auto"/>
          <w:highlight w:val="none"/>
          <w:u w:val="none"/>
        </w:rPr>
        <w:sectPr>
          <w:footerReference r:id="rId5" w:type="default"/>
          <w:pgSz w:w="12160" w:h="17020"/>
          <w:pgMar w:top="1446" w:right="1824" w:bottom="1391" w:left="1710" w:header="0" w:footer="1092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pacing w:val="5"/>
          <w:position w:val="15"/>
          <w:sz w:val="32"/>
          <w:szCs w:val="32"/>
          <w:highlight w:val="none"/>
          <w:u w:val="none"/>
        </w:rPr>
        <w:t>工作专班成员因工作调整或职务变动，由继任者履</w:t>
      </w:r>
      <w:r>
        <w:rPr>
          <w:rFonts w:hint="eastAsia" w:ascii="仿宋_GB2312" w:hAnsi="仿宋_GB2312" w:eastAsia="仿宋_GB2312" w:cs="仿宋_GB2312"/>
          <w:color w:val="auto"/>
          <w:spacing w:val="4"/>
          <w:position w:val="15"/>
          <w:sz w:val="32"/>
          <w:szCs w:val="32"/>
          <w:highlight w:val="none"/>
          <w:u w:val="none"/>
        </w:rPr>
        <w:t>行成员</w:t>
      </w:r>
      <w:r>
        <w:rPr>
          <w:rFonts w:hint="eastAsia" w:ascii="仿宋_GB2312" w:hAnsi="仿宋_GB2312" w:eastAsia="仿宋_GB2312" w:cs="仿宋_GB2312"/>
          <w:color w:val="auto"/>
          <w:spacing w:val="4"/>
          <w:position w:val="15"/>
          <w:sz w:val="32"/>
          <w:szCs w:val="32"/>
          <w:highlight w:val="none"/>
          <w:u w:val="none"/>
          <w:lang w:eastAsia="zh-CN"/>
        </w:rPr>
        <w:t>职责。</w:t>
      </w:r>
    </w:p>
    <w:p w14:paraId="14A445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textAlignment w:val="baseline"/>
        <w:rPr>
          <w:rFonts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黑体" w:hAnsi="黑体" w:eastAsia="黑体" w:cs="黑体"/>
          <w:b w:val="0"/>
          <w:bCs w:val="0"/>
          <w:color w:val="auto"/>
          <w:spacing w:val="-15"/>
          <w:sz w:val="32"/>
          <w:szCs w:val="32"/>
          <w:highlight w:val="none"/>
          <w:u w:val="none"/>
        </w:rPr>
        <w:t>附</w:t>
      </w:r>
      <w:r>
        <w:rPr>
          <w:rFonts w:ascii="黑体" w:hAnsi="黑体" w:eastAsia="黑体" w:cs="黑体"/>
          <w:b w:val="0"/>
          <w:bCs w:val="0"/>
          <w:color w:val="auto"/>
          <w:spacing w:val="-49"/>
          <w:sz w:val="32"/>
          <w:szCs w:val="32"/>
          <w:highlight w:val="none"/>
          <w:u w:val="none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-15"/>
          <w:sz w:val="32"/>
          <w:szCs w:val="32"/>
          <w:highlight w:val="none"/>
          <w:u w:val="none"/>
        </w:rPr>
        <w:t>件</w:t>
      </w:r>
      <w:r>
        <w:rPr>
          <w:rFonts w:ascii="黑体" w:hAnsi="黑体" w:eastAsia="黑体" w:cs="黑体"/>
          <w:b w:val="0"/>
          <w:bCs w:val="0"/>
          <w:color w:val="auto"/>
          <w:spacing w:val="-49"/>
          <w:sz w:val="32"/>
          <w:szCs w:val="32"/>
          <w:highlight w:val="none"/>
          <w:u w:val="none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-15"/>
          <w:sz w:val="32"/>
          <w:szCs w:val="32"/>
          <w:highlight w:val="none"/>
          <w:u w:val="none"/>
        </w:rPr>
        <w:t>2</w:t>
      </w:r>
    </w:p>
    <w:p w14:paraId="1BECC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color w:val="auto"/>
          <w:sz w:val="21"/>
          <w:highlight w:val="none"/>
          <w:u w:val="none"/>
        </w:rPr>
      </w:pPr>
    </w:p>
    <w:p w14:paraId="32F9E3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“秸秆变肉”暨肉牛振兴计划</w:t>
      </w:r>
    </w:p>
    <w:p w14:paraId="2846DC44">
      <w:pPr>
        <w:spacing w:line="263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重点任务清单</w:t>
      </w:r>
    </w:p>
    <w:p w14:paraId="67703738">
      <w:pPr>
        <w:spacing w:before="35"/>
        <w:rPr>
          <w:color w:val="auto"/>
          <w:highlight w:val="none"/>
          <w:u w:val="none"/>
        </w:rPr>
      </w:pPr>
    </w:p>
    <w:p w14:paraId="444B7C9E">
      <w:pPr>
        <w:spacing w:before="34"/>
        <w:rPr>
          <w:color w:val="auto"/>
          <w:highlight w:val="none"/>
          <w:u w:val="none"/>
        </w:rPr>
      </w:pPr>
    </w:p>
    <w:tbl>
      <w:tblPr>
        <w:tblStyle w:val="7"/>
        <w:tblW w:w="104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859"/>
        <w:gridCol w:w="5"/>
        <w:gridCol w:w="5"/>
        <w:gridCol w:w="5"/>
        <w:gridCol w:w="6279"/>
        <w:gridCol w:w="5"/>
        <w:gridCol w:w="3280"/>
      </w:tblGrid>
      <w:tr w14:paraId="30C3B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79" w:type="dxa"/>
            <w:gridSpan w:val="4"/>
            <w:noWrap w:val="0"/>
            <w:vAlign w:val="top"/>
          </w:tcPr>
          <w:p w14:paraId="4604047D">
            <w:pPr>
              <w:spacing w:before="134" w:line="221" w:lineRule="auto"/>
              <w:ind w:left="148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8"/>
                <w:szCs w:val="28"/>
                <w:highlight w:val="none"/>
                <w:u w:val="none"/>
              </w:rPr>
              <w:t>序号</w:t>
            </w:r>
          </w:p>
        </w:tc>
        <w:tc>
          <w:tcPr>
            <w:tcW w:w="6284" w:type="dxa"/>
            <w:gridSpan w:val="2"/>
            <w:noWrap w:val="0"/>
            <w:vAlign w:val="top"/>
          </w:tcPr>
          <w:p w14:paraId="6CE34FEF">
            <w:pPr>
              <w:spacing w:before="132" w:line="219" w:lineRule="auto"/>
              <w:ind w:left="2574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8"/>
                <w:szCs w:val="28"/>
                <w:highlight w:val="none"/>
                <w:u w:val="none"/>
              </w:rPr>
              <w:t>重点任务</w:t>
            </w:r>
          </w:p>
        </w:tc>
        <w:tc>
          <w:tcPr>
            <w:tcW w:w="3285" w:type="dxa"/>
            <w:gridSpan w:val="2"/>
            <w:noWrap w:val="0"/>
            <w:vAlign w:val="top"/>
          </w:tcPr>
          <w:p w14:paraId="3FB6B551">
            <w:pPr>
              <w:spacing w:before="132" w:line="219" w:lineRule="auto"/>
              <w:ind w:left="1071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8"/>
                <w:szCs w:val="28"/>
                <w:highlight w:val="none"/>
                <w:u w:val="none"/>
              </w:rPr>
              <w:t>责任单位</w:t>
            </w:r>
          </w:p>
        </w:tc>
      </w:tr>
      <w:tr w14:paraId="6DAC0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9" w:type="dxa"/>
            <w:gridSpan w:val="4"/>
            <w:noWrap w:val="0"/>
            <w:vAlign w:val="center"/>
          </w:tcPr>
          <w:p w14:paraId="6D444986">
            <w:pPr>
              <w:spacing w:before="91" w:line="184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1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68844149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推进秸秆资源就地利用、就近利用、过腹增值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00E4D0A2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</w:tc>
      </w:tr>
      <w:tr w14:paraId="0BB63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  <w:jc w:val="center"/>
        </w:trPr>
        <w:tc>
          <w:tcPr>
            <w:tcW w:w="879" w:type="dxa"/>
            <w:gridSpan w:val="4"/>
            <w:noWrap w:val="0"/>
            <w:vAlign w:val="center"/>
          </w:tcPr>
          <w:p w14:paraId="0A799545">
            <w:pPr>
              <w:spacing w:before="91" w:line="184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2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3ACCFD85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建立健全秸秆和饲草收储、加工、流通体系促进水稻、小麦、玉米秸秆等饲料资源高效利用。支持肉牛、肉羊养殖主体秸秆饲料化利用，对龙头企业、合作经济组织和家庭农场等新型经营主体建设永久性黄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青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贮窖、干草棚，单户收贮秸秆黄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青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贮发酵饲料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吨以上、秸秆干饲料50吨以上的，分档予以支持。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69E8C629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0D8A241D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（排名第一为牵头责任单</w:t>
            </w:r>
          </w:p>
          <w:p w14:paraId="4D6D79C3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位，下同）</w:t>
            </w:r>
          </w:p>
        </w:tc>
      </w:tr>
      <w:tr w14:paraId="103C1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879" w:type="dxa"/>
            <w:gridSpan w:val="4"/>
            <w:noWrap w:val="0"/>
            <w:vAlign w:val="center"/>
          </w:tcPr>
          <w:p w14:paraId="000B8FDC">
            <w:pPr>
              <w:spacing w:before="91" w:line="184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3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21B42978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落实农机购置与应用补贴政策，支持秸秆饲料收贮 加工机械购置，提升秸秆收贮和加工机械化水平。</w:t>
            </w:r>
          </w:p>
          <w:p w14:paraId="5D4A0ED5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将养殖场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购置畜禽养殖机械、畜禽养殖废弃  物及病死畜禽处理设备等农机装备按规定纳入补贴 范围，建立健全监管机制，实现应补尽补。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48F9183C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5F16C072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区财政局</w:t>
            </w:r>
          </w:p>
        </w:tc>
      </w:tr>
      <w:tr w14:paraId="57A8E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879" w:type="dxa"/>
            <w:gridSpan w:val="4"/>
            <w:noWrap w:val="0"/>
            <w:vAlign w:val="center"/>
          </w:tcPr>
          <w:p w14:paraId="502733C6">
            <w:pPr>
              <w:spacing w:before="91" w:line="184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1A1700C2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支持自繁自养的饲养模式，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依照省、市相关标准，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对现存栏母牛规模超过30头的，按照“见犊补母”的原则，每头母牛每产一犊补助200元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，最多不超过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69B5A03D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3320BD6C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区财政局</w:t>
            </w:r>
          </w:p>
        </w:tc>
      </w:tr>
      <w:tr w14:paraId="6425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879" w:type="dxa"/>
            <w:gridSpan w:val="4"/>
            <w:noWrap w:val="0"/>
            <w:vAlign w:val="center"/>
          </w:tcPr>
          <w:p w14:paraId="0A530C9F">
            <w:pPr>
              <w:spacing w:before="91" w:line="184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69CF3CBC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对实现养殖场建设规范化、粪污处理资源化，肉牛当年饲养量新增1000头以上，且增量位于全市前10的乡镇，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落实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市级财政给予每乡镇20万元资金奖励。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639EF6BF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147C814E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区财政局</w:t>
            </w:r>
          </w:p>
        </w:tc>
      </w:tr>
      <w:tr w14:paraId="3AC1B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764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 w14:paraId="3D05E727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26F8A606">
            <w:pPr>
              <w:spacing w:before="55" w:line="224" w:lineRule="auto"/>
              <w:ind w:left="61" w:right="49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支持龙头企业、农民合作社组建产业化 联合体。鼓励引导企业、合作社与养殖户订立育肥 购销合同，形成担保贷款、托养分红、订单生产等 多种利益联结形式，加大肉牛养殖标准化示范创建 力度，优先支持发展基础母牛繁育。</w:t>
            </w:r>
          </w:p>
        </w:tc>
        <w:tc>
          <w:tcPr>
            <w:tcW w:w="3280" w:type="dxa"/>
            <w:noWrap w:val="0"/>
            <w:vAlign w:val="center"/>
          </w:tcPr>
          <w:p w14:paraId="24E931A7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197F447C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区财政局</w:t>
            </w:r>
          </w:p>
        </w:tc>
      </w:tr>
      <w:tr w14:paraId="0332C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869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 w14:paraId="6B702987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39A0B324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大力发展淮南牛肉汤产业，提升产业附加值，加快 肉牛产业补链延链强链。</w:t>
            </w:r>
          </w:p>
        </w:tc>
        <w:tc>
          <w:tcPr>
            <w:tcW w:w="3280" w:type="dxa"/>
            <w:noWrap w:val="0"/>
            <w:vAlign w:val="center"/>
          </w:tcPr>
          <w:p w14:paraId="30CF7A9D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264F1EC6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区发展和改革委员会</w:t>
            </w:r>
          </w:p>
        </w:tc>
      </w:tr>
      <w:tr w14:paraId="0A49A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394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 w14:paraId="3DC4F7BD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76E30099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实施品牌培育行动，做大做强淮南牛肉汤等区域公 用品牌、企业品牌、产品品牌大力推进 以绿色为主导的产品生产。强化肉牛产品质量安全 监管，提升检验检测能力。</w:t>
            </w:r>
          </w:p>
        </w:tc>
        <w:tc>
          <w:tcPr>
            <w:tcW w:w="3280" w:type="dxa"/>
            <w:noWrap w:val="0"/>
            <w:vAlign w:val="center"/>
          </w:tcPr>
          <w:p w14:paraId="3154C2C4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区市场监管局</w:t>
            </w:r>
          </w:p>
          <w:p w14:paraId="18B04B53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</w:tc>
      </w:tr>
      <w:tr w14:paraId="292D8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419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 w14:paraId="4A74D9AF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55822AFB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探索“互联网+”、直播带货和预算单位采购相结合拓展牛肉销售渠道。加强市场基础设施建设，突出抓好仓储保鲜冷链物流体系建设，提升辐射面和服务带动能力。</w:t>
            </w:r>
          </w:p>
        </w:tc>
        <w:tc>
          <w:tcPr>
            <w:tcW w:w="3280" w:type="dxa"/>
            <w:noWrap w:val="0"/>
            <w:vAlign w:val="center"/>
          </w:tcPr>
          <w:p w14:paraId="5F5ABD8B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区发展和改革委员会</w:t>
            </w:r>
          </w:p>
          <w:p w14:paraId="63289134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</w:tc>
      </w:tr>
      <w:tr w14:paraId="1B0C0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548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 w14:paraId="77A831FB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71C696F9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完善粪污收储运体系建设，落实养殖场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主体责任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推动解决规模以下养殖户粪污处理难题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引导肉牛粪便及时还田利用，全面提升肉牛绿色养殖水平。</w:t>
            </w:r>
          </w:p>
        </w:tc>
        <w:tc>
          <w:tcPr>
            <w:tcW w:w="3280" w:type="dxa"/>
            <w:noWrap w:val="0"/>
            <w:vAlign w:val="center"/>
          </w:tcPr>
          <w:p w14:paraId="1E209B95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011AEEE5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区生态环境分局</w:t>
            </w:r>
          </w:p>
        </w:tc>
      </w:tr>
      <w:tr w14:paraId="288F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013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 w14:paraId="158B1998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0EAABE81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完善基层动物疫病防控体系建设，提升口蹄疫等疫</w:t>
            </w:r>
          </w:p>
          <w:p w14:paraId="4CB94A31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病强制免疫、监测预警、动物卫生监督、应急管理</w:t>
            </w:r>
          </w:p>
          <w:p w14:paraId="03FD3474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等能力水平，做好肉牛疫病防控。依托兽医行业相</w:t>
            </w:r>
          </w:p>
          <w:p w14:paraId="59E99558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关企业、社会组织、防疫服务队等主体，加快发展</w:t>
            </w:r>
          </w:p>
          <w:p w14:paraId="265FDBA6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兽医社会化服务。</w:t>
            </w:r>
          </w:p>
        </w:tc>
        <w:tc>
          <w:tcPr>
            <w:tcW w:w="3280" w:type="dxa"/>
            <w:noWrap w:val="0"/>
            <w:vAlign w:val="center"/>
          </w:tcPr>
          <w:p w14:paraId="386D26FE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28E9AA90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0AFBE777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053DE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114" w:hRule="atLeast"/>
          <w:jc w:val="center"/>
        </w:trPr>
        <w:tc>
          <w:tcPr>
            <w:tcW w:w="864" w:type="dxa"/>
            <w:gridSpan w:val="2"/>
            <w:noWrap w:val="0"/>
            <w:vAlign w:val="center"/>
          </w:tcPr>
          <w:p w14:paraId="6E1F116E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222CB096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规范产地检疫和屠宰检疫，健全病死牛无害化处理 体系和补助机制。</w:t>
            </w:r>
          </w:p>
        </w:tc>
        <w:tc>
          <w:tcPr>
            <w:tcW w:w="3280" w:type="dxa"/>
            <w:noWrap w:val="0"/>
            <w:vAlign w:val="center"/>
          </w:tcPr>
          <w:p w14:paraId="06939084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241B19CA">
            <w:pPr>
              <w:spacing w:before="91" w:line="183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区财政局</w:t>
            </w:r>
          </w:p>
        </w:tc>
      </w:tr>
      <w:tr w14:paraId="2F4BB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1F57AE71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47A924F6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结合现有养殖基础， 以镇为单位，统筹安排秸秆收贮、肉牛养殖、疫病防控、散养户粪污集中收贮、资源化利用等工作。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4813AD4D">
            <w:pPr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7A3AF61F">
            <w:pPr>
              <w:spacing w:before="3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4"/>
                <w:sz w:val="28"/>
                <w:szCs w:val="28"/>
                <w:highlight w:val="none"/>
                <w:u w:val="none"/>
                <w:lang w:eastAsia="zh-CN"/>
              </w:rPr>
              <w:t>区生态环境分局</w:t>
            </w:r>
          </w:p>
          <w:p w14:paraId="3C44F278">
            <w:pPr>
              <w:spacing w:before="3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u w:val="none"/>
              </w:rPr>
              <w:t>财政局</w:t>
            </w:r>
          </w:p>
        </w:tc>
      </w:tr>
      <w:tr w14:paraId="6376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2B8D189A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1ECF55A6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推广利用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智慧畜牧数据平台，实现肉牛产业向数字化、信息化、智能化方向转变。对全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肉牛佩戴识别耳标、登记造册，实现肉牛产业“数字化管理” 采用二维码、射频识别等技术，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做到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记录养殖、检疫、调运、屠宰、流通等各环节信息，提升肉牛产业信息化管理水平。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26EBA19F">
            <w:pPr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398AF779">
            <w:pPr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highlight w:val="none"/>
                <w:u w:val="none"/>
              </w:rPr>
              <w:t>数据资源局</w:t>
            </w:r>
          </w:p>
        </w:tc>
      </w:tr>
      <w:tr w14:paraId="1144C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5C6A9A23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7E0DAA53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发挥财政资金杠杆和撬动作用，支持肉牛产业基础 设施建设和全产业链开发。支持区政府利用政府一般债、专项债券资金和脱贫攻坚衔接资金支持肉牛产业发展。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25476600">
            <w:pPr>
              <w:spacing w:before="65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u w:val="none"/>
              </w:rPr>
              <w:t>财政局</w:t>
            </w:r>
          </w:p>
          <w:p w14:paraId="257379D8">
            <w:pPr>
              <w:spacing w:before="3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highlight w:val="none"/>
                <w:u w:val="none"/>
              </w:rPr>
              <w:t>发展和改革委员会</w:t>
            </w:r>
          </w:p>
          <w:p w14:paraId="676064CD">
            <w:pPr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</w:tc>
      </w:tr>
      <w:tr w14:paraId="18D7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511BB797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4C403BA6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推动设立肉牛特色农产品保险，保费不超过500元/头，各级财政补贴保费的80%,（省级财政保费补贴比例为40%，市辖区市级财政保费补贴比例为24%、区级财政保费补贴比例为16%），养殖场（户）自缴保费的20%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5ED575DB">
            <w:pPr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u w:val="none"/>
              </w:rPr>
              <w:t>财政局</w:t>
            </w:r>
          </w:p>
          <w:p w14:paraId="1C23F2FA">
            <w:pPr>
              <w:spacing w:before="3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</w:tc>
      </w:tr>
      <w:tr w14:paraId="4023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0C776AD6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2E18FA62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构建金融支持肉牛产业协作机制，鼓励银行机构研究创新肉牛专属信贷产品，积极开展养殖圈舍、设施设备、肉牛活体抵押贷款等信贷业务，扩大信贷产品覆盖面，简化审批程序，降低贷款门槛，优化贷款模式，不断满足肉牛产业全产业链生产经营主体资金需求。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50A4D4F3">
            <w:pPr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:highlight w:val="none"/>
                <w:u w:val="none"/>
              </w:rPr>
              <w:t>财政局</w:t>
            </w:r>
          </w:p>
        </w:tc>
      </w:tr>
      <w:tr w14:paraId="2AC2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869" w:type="dxa"/>
            <w:gridSpan w:val="2"/>
            <w:noWrap w:val="0"/>
            <w:vAlign w:val="center"/>
          </w:tcPr>
          <w:p w14:paraId="12ED1A0A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6294" w:type="dxa"/>
            <w:gridSpan w:val="4"/>
            <w:noWrap w:val="0"/>
            <w:vAlign w:val="center"/>
          </w:tcPr>
          <w:p w14:paraId="4922D366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利用好淮南牛肉汤产业支持政策，结合当地特色建设绿色食品加工园、优质绿色农产品加工集聚区，高标准建设八公山绿色发展园，培育绿色食品产业“增长极”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342873B0">
            <w:pPr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highlight w:val="none"/>
                <w:u w:val="none"/>
              </w:rPr>
              <w:t>绿色食品产业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highlight w:val="none"/>
                <w:u w:val="none"/>
              </w:rPr>
              <w:t>招商专班</w:t>
            </w:r>
          </w:p>
          <w:p w14:paraId="3905AB21">
            <w:pPr>
              <w:spacing w:before="15" w:line="219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4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4"/>
                <w:sz w:val="28"/>
                <w:szCs w:val="28"/>
                <w:highlight w:val="none"/>
                <w:u w:val="none"/>
                <w:lang w:eastAsia="zh-CN"/>
              </w:rPr>
              <w:t>区发展和改革委员会（商务投资促进局）</w:t>
            </w:r>
          </w:p>
        </w:tc>
      </w:tr>
      <w:tr w14:paraId="0C091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082" w:hRule="atLeast"/>
          <w:jc w:val="center"/>
        </w:trPr>
        <w:tc>
          <w:tcPr>
            <w:tcW w:w="874" w:type="dxa"/>
            <w:gridSpan w:val="4"/>
            <w:noWrap w:val="0"/>
            <w:vAlign w:val="center"/>
          </w:tcPr>
          <w:p w14:paraId="12FC1CCD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78C71EC0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支持保障肉牛产业发展空间需求。支持盘活农村存量建设用地，拓展集体建设用地使用途径，依法依 规合理利用林地资源，鼓励引导养殖用地经营权流 转，鼓励闲置、废弃养殖场改造升级，通过采取弹 性供地、点状供地等多种方式优先保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障肉牛产业发展的用地需求，支持从当地处置存量土地相应核定的新增建设计划指标中，优先保障建设用地计划指标，支持肉牛产业发展。</w:t>
            </w:r>
          </w:p>
        </w:tc>
        <w:tc>
          <w:tcPr>
            <w:tcW w:w="3280" w:type="dxa"/>
            <w:noWrap w:val="0"/>
            <w:vAlign w:val="center"/>
          </w:tcPr>
          <w:p w14:paraId="590E8AAD">
            <w:pPr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pacing w:val="4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八公山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highlight w:val="none"/>
                <w:u w:val="none"/>
              </w:rPr>
              <w:t>自然资源和规划局</w:t>
            </w:r>
          </w:p>
          <w:p w14:paraId="05F48066">
            <w:pPr>
              <w:spacing w:before="3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</w:tc>
      </w:tr>
      <w:tr w14:paraId="5C879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978" w:hRule="atLeast"/>
          <w:jc w:val="center"/>
        </w:trPr>
        <w:tc>
          <w:tcPr>
            <w:tcW w:w="874" w:type="dxa"/>
            <w:gridSpan w:val="4"/>
            <w:noWrap w:val="0"/>
            <w:vAlign w:val="center"/>
          </w:tcPr>
          <w:p w14:paraId="0B807030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717742C9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实施基层农技推广人才培养计划，定向培养畜牧兽 医专业人才，充实畜牧兽医基层专业人才力量。持 续开展“畜牧科技进万家”活动，开展线上线下培训，不断 提高肉牛养殖技术水平。</w:t>
            </w:r>
          </w:p>
        </w:tc>
        <w:tc>
          <w:tcPr>
            <w:tcW w:w="3280" w:type="dxa"/>
            <w:noWrap w:val="0"/>
            <w:vAlign w:val="center"/>
          </w:tcPr>
          <w:p w14:paraId="1AA710F9">
            <w:pPr>
              <w:spacing w:before="37" w:line="219" w:lineRule="auto"/>
              <w:jc w:val="center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12788DF9">
            <w:pPr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区科经局</w:t>
            </w:r>
          </w:p>
          <w:p w14:paraId="52C003CD">
            <w:pPr>
              <w:spacing w:before="3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highlight w:val="none"/>
                <w:u w:val="none"/>
              </w:rPr>
              <w:t>人力资源和社会保障局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  <w:highlight w:val="none"/>
                <w:u w:val="none"/>
              </w:rPr>
              <w:t>教育体育局</w:t>
            </w:r>
          </w:p>
        </w:tc>
      </w:tr>
      <w:tr w14:paraId="4F21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169" w:hRule="atLeast"/>
          <w:jc w:val="center"/>
        </w:trPr>
        <w:tc>
          <w:tcPr>
            <w:tcW w:w="874" w:type="dxa"/>
            <w:gridSpan w:val="4"/>
            <w:noWrap w:val="0"/>
            <w:vAlign w:val="center"/>
          </w:tcPr>
          <w:p w14:paraId="1334A3A1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142E4041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依托高校、科研院所和创新型企业力量，为肉牛产   业发展提供政策、技术咨询，加强技术推广和服务。</w:t>
            </w:r>
          </w:p>
        </w:tc>
        <w:tc>
          <w:tcPr>
            <w:tcW w:w="3280" w:type="dxa"/>
            <w:noWrap w:val="0"/>
            <w:vAlign w:val="center"/>
          </w:tcPr>
          <w:p w14:paraId="5A912FFC">
            <w:pPr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  <w:p w14:paraId="48FBB367">
            <w:pPr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区科经局</w:t>
            </w:r>
          </w:p>
        </w:tc>
      </w:tr>
      <w:tr w14:paraId="266F4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279" w:hRule="atLeast"/>
          <w:jc w:val="center"/>
        </w:trPr>
        <w:tc>
          <w:tcPr>
            <w:tcW w:w="874" w:type="dxa"/>
            <w:gridSpan w:val="4"/>
            <w:noWrap w:val="0"/>
            <w:vAlign w:val="center"/>
          </w:tcPr>
          <w:p w14:paraId="43EFDD71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1C84F9C4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支持科技特派员到肉牛企业开展服务，促进科技成果转化。</w:t>
            </w:r>
          </w:p>
        </w:tc>
        <w:tc>
          <w:tcPr>
            <w:tcW w:w="3280" w:type="dxa"/>
            <w:noWrap w:val="0"/>
            <w:vAlign w:val="center"/>
          </w:tcPr>
          <w:p w14:paraId="41788825">
            <w:pPr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区科经局</w:t>
            </w:r>
          </w:p>
          <w:p w14:paraId="5FB72303">
            <w:pPr>
              <w:spacing w:before="39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区农业农村水利局</w:t>
            </w:r>
          </w:p>
        </w:tc>
      </w:tr>
      <w:tr w14:paraId="469A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118" w:hRule="atLeast"/>
          <w:jc w:val="center"/>
        </w:trPr>
        <w:tc>
          <w:tcPr>
            <w:tcW w:w="874" w:type="dxa"/>
            <w:gridSpan w:val="4"/>
            <w:noWrap w:val="0"/>
            <w:vAlign w:val="center"/>
          </w:tcPr>
          <w:p w14:paraId="40C37713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6DA0ED5D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实施肉牛产业招大引强行动，支持业内龙头企业在我区投资建场。建立招商引资目标企业信息库和重点客商资源库，大力开展产业链招商，精准招引肉牛养殖、屠宰、加工、检测、饲料加工、兽药生产等下游加工企业、龙头企业、配套企业。</w:t>
            </w:r>
          </w:p>
        </w:tc>
        <w:tc>
          <w:tcPr>
            <w:tcW w:w="3280" w:type="dxa"/>
            <w:noWrap w:val="0"/>
            <w:vAlign w:val="center"/>
          </w:tcPr>
          <w:p w14:paraId="0D1E9032">
            <w:pPr>
              <w:spacing w:before="88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highlight w:val="none"/>
                <w:u w:val="none"/>
              </w:rPr>
              <w:t>绿色食品产业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  <w:highlight w:val="none"/>
                <w:u w:val="none"/>
              </w:rPr>
              <w:t>招商专班</w:t>
            </w:r>
          </w:p>
          <w:p w14:paraId="3F19BDE4">
            <w:pPr>
              <w:spacing w:before="25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4"/>
                <w:sz w:val="28"/>
                <w:szCs w:val="28"/>
                <w:highlight w:val="none"/>
                <w:u w:val="none"/>
                <w:lang w:eastAsia="zh-CN"/>
              </w:rPr>
              <w:t>区发展和改革委员会（商务投资促进局）</w:t>
            </w:r>
          </w:p>
        </w:tc>
      </w:tr>
      <w:tr w14:paraId="32349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484" w:hRule="atLeast"/>
          <w:jc w:val="center"/>
        </w:trPr>
        <w:tc>
          <w:tcPr>
            <w:tcW w:w="874" w:type="dxa"/>
            <w:gridSpan w:val="4"/>
            <w:noWrap w:val="0"/>
            <w:vAlign w:val="center"/>
          </w:tcPr>
          <w:p w14:paraId="12B5281F">
            <w:pPr>
              <w:spacing w:before="91" w:line="183" w:lineRule="auto"/>
              <w:jc w:val="center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6284" w:type="dxa"/>
            <w:gridSpan w:val="2"/>
            <w:noWrap w:val="0"/>
            <w:vAlign w:val="center"/>
          </w:tcPr>
          <w:p w14:paraId="313922AA">
            <w:pPr>
              <w:spacing w:before="103" w:line="219" w:lineRule="auto"/>
              <w:ind w:left="51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总结和推广“秸秆变肉”和肉牛振兴的典型做法和 成功经验，发挥典型示范引领作用，不断开创肉牛 产业发展新局面。</w:t>
            </w:r>
          </w:p>
        </w:tc>
        <w:tc>
          <w:tcPr>
            <w:tcW w:w="3280" w:type="dxa"/>
            <w:noWrap w:val="0"/>
            <w:vAlign w:val="center"/>
          </w:tcPr>
          <w:p w14:paraId="6B8AF96B">
            <w:pPr>
              <w:spacing w:before="88" w:line="227" w:lineRule="auto"/>
              <w:ind w:right="259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  <w:highlight w:val="none"/>
                <w:u w:val="none"/>
              </w:rPr>
              <w:t>“秸秆变肉”暨肉牛振兴计划工作专班</w:t>
            </w:r>
          </w:p>
        </w:tc>
      </w:tr>
    </w:tbl>
    <w:p w14:paraId="3D5812D9">
      <w:pPr>
        <w:rPr>
          <w:rFonts w:ascii="Arial" w:hAnsi="Arial" w:eastAsia="Arial" w:cs="Arial"/>
          <w:color w:val="auto"/>
          <w:sz w:val="21"/>
          <w:szCs w:val="21"/>
          <w:highlight w:val="none"/>
          <w:u w:val="none"/>
        </w:rPr>
        <w:sectPr>
          <w:footerReference r:id="rId6" w:type="default"/>
          <w:pgSz w:w="12070" w:h="16950"/>
          <w:pgMar w:top="1440" w:right="865" w:bottom="1422" w:left="774" w:header="0" w:footer="1094" w:gutter="0"/>
          <w:cols w:space="720" w:num="1"/>
        </w:sectPr>
      </w:pPr>
    </w:p>
    <w:p w14:paraId="4804326E">
      <w:pPr>
        <w:pStyle w:val="3"/>
        <w:jc w:val="left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 w14:paraId="109F1AEB">
      <w:pPr>
        <w:pStyle w:val="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7B5FFF83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sz w:val="44"/>
          <w:szCs w:val="44"/>
          <w:highlight w:val="none"/>
          <w:u w:val="none"/>
          <w:lang w:val="en-US" w:eastAsia="zh-CN"/>
        </w:rPr>
        <w:t>八公山区各镇肉牛产业年度发展目标</w:t>
      </w:r>
    </w:p>
    <w:p w14:paraId="63A86622">
      <w:pPr>
        <w:pStyle w:val="3"/>
        <w:jc w:val="both"/>
        <w:rPr>
          <w:rFonts w:hint="eastAsia" w:ascii="黑体" w:hAnsi="黑体" w:eastAsia="黑体" w:cs="黑体"/>
          <w:strike w:val="0"/>
          <w:dstrike w:val="0"/>
          <w:color w:val="auto"/>
          <w:sz w:val="40"/>
          <w:szCs w:val="48"/>
          <w:highlight w:val="none"/>
          <w:u w:val="none"/>
          <w:lang w:val="en-US" w:eastAsia="zh-CN"/>
        </w:rPr>
      </w:pPr>
    </w:p>
    <w:p w14:paraId="39959C5D">
      <w:pPr>
        <w:pStyle w:val="3"/>
        <w:jc w:val="center"/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单位：头</w:t>
      </w:r>
    </w:p>
    <w:tbl>
      <w:tblPr>
        <w:tblStyle w:val="5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48"/>
        <w:gridCol w:w="1549"/>
        <w:gridCol w:w="1548"/>
        <w:gridCol w:w="1549"/>
        <w:gridCol w:w="1548"/>
        <w:gridCol w:w="1549"/>
        <w:gridCol w:w="1548"/>
        <w:gridCol w:w="1552"/>
      </w:tblGrid>
      <w:tr w14:paraId="6FE5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50" w:type="dxa"/>
            <w:vMerge w:val="restart"/>
            <w:noWrap w:val="0"/>
            <w:vAlign w:val="top"/>
          </w:tcPr>
          <w:p w14:paraId="539B9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71F56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0E877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AF43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镇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40CD6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1F194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2025年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77B3C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2026年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 w14:paraId="3F244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2027年</w:t>
            </w:r>
          </w:p>
        </w:tc>
      </w:tr>
      <w:tr w14:paraId="3418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50" w:type="dxa"/>
            <w:vMerge w:val="continue"/>
            <w:noWrap w:val="0"/>
            <w:vAlign w:val="top"/>
          </w:tcPr>
          <w:p w14:paraId="52455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F611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饲养量</w:t>
            </w:r>
          </w:p>
        </w:tc>
        <w:tc>
          <w:tcPr>
            <w:tcW w:w="1548" w:type="dxa"/>
            <w:noWrap w:val="0"/>
            <w:vAlign w:val="center"/>
          </w:tcPr>
          <w:p w14:paraId="0887B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其中：</w:t>
            </w:r>
          </w:p>
          <w:p w14:paraId="3FBE1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出栏</w:t>
            </w:r>
          </w:p>
        </w:tc>
        <w:tc>
          <w:tcPr>
            <w:tcW w:w="1548" w:type="dxa"/>
            <w:noWrap w:val="0"/>
            <w:vAlign w:val="center"/>
          </w:tcPr>
          <w:p w14:paraId="1B241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饲养量</w:t>
            </w:r>
          </w:p>
        </w:tc>
        <w:tc>
          <w:tcPr>
            <w:tcW w:w="1548" w:type="dxa"/>
            <w:noWrap w:val="0"/>
            <w:vAlign w:val="center"/>
          </w:tcPr>
          <w:p w14:paraId="5E024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其中：</w:t>
            </w:r>
          </w:p>
          <w:p w14:paraId="6CA32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出栏</w:t>
            </w:r>
          </w:p>
        </w:tc>
        <w:tc>
          <w:tcPr>
            <w:tcW w:w="1548" w:type="dxa"/>
            <w:noWrap w:val="0"/>
            <w:vAlign w:val="center"/>
          </w:tcPr>
          <w:p w14:paraId="01495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饲养量</w:t>
            </w:r>
          </w:p>
        </w:tc>
        <w:tc>
          <w:tcPr>
            <w:tcW w:w="1548" w:type="dxa"/>
            <w:noWrap w:val="0"/>
            <w:vAlign w:val="center"/>
          </w:tcPr>
          <w:p w14:paraId="1D372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其中：</w:t>
            </w:r>
          </w:p>
          <w:p w14:paraId="55034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出栏</w:t>
            </w:r>
          </w:p>
        </w:tc>
        <w:tc>
          <w:tcPr>
            <w:tcW w:w="1548" w:type="dxa"/>
            <w:noWrap w:val="0"/>
            <w:vAlign w:val="center"/>
          </w:tcPr>
          <w:p w14:paraId="3EB0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饲养量</w:t>
            </w:r>
          </w:p>
        </w:tc>
        <w:tc>
          <w:tcPr>
            <w:tcW w:w="1552" w:type="dxa"/>
            <w:noWrap w:val="0"/>
            <w:vAlign w:val="center"/>
          </w:tcPr>
          <w:p w14:paraId="435E3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其中：</w:t>
            </w:r>
          </w:p>
          <w:p w14:paraId="125D2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出栏</w:t>
            </w:r>
          </w:p>
        </w:tc>
      </w:tr>
      <w:tr w14:paraId="628D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50" w:type="dxa"/>
            <w:noWrap w:val="0"/>
            <w:vAlign w:val="center"/>
          </w:tcPr>
          <w:p w14:paraId="58937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山王镇</w:t>
            </w:r>
          </w:p>
        </w:tc>
        <w:tc>
          <w:tcPr>
            <w:tcW w:w="1548" w:type="dxa"/>
            <w:noWrap w:val="0"/>
            <w:vAlign w:val="center"/>
          </w:tcPr>
          <w:p w14:paraId="36507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700</w:t>
            </w:r>
          </w:p>
        </w:tc>
        <w:tc>
          <w:tcPr>
            <w:tcW w:w="1548" w:type="dxa"/>
            <w:noWrap w:val="0"/>
            <w:vAlign w:val="center"/>
          </w:tcPr>
          <w:p w14:paraId="02D2F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548" w:type="dxa"/>
            <w:noWrap w:val="0"/>
            <w:vAlign w:val="center"/>
          </w:tcPr>
          <w:p w14:paraId="22AB7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800</w:t>
            </w:r>
          </w:p>
        </w:tc>
        <w:tc>
          <w:tcPr>
            <w:tcW w:w="1548" w:type="dxa"/>
            <w:noWrap w:val="0"/>
            <w:vAlign w:val="center"/>
          </w:tcPr>
          <w:p w14:paraId="2CB8F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450</w:t>
            </w:r>
          </w:p>
        </w:tc>
        <w:tc>
          <w:tcPr>
            <w:tcW w:w="1548" w:type="dxa"/>
            <w:noWrap w:val="0"/>
            <w:vAlign w:val="center"/>
          </w:tcPr>
          <w:p w14:paraId="6B4C4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900</w:t>
            </w:r>
          </w:p>
        </w:tc>
        <w:tc>
          <w:tcPr>
            <w:tcW w:w="1548" w:type="dxa"/>
            <w:noWrap w:val="0"/>
            <w:vAlign w:val="center"/>
          </w:tcPr>
          <w:p w14:paraId="3D42D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548" w:type="dxa"/>
            <w:noWrap w:val="0"/>
            <w:vAlign w:val="center"/>
          </w:tcPr>
          <w:p w14:paraId="4680B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1000</w:t>
            </w:r>
          </w:p>
        </w:tc>
        <w:tc>
          <w:tcPr>
            <w:tcW w:w="1552" w:type="dxa"/>
            <w:noWrap w:val="0"/>
            <w:vAlign w:val="center"/>
          </w:tcPr>
          <w:p w14:paraId="02C15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600</w:t>
            </w:r>
          </w:p>
        </w:tc>
      </w:tr>
      <w:tr w14:paraId="1463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50" w:type="dxa"/>
            <w:noWrap w:val="0"/>
            <w:vAlign w:val="center"/>
          </w:tcPr>
          <w:p w14:paraId="21938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八公山镇</w:t>
            </w:r>
          </w:p>
        </w:tc>
        <w:tc>
          <w:tcPr>
            <w:tcW w:w="1548" w:type="dxa"/>
            <w:noWrap w:val="0"/>
            <w:vAlign w:val="center"/>
          </w:tcPr>
          <w:p w14:paraId="1CA31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1400</w:t>
            </w:r>
          </w:p>
        </w:tc>
        <w:tc>
          <w:tcPr>
            <w:tcW w:w="1548" w:type="dxa"/>
            <w:noWrap w:val="0"/>
            <w:vAlign w:val="center"/>
          </w:tcPr>
          <w:p w14:paraId="5CDFF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1548" w:type="dxa"/>
            <w:noWrap w:val="0"/>
            <w:vAlign w:val="center"/>
          </w:tcPr>
          <w:p w14:paraId="6AA0B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1600</w:t>
            </w:r>
          </w:p>
        </w:tc>
        <w:tc>
          <w:tcPr>
            <w:tcW w:w="1548" w:type="dxa"/>
            <w:noWrap w:val="0"/>
            <w:vAlign w:val="center"/>
          </w:tcPr>
          <w:p w14:paraId="6A1C3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850</w:t>
            </w:r>
          </w:p>
        </w:tc>
        <w:tc>
          <w:tcPr>
            <w:tcW w:w="1548" w:type="dxa"/>
            <w:noWrap w:val="0"/>
            <w:vAlign w:val="center"/>
          </w:tcPr>
          <w:p w14:paraId="52D59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1800</w:t>
            </w:r>
          </w:p>
        </w:tc>
        <w:tc>
          <w:tcPr>
            <w:tcW w:w="1548" w:type="dxa"/>
            <w:noWrap w:val="0"/>
            <w:vAlign w:val="center"/>
          </w:tcPr>
          <w:p w14:paraId="02D9B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900</w:t>
            </w:r>
          </w:p>
        </w:tc>
        <w:tc>
          <w:tcPr>
            <w:tcW w:w="1548" w:type="dxa"/>
            <w:noWrap w:val="0"/>
            <w:vAlign w:val="center"/>
          </w:tcPr>
          <w:p w14:paraId="49A9B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2100</w:t>
            </w:r>
          </w:p>
        </w:tc>
        <w:tc>
          <w:tcPr>
            <w:tcW w:w="1552" w:type="dxa"/>
            <w:noWrap w:val="0"/>
            <w:vAlign w:val="center"/>
          </w:tcPr>
          <w:p w14:paraId="01071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1000</w:t>
            </w:r>
          </w:p>
        </w:tc>
      </w:tr>
      <w:tr w14:paraId="131F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50" w:type="dxa"/>
            <w:noWrap w:val="0"/>
            <w:vAlign w:val="center"/>
          </w:tcPr>
          <w:p w14:paraId="693F9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全  区</w:t>
            </w:r>
          </w:p>
        </w:tc>
        <w:tc>
          <w:tcPr>
            <w:tcW w:w="1548" w:type="dxa"/>
            <w:noWrap w:val="0"/>
            <w:vAlign w:val="center"/>
          </w:tcPr>
          <w:p w14:paraId="14023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2100</w:t>
            </w:r>
          </w:p>
        </w:tc>
        <w:tc>
          <w:tcPr>
            <w:tcW w:w="1548" w:type="dxa"/>
            <w:noWrap w:val="0"/>
            <w:vAlign w:val="center"/>
          </w:tcPr>
          <w:p w14:paraId="44263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1100</w:t>
            </w:r>
          </w:p>
        </w:tc>
        <w:tc>
          <w:tcPr>
            <w:tcW w:w="1548" w:type="dxa"/>
            <w:noWrap w:val="0"/>
            <w:vAlign w:val="center"/>
          </w:tcPr>
          <w:p w14:paraId="20937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2400</w:t>
            </w:r>
          </w:p>
        </w:tc>
        <w:tc>
          <w:tcPr>
            <w:tcW w:w="1548" w:type="dxa"/>
            <w:noWrap w:val="0"/>
            <w:vAlign w:val="center"/>
          </w:tcPr>
          <w:p w14:paraId="6F3A0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1300</w:t>
            </w:r>
          </w:p>
        </w:tc>
        <w:tc>
          <w:tcPr>
            <w:tcW w:w="1548" w:type="dxa"/>
            <w:noWrap w:val="0"/>
            <w:vAlign w:val="center"/>
          </w:tcPr>
          <w:p w14:paraId="471AD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2700</w:t>
            </w:r>
          </w:p>
        </w:tc>
        <w:tc>
          <w:tcPr>
            <w:tcW w:w="1548" w:type="dxa"/>
            <w:noWrap w:val="0"/>
            <w:vAlign w:val="center"/>
          </w:tcPr>
          <w:p w14:paraId="63DC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1400</w:t>
            </w:r>
          </w:p>
        </w:tc>
        <w:tc>
          <w:tcPr>
            <w:tcW w:w="1548" w:type="dxa"/>
            <w:noWrap w:val="0"/>
            <w:vAlign w:val="center"/>
          </w:tcPr>
          <w:p w14:paraId="24529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3100</w:t>
            </w:r>
          </w:p>
        </w:tc>
        <w:tc>
          <w:tcPr>
            <w:tcW w:w="1552" w:type="dxa"/>
            <w:noWrap w:val="0"/>
            <w:vAlign w:val="center"/>
          </w:tcPr>
          <w:p w14:paraId="11340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1600</w:t>
            </w:r>
          </w:p>
        </w:tc>
      </w:tr>
    </w:tbl>
    <w:p w14:paraId="047C7008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8871">
    <w:pPr>
      <w:spacing w:before="1" w:line="177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0BF5A">
    <w:pPr>
      <w:spacing w:line="178" w:lineRule="auto"/>
      <w:ind w:left="864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TJkMjFhYjEzZDNjYjEyMjg0MWExMjEwYzYzZWYifQ=="/>
  </w:docVars>
  <w:rsids>
    <w:rsidRoot w:val="00000000"/>
    <w:rsid w:val="15FC6940"/>
    <w:rsid w:val="1E3D5D47"/>
    <w:rsid w:val="28D9666D"/>
    <w:rsid w:val="38BF587F"/>
    <w:rsid w:val="3A7C32FC"/>
    <w:rsid w:val="43487CF9"/>
    <w:rsid w:val="4BC114B6"/>
    <w:rsid w:val="503C6631"/>
    <w:rsid w:val="51270F94"/>
    <w:rsid w:val="5B433C96"/>
    <w:rsid w:val="67D619EE"/>
    <w:rsid w:val="71C07997"/>
    <w:rsid w:val="7C0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6060</Words>
  <Characters>6241</Characters>
  <Lines>0</Lines>
  <Paragraphs>0</Paragraphs>
  <TotalTime>2</TotalTime>
  <ScaleCrop>false</ScaleCrop>
  <LinksUpToDate>false</LinksUpToDate>
  <CharactersWithSpaces>6976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2024-08-21T07:45:00Z</dcterms:created>
  <dc:creator>Administrator</dc:creator>
  <cp:lastModifiedBy>彼岸轮回</cp:lastModifiedBy>
  <dcterms:modified xsi:type="dcterms:W3CDTF">2024-08-21T21:15:44Z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A59EA912B9ED45BAAC39C7249752D57F_12</vt:lpwstr>
  </property>
</Properties>
</file>