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bookmarkStart w:id="0" w:name="_GoBack"/>
      <w:r>
        <w:rPr>
          <w:rFonts w:hint="eastAsia" w:ascii="方正小标宋_GBK" w:hAnsi="方正小标宋_GBK" w:eastAsia="方正小标宋_GBK" w:cs="方正小标宋_GBK"/>
          <w:sz w:val="44"/>
          <w:szCs w:val="36"/>
          <w:lang w:eastAsia="zh-CN"/>
        </w:rPr>
        <w:t>关于印发《</w:t>
      </w:r>
      <w:r>
        <w:rPr>
          <w:rFonts w:hint="eastAsia" w:ascii="方正小标宋_GBK" w:hAnsi="方正小标宋_GBK" w:eastAsia="方正小标宋_GBK" w:cs="方正小标宋_GBK"/>
          <w:sz w:val="44"/>
          <w:szCs w:val="36"/>
        </w:rPr>
        <w:t>淮南市城镇燃气管道“带病运行”问题专项治理实施方案</w:t>
      </w:r>
      <w:r>
        <w:rPr>
          <w:rFonts w:hint="eastAsia" w:ascii="方正小标宋_GBK" w:hAnsi="方正小标宋_GBK" w:eastAsia="方正小标宋_GBK" w:cs="方正小标宋_GBK"/>
          <w:sz w:val="44"/>
          <w:szCs w:val="36"/>
          <w:lang w:eastAsia="zh-CN"/>
        </w:rPr>
        <w:t>》的通知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line="590" w:lineRule="exact"/>
        <w:textAlignment w:val="auto"/>
        <w:rPr>
          <w:rFonts w:ascii="仿宋_GB2312" w:hAnsi="仿宋_GB2312" w:eastAsia="仿宋_GB2312" w:cs="仿宋_GB2312"/>
          <w:color w:val="000000"/>
          <w:sz w:val="31"/>
          <w:szCs w:val="31"/>
        </w:rPr>
      </w:pPr>
    </w:p>
    <w:p>
      <w:pPr>
        <w:pStyle w:val="9"/>
        <w:keepNext w:val="0"/>
        <w:keepLines w:val="0"/>
        <w:pageBreakBefore w:val="0"/>
        <w:widowControl/>
        <w:suppressLineNumbers w:val="0"/>
        <w:kinsoku/>
        <w:wordWrap/>
        <w:overflowPunct/>
        <w:topLinePunct w:val="0"/>
        <w:autoSpaceDE/>
        <w:autoSpaceDN/>
        <w:bidi w:val="0"/>
        <w:adjustRightInd/>
        <w:snapToGrid/>
        <w:spacing w:line="590" w:lineRule="exact"/>
        <w:ind w:left="320" w:hanging="320" w:hangingChars="1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市安委会各成员单位：</w:t>
      </w:r>
    </w:p>
    <w:p>
      <w:pPr>
        <w:pStyle w:val="9"/>
        <w:keepNext w:val="0"/>
        <w:keepLines w:val="0"/>
        <w:pageBreakBefore w:val="0"/>
        <w:widowControl/>
        <w:suppressLineNumbers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经市委、市政府同意，现将 《淮南市城镇燃气管道“带病</w:t>
      </w:r>
      <w:r>
        <w:rPr>
          <w:rFonts w:hint="eastAsia" w:ascii="Times New Roman" w:hAnsi="Times New Roman" w:eastAsia="方正仿宋_GBK" w:cs="Times New Roman"/>
          <w:color w:val="000000"/>
          <w:sz w:val="32"/>
          <w:szCs w:val="32"/>
          <w:lang w:eastAsia="zh-CN"/>
        </w:rPr>
        <w:t>运</w:t>
      </w:r>
      <w:r>
        <w:rPr>
          <w:rFonts w:hint="default" w:ascii="Times New Roman" w:hAnsi="Times New Roman" w:eastAsia="方正仿宋_GBK" w:cs="Times New Roman"/>
          <w:color w:val="000000"/>
          <w:sz w:val="32"/>
          <w:szCs w:val="32"/>
        </w:rPr>
        <w:t>行”问题专项治理工作方案》印发给你们，请结合实际认真抓好贯彻落实。</w:t>
      </w:r>
    </w:p>
    <w:p>
      <w:pPr>
        <w:pStyle w:val="9"/>
        <w:keepNext w:val="0"/>
        <w:keepLines w:val="0"/>
        <w:pageBreakBefore w:val="0"/>
        <w:widowControl/>
        <w:suppressLineNumbers w:val="0"/>
        <w:kinsoku/>
        <w:wordWrap/>
        <w:overflowPunct/>
        <w:topLinePunct w:val="0"/>
        <w:autoSpaceDE/>
        <w:autoSpaceDN/>
        <w:bidi w:val="0"/>
        <w:adjustRightInd/>
        <w:snapToGrid/>
        <w:spacing w:line="590" w:lineRule="exact"/>
        <w:textAlignment w:val="auto"/>
        <w:rPr>
          <w:rFonts w:ascii="仿宋_GB2312" w:hAnsi="仿宋_GB2312" w:eastAsia="仿宋_GB2312" w:cs="仿宋_GB2312"/>
          <w:color w:val="000000"/>
          <w:sz w:val="31"/>
          <w:szCs w:val="31"/>
        </w:rPr>
      </w:pPr>
    </w:p>
    <w:p>
      <w:pPr>
        <w:pStyle w:val="9"/>
        <w:keepNext w:val="0"/>
        <w:keepLines w:val="0"/>
        <w:pageBreakBefore w:val="0"/>
        <w:widowControl/>
        <w:suppressLineNumbers w:val="0"/>
        <w:kinsoku/>
        <w:wordWrap/>
        <w:overflowPunct/>
        <w:topLinePunct w:val="0"/>
        <w:autoSpaceDE/>
        <w:autoSpaceDN/>
        <w:bidi w:val="0"/>
        <w:adjustRightInd/>
        <w:snapToGrid/>
        <w:spacing w:line="590" w:lineRule="exact"/>
        <w:textAlignment w:val="auto"/>
        <w:rPr>
          <w:rFonts w:ascii="仿宋_GB2312" w:hAnsi="仿宋_GB2312" w:eastAsia="仿宋_GB2312" w:cs="仿宋_GB2312"/>
          <w:color w:val="000000"/>
          <w:sz w:val="31"/>
          <w:szCs w:val="31"/>
        </w:rPr>
      </w:pPr>
    </w:p>
    <w:p>
      <w:pPr>
        <w:keepNext w:val="0"/>
        <w:keepLines w:val="0"/>
        <w:pageBreakBefore w:val="0"/>
        <w:widowControl w:val="0"/>
        <w:kinsoku/>
        <w:wordWrap/>
        <w:overflowPunct/>
        <w:topLinePunct w:val="0"/>
        <w:autoSpaceDE/>
        <w:autoSpaceDN/>
        <w:bidi w:val="0"/>
        <w:adjustRightInd/>
        <w:snapToGrid/>
        <w:spacing w:line="590" w:lineRule="exact"/>
        <w:ind w:right="840" w:rightChars="400"/>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淮南市安全生产委员会</w:t>
      </w:r>
    </w:p>
    <w:p>
      <w:pPr>
        <w:pStyle w:val="2"/>
        <w:wordWrap w:val="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2024年4月24日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6"/>
        </w:rPr>
      </w:pPr>
    </w:p>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方正小标宋_GBK" w:hAnsi="方正小标宋_GBK" w:eastAsia="方正小标宋_GBK" w:cs="方正小标宋_GBK"/>
          <w:sz w:val="44"/>
          <w:szCs w:val="36"/>
        </w:rPr>
      </w:pPr>
    </w:p>
    <w:p>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淮南市城镇燃气管道“带病运行”问题</w:t>
      </w:r>
    </w:p>
    <w:p>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专项治理实施方案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Times New Roman" w:hAnsi="Times New Roman" w:eastAsia="仿宋_GB2312"/>
          <w:sz w:val="36"/>
          <w:szCs w:val="36"/>
        </w:rPr>
      </w:pP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习近平总书记重要指示批示精神，深刻汲取近年来全国城镇燃气安全事故教训，全面加强城镇燃气安全风险隐患排查治理工作，推动全市安全生产形势持续稳定向好，切实保障人民群众生命财产安全，根据省市工作部署，在全市范围内开展城镇燃气管道“带病运行”问题专项治理工作，制定方案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深入贯彻落实习近平总书记关于安全生产特别是城镇燃气管道“带病运行”问题的重要指示批示精神，坚持人民至上、生命至上，统筹发展和安全，深刻认识抓好燃气安全工作的重要性、紧迫性，聚焦城镇燃气管道“带病运行”问题和瓶装液化石油气企业经营、生产充装、输送配送、用户使用、燃气具生产流通使用，以及监管执法等各环节，联动正在开展的全市城镇燃气安全专项整治工作和安全生产治本攻坚三年行动，全面查找整治城镇燃气安全风险隐患，加快推进燃气管道老化评估和更新改造，推动燃气安全问题清单管理、限期办结、动态清零、闭环销号，严厉打击涉燃气安全各类违法违规行为，坚决防范遏制重特大燃气事故发生，确保城市安全有序运行和人民生命财产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b w:val="0"/>
          <w:bCs w:val="0"/>
          <w:sz w:val="32"/>
          <w:szCs w:val="32"/>
        </w:rPr>
        <w:t>（一）立即开展全覆盖排查核查。</w:t>
      </w:r>
      <w:r>
        <w:rPr>
          <w:rFonts w:hint="default" w:ascii="Times New Roman" w:hAnsi="Times New Roman" w:eastAsia="方正仿宋_GBK" w:cs="Times New Roman"/>
          <w:kern w:val="2"/>
          <w:sz w:val="32"/>
          <w:szCs w:val="32"/>
        </w:rPr>
        <w:t>聚焦城镇燃气管道“带病运行”问题。全面摸清燃气管网底数，建立燃气管网信息台账，开展隐患排查，重点排查燃气管道被违规占压、穿越密闭空间，以及材质落后、使用年限较长、运行环境存在安全隐患、不符合相关标准规范等老化管道和设施。围绕瓶装液化石油气“气、瓶、阀、管、灶、环境”等要素，排查核查企业经营、生产、储配、充装、供应、配送、使用“全链条”的安全风险和事故隐患。突出重点场所和部位，对涉燃气施工区域、“九小场所”、多业态混合生产经营场所和商业综合体、集贸市场、医院、学校、养老院、儿童福利院等人员密集场所的输气管道、阀门、调压设施等重点部位逐一开展排查，确保全覆盖、无死角。要压实燃气企业安全生产主体责任，督促其全面做好燃气设施自查，规范入户安检内容，将燃气用户户内管道、阀门等纳入入户安检清单。</w:t>
      </w:r>
      <w:r>
        <w:rPr>
          <w:rFonts w:hint="eastAsia" w:ascii="方正楷体_GBK" w:hAnsi="方正楷体_GBK" w:eastAsia="方正楷体_GBK" w:cs="方正楷体_GBK"/>
          <w:kern w:val="2"/>
          <w:sz w:val="32"/>
          <w:szCs w:val="32"/>
        </w:rPr>
        <w:t>（市住建局、市公安局、市应急局、市商务局、市教体局、市民政局、市交通局、市卫健委、市市场监管局、市城管局、市消防救援支队等部门按职责分工负责，</w:t>
      </w:r>
      <w:r>
        <w:rPr>
          <w:rFonts w:hint="eastAsia" w:ascii="方正楷体_GBK" w:hAnsi="方正楷体_GBK" w:eastAsia="方正楷体_GBK" w:cs="方正楷体_GBK"/>
          <w:kern w:val="2"/>
          <w:sz w:val="32"/>
          <w:szCs w:val="32"/>
          <w:lang w:eastAsia="zh-CN"/>
        </w:rPr>
        <w:t>县区政府、园区管委会组织落实，以下均需县区政府、园区管委会负责，不再列出</w:t>
      </w:r>
      <w:r>
        <w:rPr>
          <w:rFonts w:hint="eastAsia" w:ascii="方正楷体_GBK" w:hAnsi="方正楷体_GBK" w:eastAsia="方正楷体_GBK" w:cs="方正楷体_GBK"/>
          <w:kern w:val="2"/>
          <w:sz w:val="32"/>
          <w:szCs w:val="32"/>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b w:val="0"/>
          <w:bCs w:val="0"/>
          <w:sz w:val="32"/>
          <w:szCs w:val="32"/>
        </w:rPr>
        <w:t>（二）全面推进风险隐患整改。</w:t>
      </w:r>
      <w:r>
        <w:rPr>
          <w:rFonts w:hint="default" w:ascii="Times New Roman" w:hAnsi="Times New Roman" w:eastAsia="方正仿宋_GBK" w:cs="Times New Roman"/>
          <w:kern w:val="2"/>
          <w:sz w:val="32"/>
          <w:szCs w:val="32"/>
        </w:rPr>
        <w:t>根据排查核查情况，建立风险隐患整改清单，按照“轻重缓急”，分级分类推进风险隐患全面彻底整改。对燃气管道被违规占压、损毁、穿越密闭空间等安全隐患问题，要立行立改，不能立即整改到位的，制定并严格落实管控措施，限期整改到位。对燃气管道材质、使用年限、运行环境等问题，以及对使用无熄火保护灶具、可调式减压阀、不合格软管、“双气源”、燃气报警器未有效安装使用、生产销售不合格燃气器具等问题，要建立台账清单，制定整改计划，明确整改主体，确定整改方式，限定整改时限，实施闭环整改，实行动态清零。经排查无安全隐患的，也要做好记录，确保底数清、风险控、可追溯。</w:t>
      </w:r>
      <w:r>
        <w:rPr>
          <w:rFonts w:hint="eastAsia" w:ascii="方正楷体_GBK" w:hAnsi="方正楷体_GBK" w:eastAsia="方正楷体_GBK" w:cs="方正楷体_GBK"/>
          <w:kern w:val="2"/>
          <w:sz w:val="32"/>
          <w:szCs w:val="32"/>
        </w:rPr>
        <w:t>（市住建局、市城管局、市应急局、市商务局、市教体局、市民政局、市交通局、市卫健委、市市场监管局、市消防救援支队等部门按职责分工负责）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sz w:val="32"/>
          <w:szCs w:val="32"/>
        </w:rPr>
        <w:t>（三）扎实推进燃气管道更新改造。</w:t>
      </w:r>
      <w:r>
        <w:rPr>
          <w:rFonts w:hint="default" w:ascii="Times New Roman" w:hAnsi="Times New Roman" w:eastAsia="方正仿宋_GBK" w:cs="Times New Roman"/>
          <w:sz w:val="32"/>
          <w:szCs w:val="32"/>
        </w:rPr>
        <w:t>在全面排查核实的基础上，按照住建部、发改委《城市燃气管道老化评估工作指南》的具体标准要求，建立动态评估机制，定期开展燃气管道老化评估。属于压力管道的，由具备相应特种设备检验资质的第三方机构或燃气经营企业开展评估；不属于压力管道的，可由燃气经营企业自行开展评估。结合城市更新和老旧小区改造，科学制定更新改造方案和标准。对评估为“限期改造”的燃气管道应在今年内完成改造任务。明确更新改造计划及项目清单，积极争取政策支持，加快推进更新改造项目实施，精简更新改造涉及的审批事项流程，加强协调调度，强化质量监督，有序组织实施。按规定做好改造后通气等关键环节安全监控，规范做好工程验收移交，确保燃气管道安全运行。</w:t>
      </w:r>
      <w:r>
        <w:rPr>
          <w:rFonts w:hint="eastAsia" w:ascii="方正楷体_GBK" w:hAnsi="方正楷体_GBK" w:eastAsia="方正楷体_GBK" w:cs="方正楷体_GBK"/>
          <w:sz w:val="32"/>
          <w:szCs w:val="32"/>
        </w:rPr>
        <w:t>（市住建局、市城管局、市发改委、市财政局等部门按职责分工负责）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sz w:val="32"/>
          <w:szCs w:val="32"/>
        </w:rPr>
        <w:t>（四）强化燃气管道及设施日常管理。</w:t>
      </w:r>
      <w:r>
        <w:rPr>
          <w:rFonts w:hint="default" w:ascii="Times New Roman" w:hAnsi="Times New Roman" w:eastAsia="方正仿宋_GBK" w:cs="Times New Roman"/>
          <w:sz w:val="32"/>
          <w:szCs w:val="32"/>
        </w:rPr>
        <w:t>严格落实《安徽省涉燃气管道工程安全施工监管暂行办法》，督促建设、勘察、设计、监理、施工及管道燃气等各单位落实燃气管道安全保护的各项措施，组织开展燃气管道安全保护监督检查和安全隐患排查，对未落实燃气设施保护方案等要求的，要责令立即整改；对造成燃气管道损坏的，要依法严厉追究相关责任单位和个人责任。燃气经营企业要强化巡线人员队伍建设，及时发现违规施工、擅自改装或安装管道和设施、损坏燃气计量装置等各类违法行为。做好排查及线索搜集工作，通过建立数据模型，定期监测异常用气数据，发现偷盗燃气和损毁燃气设施行为的，及时上报有关部门。</w:t>
      </w:r>
      <w:r>
        <w:rPr>
          <w:rFonts w:hint="eastAsia" w:ascii="方正楷体_GBK" w:hAnsi="方正楷体_GBK" w:eastAsia="方正楷体_GBK" w:cs="方正楷体_GBK"/>
          <w:sz w:val="32"/>
          <w:szCs w:val="32"/>
        </w:rPr>
        <w:t>（市住建局、市公安局、市市场监管局、市城管局等部门按职责分工负责）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sz w:val="32"/>
          <w:szCs w:val="32"/>
        </w:rPr>
        <w:t>（五）加快推进城市生命线工程建设。</w:t>
      </w:r>
      <w:r>
        <w:rPr>
          <w:rFonts w:hint="default" w:ascii="Times New Roman" w:hAnsi="Times New Roman" w:eastAsia="方正仿宋_GBK" w:cs="Times New Roman"/>
          <w:sz w:val="32"/>
          <w:szCs w:val="32"/>
        </w:rPr>
        <w:t>聚焦燃气安全监测预警和智慧防控，完善城市生命线一期工程建设，实现城区中高风险区域监测预警全覆盖。加快城市生命线二期工程建设，将燃气安全监测预警拓展至城市工商企业燃气用户终端、瓶装液化石油气等领域，并延伸至县城。今年4月底前，市本级城市生命线二期工程要开工建设，6月底前基本建成投入使用。同步启动县级城市生命线安全工程建设。推进全市液化石油气企业建设智慧化管理平台，并接入城市生命线系统，实现瓶装液化石油气充装、运输、配送全流程实时监测。</w:t>
      </w:r>
      <w:r>
        <w:rPr>
          <w:rFonts w:hint="eastAsia" w:ascii="方正楷体_GBK" w:hAnsi="方正楷体_GBK" w:eastAsia="方正楷体_GBK" w:cs="方正楷体_GBK"/>
          <w:sz w:val="32"/>
          <w:szCs w:val="32"/>
        </w:rPr>
        <w:t>（市住建局、市发改委、市财政局、市市场监管局、市数据资源局等部门按职责分工负责）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（六）进一步规范燃气经营市场秩序。</w:t>
      </w:r>
      <w:r>
        <w:rPr>
          <w:rFonts w:hint="default" w:ascii="Times New Roman" w:hAnsi="Times New Roman" w:eastAsia="方正仿宋_GBK" w:cs="Times New Roman"/>
          <w:sz w:val="32"/>
          <w:szCs w:val="32"/>
        </w:rPr>
        <w:t>严格管道燃气、瓶装液化石油气经营许可审批，自2024年4月起，由市住建局负责全市城镇燃气经营许可审批工作。各县区要落实属地监管责任，在6月底前，全面完成瓶装液化石油气企业安全风险评估工作，对评估达不到燃气经营安全标准的，督促限期整改，整改后仍不达标的，坚决清除出燃气经营市场，对相关企业依法实施联合惩戒。针对部分瓶装液化石油气经营企业“规模小、分布散、管理乱”等问题，要推进瓶装液化石油气经营企业和市场优化整合提升，整合打造或引进具有一定规模、管理规范、服务优质的区域化经营的瓶装液化石油气经营企业，推动行业规模化、标准化、专业化发展。强化液化石油气企业人员管理，对违法违规的送气服务人员，主动向社会公开，依法依规吊销从业资格证书。</w:t>
      </w:r>
      <w:r>
        <w:rPr>
          <w:rFonts w:hint="eastAsia" w:ascii="方正楷体_GBK" w:hAnsi="方正楷体_GBK" w:eastAsia="方正楷体_GBK" w:cs="方正楷体_GBK"/>
          <w:b w:val="0"/>
          <w:bCs w:val="0"/>
          <w:sz w:val="32"/>
          <w:szCs w:val="32"/>
        </w:rPr>
        <w:t>（市住建局、市城管局、市市场监管局等部门按职责分工负责）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（七）加大执法处罚力度。</w:t>
      </w:r>
      <w:r>
        <w:rPr>
          <w:rFonts w:hint="default" w:ascii="Times New Roman" w:hAnsi="Times New Roman" w:eastAsia="方正仿宋_GBK" w:cs="Times New Roman"/>
          <w:sz w:val="32"/>
          <w:szCs w:val="32"/>
        </w:rPr>
        <w:t>严厉惩处违规占压、安装改装燃气管道和设施、偷盗气、违规施工损毁燃气管道等各类违法行为。深入开展联合执法行动，完善行刑衔接机制，严厉打击瓶装液化石油气“黑瓶”“黑气”“黑窝点”、跨区经营、非法掺混二甲醚、违规倒装以及充装自非自有气瓶和制售假冒伪劣燃气灶具、阀门、软管等违法违规行为，影响恶劣的要依法从严从重从快处罚，构成犯罪的要依法追究刑事责任。同时，公开曝光一批典型执法案例，强化震慑效力，形成严厉惩处违法违规行为的高压态势。</w:t>
      </w:r>
      <w:r>
        <w:rPr>
          <w:rFonts w:hint="eastAsia" w:ascii="方正楷体_GBK" w:hAnsi="方正楷体_GBK" w:eastAsia="方正楷体_GBK" w:cs="方正楷体_GBK"/>
          <w:b w:val="0"/>
          <w:bCs w:val="0"/>
          <w:sz w:val="32"/>
          <w:szCs w:val="32"/>
        </w:rPr>
        <w:t>（市住建局、市城管局、市公安局、市应急局、市商务局、市交通局、市市场监管局、市消防救援支队等部门按职责分工负责）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（一）动员部署（即日起至4月30日）。</w:t>
      </w:r>
      <w:r>
        <w:rPr>
          <w:rFonts w:hint="default" w:ascii="Times New Roman" w:hAnsi="Times New Roman" w:eastAsia="方正仿宋_GBK" w:cs="Times New Roman"/>
          <w:sz w:val="32"/>
          <w:szCs w:val="32"/>
        </w:rPr>
        <w:t>各县区</w:t>
      </w:r>
      <w:r>
        <w:rPr>
          <w:rFonts w:hint="default" w:ascii="Times New Roman" w:hAnsi="Times New Roman" w:eastAsia="方正仿宋_GBK" w:cs="Times New Roman"/>
          <w:sz w:val="32"/>
          <w:szCs w:val="32"/>
          <w:lang w:val="en-US" w:eastAsia="zh-CN"/>
        </w:rPr>
        <w:t>（园区）</w:t>
      </w:r>
      <w:r>
        <w:rPr>
          <w:rFonts w:hint="default" w:ascii="Times New Roman" w:hAnsi="Times New Roman" w:eastAsia="方正仿宋_GBK" w:cs="Times New Roman"/>
          <w:sz w:val="32"/>
          <w:szCs w:val="32"/>
        </w:rPr>
        <w:t>、各有关部门要立即组织动员部署，抓紧制定本辖区、本行业专项整治实施方案，细化工作安排，以严而又严、实而又实的作风认真抓好贯彻落实。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（二）攻坚治理（5月初至6月底）。</w:t>
      </w:r>
      <w:r>
        <w:rPr>
          <w:rFonts w:hint="default" w:ascii="Times New Roman" w:hAnsi="Times New Roman" w:eastAsia="方正仿宋_GBK" w:cs="Times New Roman"/>
          <w:sz w:val="32"/>
          <w:szCs w:val="32"/>
        </w:rPr>
        <w:t>协同开展集中攻坚行动，全面排查治理风险隐患，建立治理台账，明确整治责任人、完成时限、限期整改、动态清零，切实消除燃气管道“带病运行”等问题风险隐患。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（三）巩固提升（7月初至2024年底）。</w:t>
      </w:r>
      <w:r>
        <w:rPr>
          <w:rFonts w:hint="default" w:ascii="Times New Roman" w:hAnsi="Times New Roman" w:eastAsia="方正仿宋_GBK" w:cs="Times New Roman"/>
          <w:sz w:val="32"/>
          <w:szCs w:val="32"/>
        </w:rPr>
        <w:t>在集中攻坚的基础上，建立严进、严管、重罚的城镇燃气市场监管机制，持续提升城镇燃气本质安全水平，推动城镇燃气安全治理模式向事前预防转型，建立健全燃气管道“带病运行”问题治理体系。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（一）加强组织领导。</w:t>
      </w:r>
      <w:r>
        <w:rPr>
          <w:rFonts w:hint="default" w:ascii="Times New Roman" w:hAnsi="Times New Roman" w:eastAsia="方正仿宋_GBK" w:cs="Times New Roman"/>
          <w:sz w:val="32"/>
          <w:szCs w:val="32"/>
        </w:rPr>
        <w:t>各县区</w:t>
      </w:r>
      <w:r>
        <w:rPr>
          <w:rFonts w:hint="default" w:ascii="Times New Roman" w:hAnsi="Times New Roman" w:eastAsia="方正仿宋_GBK" w:cs="Times New Roman"/>
          <w:sz w:val="32"/>
          <w:szCs w:val="32"/>
          <w:lang w:eastAsia="zh-CN"/>
        </w:rPr>
        <w:t>（园区）</w:t>
      </w:r>
      <w:r>
        <w:rPr>
          <w:rFonts w:hint="default" w:ascii="Times New Roman" w:hAnsi="Times New Roman" w:eastAsia="方正仿宋_GBK" w:cs="Times New Roman"/>
          <w:sz w:val="32"/>
          <w:szCs w:val="32"/>
        </w:rPr>
        <w:t>党委、政府要切实加强组织领导，强化底线思维、极限思维，坚持举一反三、标本兼治，坚决杜绝形式主义、不做表面文章。要强化城镇燃气安全专项整治工作专班统筹协调作用，明确责任分工，加强工作指导，切实推进治理工作深入高效开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（二）全面压实责任。</w:t>
      </w:r>
      <w:r>
        <w:rPr>
          <w:rFonts w:hint="default" w:ascii="Times New Roman" w:hAnsi="Times New Roman" w:eastAsia="方正仿宋_GBK" w:cs="Times New Roman"/>
          <w:sz w:val="32"/>
          <w:szCs w:val="32"/>
        </w:rPr>
        <w:t>压紧压实企业主体责任、部门监管责任和地方党政领导责任，党政主要负责人要亲自谋划、亲自部署、亲自推动。建立健全政府统筹、条块协作、各部门齐抓共管的工作格局，进一步压实燃气经营企业安全生产主体责任，落实管道燃气居民用户每年两次、工商用户每月一次入户安检，以及瓶装液化石油气“随瓶安检”的管控措施，构建市、县区（园区）、乡镇（街道）、村（社区）、燃气经营企业全方位立体式燃气安全管控网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（三）落实政策保障。</w:t>
      </w:r>
      <w:r>
        <w:rPr>
          <w:rFonts w:hint="default" w:ascii="Times New Roman" w:hAnsi="Times New Roman" w:eastAsia="方正仿宋_GBK" w:cs="Times New Roman"/>
          <w:sz w:val="32"/>
          <w:szCs w:val="32"/>
        </w:rPr>
        <w:t>坚持城镇燃气经营公用事业属性，加大投入力度，建立城镇燃气管道更新改造资金政府、燃气经营企业合理分担机制。积极争取中央预算内投资、特别国债等政策性资金支持，引导和鼓励开发性、政策性金融机构和商业银行信贷、政府专项债券等对城镇燃气管道更新改造的支持；拓展市场融资渠道，落实相关税费减免政策。引导实施瓶装液化石油气转换管道天然气（“瓶改管”）和改用电能（“气改电”），降低和消除燃气安全风险和事故隐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（四）强化督导检查。</w:t>
      </w:r>
      <w:r>
        <w:rPr>
          <w:rFonts w:hint="default" w:ascii="Times New Roman" w:hAnsi="Times New Roman" w:eastAsia="方正仿宋_GBK" w:cs="Times New Roman"/>
          <w:sz w:val="32"/>
          <w:szCs w:val="32"/>
        </w:rPr>
        <w:t>各县区</w:t>
      </w:r>
      <w:r>
        <w:rPr>
          <w:rFonts w:hint="default" w:ascii="Times New Roman" w:hAnsi="Times New Roman" w:eastAsia="方正仿宋_GBK" w:cs="Times New Roman"/>
          <w:sz w:val="32"/>
          <w:szCs w:val="32"/>
          <w:lang w:eastAsia="zh-CN"/>
        </w:rPr>
        <w:t>（园区）</w:t>
      </w:r>
      <w:r>
        <w:rPr>
          <w:rFonts w:hint="default" w:ascii="Times New Roman" w:hAnsi="Times New Roman" w:eastAsia="方正仿宋_GBK" w:cs="Times New Roman"/>
          <w:sz w:val="32"/>
          <w:szCs w:val="32"/>
        </w:rPr>
        <w:t>党委、政府要建立调度通报、督导评估、督办交办、警示约谈等工作机制，层层压实责任，确保治理工作取得实效。市燃气安全专项整治工作专班要采取“四不两直”等方式，对各地工作开展情况进行明查暗访，并及时通报督查结果。对慢作为不作为、造成恶劣影响等涉嫌失职渎职的领导干部、公职人员，将依法依规严肃追究问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rPr>
        <w:t>（五）加强宣传引导。</w:t>
      </w:r>
      <w:r>
        <w:rPr>
          <w:rFonts w:hint="default" w:ascii="Times New Roman" w:hAnsi="Times New Roman" w:eastAsia="方正仿宋_GBK" w:cs="Times New Roman"/>
          <w:sz w:val="32"/>
          <w:szCs w:val="32"/>
          <w:lang w:eastAsia="zh-CN"/>
        </w:rPr>
        <w:t>用好“案例教育法”，</w:t>
      </w:r>
      <w:r>
        <w:rPr>
          <w:rFonts w:hint="default" w:ascii="Times New Roman" w:hAnsi="Times New Roman" w:eastAsia="方正仿宋_GBK" w:cs="Times New Roman"/>
          <w:sz w:val="32"/>
          <w:szCs w:val="32"/>
        </w:rPr>
        <w:t>充分利用广播电视、新媒体、宣传册、公共宣传栏、社区电子屏等各种宣教资源，积极组织开展燃气安全知识宣传和案例警示教育进小区、进学校等现场宣讲活动，进一步提高广大燃气用户安全用气、防范安全事故发生的能力。要畅通社会举报渠道，公布举报电话，建立问题线索受理、核查、处置机制，让广大群众成为燃气安全的“吹哨人”“信息员”。市安委办、市燃气安全专项整治工作专班办公室要及时总结推广各地在落实安全生产责任、扎实推进排查治理等方面的经验做法，不断提升燃气本质安全水平。</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5"/>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市燃气安全专项整治工作专班办公室：毛顺录、李波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5"/>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联系电话：6655079</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电子邮箱：hncxjw@163.com</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附件：1.燃气企业风险隐患排查整改清单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2.燃气企业风险隐患排查整改统计表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3.城镇燃气使用安全风险隐患排查整改清单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4.城镇燃气执法处罚情况统计表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5.城市燃气管道老化评估情况表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6.燃气厂站和设施老化评估情况表</w:t>
      </w:r>
    </w:p>
    <w:p>
      <w:pPr>
        <w:spacing w:line="560" w:lineRule="exact"/>
      </w:pPr>
    </w:p>
    <w:p>
      <w:pPr>
        <w:pStyle w:val="2"/>
        <w:spacing w:after="0" w:line="560" w:lineRule="exact"/>
      </w:pPr>
    </w:p>
    <w:p>
      <w:pPr>
        <w:pStyle w:val="3"/>
        <w:spacing w:after="0" w:line="560" w:lineRule="exact"/>
        <w:ind w:firstLine="0" w:firstLineChars="0"/>
        <w:rPr>
          <w:lang w:eastAsia="zh-CN"/>
        </w:rPr>
        <w:sectPr>
          <w:footerReference r:id="rId5" w:type="first"/>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pPr>
    </w:p>
    <w:p>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tbl>
      <w:tblPr>
        <w:tblStyle w:val="11"/>
        <w:tblW w:w="139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1305"/>
        <w:gridCol w:w="1392"/>
        <w:gridCol w:w="1390"/>
        <w:gridCol w:w="1390"/>
        <w:gridCol w:w="1390"/>
        <w:gridCol w:w="1390"/>
        <w:gridCol w:w="1391"/>
        <w:gridCol w:w="1390"/>
        <w:gridCol w:w="1390"/>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13920" w:type="dxa"/>
            <w:gridSpan w:val="11"/>
            <w:tcBorders>
              <w:top w:val="nil"/>
              <w:left w:val="nil"/>
              <w:bottom w:val="nil"/>
              <w:right w:val="nil"/>
            </w:tcBorders>
            <w:noWrap/>
            <w:vAlign w:val="center"/>
          </w:tcPr>
          <w:p>
            <w:pPr>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_GBK" w:hAnsi="方正小标宋_GBK" w:eastAsia="方正小标宋_GBK" w:cs="方正小标宋_GBK"/>
                <w:color w:val="000000"/>
                <w:kern w:val="0"/>
                <w:sz w:val="44"/>
                <w:szCs w:val="44"/>
              </w:rPr>
              <w:t>燃气企业风险隐患排查整改清单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342" w:type="dxa"/>
            <w:gridSpan w:val="3"/>
            <w:tcBorders>
              <w:top w:val="nil"/>
              <w:left w:val="nil"/>
              <w:bottom w:val="nil"/>
              <w:right w:val="nil"/>
            </w:tcBorders>
            <w:vAlign w:val="center"/>
          </w:tcPr>
          <w:p>
            <w:pPr>
              <w:spacing w:line="56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填报单位：</w:t>
            </w:r>
          </w:p>
        </w:tc>
        <w:tc>
          <w:tcPr>
            <w:tcW w:w="1390"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1390"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c>
          <w:tcPr>
            <w:tcW w:w="1390"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c>
          <w:tcPr>
            <w:tcW w:w="2781" w:type="dxa"/>
            <w:gridSpan w:val="2"/>
            <w:tcBorders>
              <w:top w:val="nil"/>
              <w:left w:val="nil"/>
              <w:bottom w:val="nil"/>
              <w:right w:val="nil"/>
            </w:tcBorders>
            <w:vAlign w:val="center"/>
          </w:tcPr>
          <w:p>
            <w:pPr>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 xml:space="preserve">         填报时间：</w:t>
            </w:r>
          </w:p>
        </w:tc>
        <w:tc>
          <w:tcPr>
            <w:tcW w:w="1390"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c>
          <w:tcPr>
            <w:tcW w:w="1390"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c>
          <w:tcPr>
            <w:tcW w:w="847"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企业名称</w:t>
            </w:r>
          </w:p>
        </w:tc>
        <w:tc>
          <w:tcPr>
            <w:tcW w:w="139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问题类型</w:t>
            </w:r>
          </w:p>
        </w:tc>
        <w:tc>
          <w:tcPr>
            <w:tcW w:w="13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问题描述</w:t>
            </w:r>
          </w:p>
        </w:tc>
        <w:tc>
          <w:tcPr>
            <w:tcW w:w="13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排查人</w:t>
            </w:r>
          </w:p>
        </w:tc>
        <w:tc>
          <w:tcPr>
            <w:tcW w:w="13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排查时间</w:t>
            </w:r>
          </w:p>
        </w:tc>
        <w:tc>
          <w:tcPr>
            <w:tcW w:w="13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整改措施</w:t>
            </w:r>
          </w:p>
        </w:tc>
        <w:tc>
          <w:tcPr>
            <w:tcW w:w="139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整改责任人</w:t>
            </w:r>
          </w:p>
        </w:tc>
        <w:tc>
          <w:tcPr>
            <w:tcW w:w="13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整改时限</w:t>
            </w:r>
          </w:p>
        </w:tc>
        <w:tc>
          <w:tcPr>
            <w:tcW w:w="139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是否完成整改</w:t>
            </w:r>
          </w:p>
        </w:tc>
        <w:tc>
          <w:tcPr>
            <w:tcW w:w="8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c>
          <w:tcPr>
            <w:tcW w:w="84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20" w:type="dxa"/>
            <w:gridSpan w:val="11"/>
            <w:tcBorders>
              <w:top w:val="nil"/>
              <w:left w:val="nil"/>
              <w:bottom w:val="nil"/>
              <w:right w:val="nil"/>
            </w:tcBorders>
            <w:vAlign w:val="center"/>
          </w:tcPr>
          <w:p>
            <w:pPr>
              <w:spacing w:line="560" w:lineRule="exact"/>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备注：问题类型包括被占压，穿越密闭空间，管龄超过20年，灰口铸铁管、球墨铸铁管等材质落后，路面沉降，涉及燃气管道第三方施工，超设计运行年限，安全间距不足，临近人员密集区域，地质灾害风险。</w:t>
            </w:r>
          </w:p>
        </w:tc>
      </w:tr>
    </w:tbl>
    <w:p>
      <w:pPr>
        <w:spacing w:line="560" w:lineRule="exact"/>
        <w:sectPr>
          <w:pgSz w:w="16838" w:h="11906" w:orient="landscape"/>
          <w:pgMar w:top="2098" w:right="1474" w:bottom="1985" w:left="1588" w:header="851" w:footer="992" w:gutter="0"/>
          <w:pgNumType w:fmt="numberInDash"/>
          <w:cols w:space="720" w:num="1"/>
          <w:docGrid w:type="lines" w:linePitch="312" w:charSpace="0"/>
        </w:sectPr>
      </w:pPr>
    </w:p>
    <w:tbl>
      <w:tblPr>
        <w:tblStyle w:val="11"/>
        <w:tblpPr w:leftFromText="180" w:rightFromText="180" w:vertAnchor="text" w:horzAnchor="page" w:tblpX="1447" w:tblpY="559"/>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
        <w:gridCol w:w="719"/>
        <w:gridCol w:w="475"/>
        <w:gridCol w:w="588"/>
        <w:gridCol w:w="586"/>
        <w:gridCol w:w="672"/>
        <w:gridCol w:w="672"/>
        <w:gridCol w:w="672"/>
        <w:gridCol w:w="673"/>
        <w:gridCol w:w="673"/>
        <w:gridCol w:w="673"/>
        <w:gridCol w:w="673"/>
        <w:gridCol w:w="673"/>
        <w:gridCol w:w="673"/>
        <w:gridCol w:w="673"/>
        <w:gridCol w:w="673"/>
        <w:gridCol w:w="673"/>
        <w:gridCol w:w="673"/>
        <w:gridCol w:w="673"/>
        <w:gridCol w:w="673"/>
        <w:gridCol w:w="673"/>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4174" w:type="dxa"/>
            <w:gridSpan w:val="22"/>
            <w:tcBorders>
              <w:top w:val="nil"/>
              <w:left w:val="nil"/>
              <w:bottom w:val="nil"/>
              <w:right w:val="nil"/>
            </w:tcBorders>
            <w:noWrap/>
            <w:vAlign w:val="center"/>
          </w:tcPr>
          <w:p>
            <w:pPr>
              <w:spacing w:line="560" w:lineRule="exact"/>
              <w:textAlignment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_GBK" w:hAnsi="方正小标宋_GBK" w:eastAsia="方正小标宋_GBK" w:cs="方正小标宋_GBK"/>
                <w:color w:val="000000"/>
                <w:kern w:val="0"/>
                <w:sz w:val="44"/>
                <w:szCs w:val="44"/>
              </w:rPr>
              <w:t>燃气企业风险隐患排查整改统计表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62" w:type="dxa"/>
            <w:gridSpan w:val="3"/>
            <w:tcBorders>
              <w:top w:val="nil"/>
              <w:left w:val="nil"/>
              <w:bottom w:val="nil"/>
              <w:right w:val="nil"/>
            </w:tcBorders>
            <w:vAlign w:val="center"/>
          </w:tcPr>
          <w:p>
            <w:pPr>
              <w:spacing w:line="56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填报单位：</w:t>
            </w:r>
          </w:p>
        </w:tc>
        <w:tc>
          <w:tcPr>
            <w:tcW w:w="588"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586"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672"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672"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672"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673"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673" w:type="dxa"/>
            <w:tcBorders>
              <w:top w:val="nil"/>
              <w:left w:val="nil"/>
              <w:bottom w:val="nil"/>
              <w:right w:val="nil"/>
            </w:tcBorders>
            <w:vAlign w:val="center"/>
          </w:tcPr>
          <w:p>
            <w:pPr>
              <w:spacing w:line="560" w:lineRule="exact"/>
              <w:jc w:val="center"/>
              <w:rPr>
                <w:rFonts w:hint="eastAsia" w:ascii="仿宋" w:hAnsi="仿宋" w:eastAsia="仿宋" w:cs="仿宋"/>
                <w:color w:val="000000"/>
                <w:sz w:val="24"/>
              </w:rPr>
            </w:pPr>
          </w:p>
        </w:tc>
        <w:tc>
          <w:tcPr>
            <w:tcW w:w="8076" w:type="dxa"/>
            <w:gridSpan w:val="12"/>
            <w:tcBorders>
              <w:top w:val="nil"/>
              <w:left w:val="nil"/>
              <w:bottom w:val="nil"/>
              <w:right w:val="nil"/>
            </w:tcBorders>
            <w:vAlign w:val="center"/>
          </w:tcPr>
          <w:p>
            <w:pPr>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填报时间：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68" w:type="dxa"/>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企业名称</w:t>
            </w:r>
          </w:p>
        </w:tc>
        <w:tc>
          <w:tcPr>
            <w:tcW w:w="7703" w:type="dxa"/>
            <w:gridSpan w:val="1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燃气管道</w:t>
            </w:r>
          </w:p>
        </w:tc>
        <w:tc>
          <w:tcPr>
            <w:tcW w:w="5384"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燃气场站和设施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368" w:type="dxa"/>
            <w:vMerge w:val="continue"/>
            <w:tcBorders>
              <w:top w:val="single" w:color="000000" w:sz="4" w:space="0"/>
              <w:left w:val="single" w:color="000000" w:sz="4" w:space="0"/>
              <w:bottom w:val="single" w:color="000000" w:sz="4" w:space="0"/>
              <w:right w:val="single" w:color="000000" w:sz="4" w:space="0"/>
            </w:tcBorders>
            <w:vAlign w:val="center"/>
          </w:tc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tc>
        <w:tc>
          <w:tcPr>
            <w:tcW w:w="106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被占压（处）</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穿越密闭空间（处））</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管龄超过20年（公里）</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灰口铸铁管、球墨铸铁管等材质落后（公里）</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路面沉降（处）</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涉及燃气管道第三方施工（个）</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超设计运行年限（个）</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安全间距不足（处）</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临近人员密集区域（处）</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地质灾害风险（处）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68" w:type="dxa"/>
            <w:vMerge w:val="continue"/>
            <w:tcBorders>
              <w:top w:val="single" w:color="000000" w:sz="4" w:space="0"/>
              <w:left w:val="single" w:color="000000" w:sz="4" w:space="0"/>
              <w:bottom w:val="single" w:color="000000" w:sz="4" w:space="0"/>
              <w:right w:val="single" w:color="000000" w:sz="4" w:space="0"/>
            </w:tcBorders>
            <w:vAlign w:val="center"/>
          </w:tc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tc>
        <w:tc>
          <w:tcPr>
            <w:tcW w:w="47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586"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排查数</w:t>
            </w: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sz w:val="24"/>
              </w:rPr>
            </w:pPr>
          </w:p>
        </w:tc>
      </w:tr>
    </w:tbl>
    <w:p>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tbl>
      <w:tblPr>
        <w:tblStyle w:val="11"/>
        <w:tblW w:w="139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
        <w:gridCol w:w="732"/>
        <w:gridCol w:w="812"/>
        <w:gridCol w:w="764"/>
        <w:gridCol w:w="684"/>
        <w:gridCol w:w="732"/>
        <w:gridCol w:w="537"/>
        <w:gridCol w:w="763"/>
        <w:gridCol w:w="619"/>
        <w:gridCol w:w="683"/>
        <w:gridCol w:w="1024"/>
        <w:gridCol w:w="964"/>
        <w:gridCol w:w="575"/>
        <w:gridCol w:w="575"/>
        <w:gridCol w:w="637"/>
        <w:gridCol w:w="588"/>
        <w:gridCol w:w="620"/>
        <w:gridCol w:w="755"/>
        <w:gridCol w:w="59"/>
        <w:gridCol w:w="723"/>
        <w:gridCol w:w="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13926" w:type="dxa"/>
            <w:gridSpan w:val="21"/>
            <w:tcBorders>
              <w:top w:val="nil"/>
              <w:left w:val="nil"/>
              <w:bottom w:val="nil"/>
              <w:right w:val="nil"/>
            </w:tcBorders>
            <w:vAlign w:val="center"/>
          </w:tcPr>
          <w:p>
            <w:pPr>
              <w:spacing w:line="560" w:lineRule="exact"/>
              <w:jc w:val="center"/>
              <w:textAlignment w:val="center"/>
              <w:rPr>
                <w:rFonts w:ascii="方正小标宋简体" w:hAnsi="方正小标宋简体" w:eastAsia="方正小标宋简体" w:cs="方正小标宋简体"/>
                <w:color w:val="000000"/>
                <w:sz w:val="40"/>
                <w:szCs w:val="40"/>
              </w:rPr>
            </w:pPr>
            <w:r>
              <w:rPr>
                <w:rFonts w:hint="eastAsia" w:ascii="方正小标宋_GBK" w:hAnsi="方正小标宋_GBK" w:eastAsia="方正小标宋_GBK" w:cs="方正小标宋_GBK"/>
                <w:color w:val="000000"/>
                <w:kern w:val="0"/>
                <w:sz w:val="44"/>
                <w:szCs w:val="44"/>
              </w:rPr>
              <w:t>城镇燃气使用安全风险隐患排查整改清单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529" w:type="dxa"/>
            <w:gridSpan w:val="5"/>
            <w:tcBorders>
              <w:top w:val="nil"/>
              <w:left w:val="nil"/>
              <w:bottom w:val="nil"/>
              <w:right w:val="nil"/>
            </w:tcBorders>
            <w:vAlign w:val="center"/>
          </w:tcPr>
          <w:p>
            <w:pPr>
              <w:spacing w:line="560" w:lineRule="exact"/>
              <w:jc w:val="left"/>
              <w:textAlignment w:val="center"/>
              <w:rPr>
                <w:rFonts w:ascii="仿宋" w:hAnsi="仿宋" w:eastAsia="仿宋" w:cs="仿宋"/>
                <w:color w:val="000000"/>
                <w:sz w:val="24"/>
              </w:rPr>
            </w:pPr>
            <w:r>
              <w:rPr>
                <w:rFonts w:hint="eastAsia" w:ascii="仿宋" w:hAnsi="仿宋" w:eastAsia="仿宋" w:cs="仿宋"/>
                <w:color w:val="000000"/>
                <w:kern w:val="0"/>
                <w:sz w:val="24"/>
              </w:rPr>
              <w:t>填报单位：</w:t>
            </w:r>
          </w:p>
        </w:tc>
        <w:tc>
          <w:tcPr>
            <w:tcW w:w="732"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537"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763"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619"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683"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1024"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964"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2375" w:type="dxa"/>
            <w:gridSpan w:val="4"/>
            <w:tcBorders>
              <w:top w:val="nil"/>
              <w:left w:val="nil"/>
              <w:bottom w:val="nil"/>
              <w:right w:val="nil"/>
            </w:tcBorders>
            <w:vAlign w:val="center"/>
          </w:tcPr>
          <w:p>
            <w:pPr>
              <w:spacing w:line="56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填报时间：</w:t>
            </w:r>
          </w:p>
        </w:tc>
        <w:tc>
          <w:tcPr>
            <w:tcW w:w="620" w:type="dxa"/>
            <w:tcBorders>
              <w:top w:val="nil"/>
              <w:left w:val="nil"/>
              <w:bottom w:val="nil"/>
              <w:right w:val="nil"/>
            </w:tcBorders>
            <w:vAlign w:val="center"/>
          </w:tcPr>
          <w:p>
            <w:pPr>
              <w:spacing w:line="560" w:lineRule="exact"/>
              <w:rPr>
                <w:rFonts w:hint="eastAsia" w:ascii="黑体" w:hAnsi="宋体" w:eastAsia="黑体" w:cs="黑体"/>
                <w:color w:val="000000"/>
                <w:sz w:val="24"/>
              </w:rPr>
            </w:pPr>
          </w:p>
        </w:tc>
        <w:tc>
          <w:tcPr>
            <w:tcW w:w="814" w:type="dxa"/>
            <w:gridSpan w:val="2"/>
            <w:tcBorders>
              <w:top w:val="nil"/>
              <w:left w:val="nil"/>
              <w:bottom w:val="nil"/>
              <w:right w:val="nil"/>
            </w:tcBorders>
            <w:vAlign w:val="center"/>
          </w:tcPr>
          <w:p>
            <w:pPr>
              <w:spacing w:line="560" w:lineRule="exact"/>
              <w:rPr>
                <w:rFonts w:hint="eastAsia" w:ascii="仿宋" w:hAnsi="仿宋" w:eastAsia="仿宋" w:cs="仿宋"/>
                <w:color w:val="000000"/>
                <w:sz w:val="24"/>
              </w:rPr>
            </w:pPr>
          </w:p>
        </w:tc>
        <w:tc>
          <w:tcPr>
            <w:tcW w:w="723"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c>
          <w:tcPr>
            <w:tcW w:w="543" w:type="dxa"/>
            <w:tcBorders>
              <w:top w:val="nil"/>
              <w:left w:val="nil"/>
              <w:bottom w:val="nil"/>
              <w:right w:val="nil"/>
            </w:tcBorders>
            <w:vAlign w:val="center"/>
          </w:tcPr>
          <w:p>
            <w:pPr>
              <w:spacing w:line="560" w:lineRule="exact"/>
              <w:rPr>
                <w:rFonts w:hint="eastAsia" w:ascii="仿宋" w:hAnsi="仿宋" w:eastAsia="仿宋" w:cs="仿宋"/>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序号</w:t>
            </w:r>
          </w:p>
        </w:tc>
        <w:tc>
          <w:tcPr>
            <w:tcW w:w="4261"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燃气用户信息</w:t>
            </w:r>
          </w:p>
        </w:tc>
        <w:tc>
          <w:tcPr>
            <w:tcW w:w="4628"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隐患排查信息</w:t>
            </w:r>
          </w:p>
        </w:tc>
        <w:tc>
          <w:tcPr>
            <w:tcW w:w="3957" w:type="dxa"/>
            <w:gridSpan w:val="7"/>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隐患整改信息</w:t>
            </w:r>
          </w:p>
        </w:tc>
        <w:tc>
          <w:tcPr>
            <w:tcW w:w="5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7" w:type="dxa"/>
            <w:vMerge w:val="continue"/>
            <w:tcBorders>
              <w:top w:val="single" w:color="000000" w:sz="4" w:space="0"/>
              <w:left w:val="single" w:color="000000" w:sz="4" w:space="0"/>
              <w:bottom w:val="single" w:color="000000" w:sz="4" w:space="0"/>
              <w:right w:val="single" w:color="000000" w:sz="4" w:space="0"/>
            </w:tcBorders>
            <w:vAlign w:val="center"/>
          </w:tcPr>
          <w:p/>
        </w:tc>
        <w:tc>
          <w:tcPr>
            <w:tcW w:w="732"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燃气用户名称</w:t>
            </w:r>
          </w:p>
        </w:tc>
        <w:tc>
          <w:tcPr>
            <w:tcW w:w="157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用户类型</w:t>
            </w:r>
          </w:p>
        </w:tc>
        <w:tc>
          <w:tcPr>
            <w:tcW w:w="1416"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燃气种类</w:t>
            </w:r>
          </w:p>
        </w:tc>
        <w:tc>
          <w:tcPr>
            <w:tcW w:w="537"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地址</w:t>
            </w:r>
          </w:p>
        </w:tc>
        <w:tc>
          <w:tcPr>
            <w:tcW w:w="4628"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安全隐患问题</w:t>
            </w:r>
          </w:p>
        </w:tc>
        <w:tc>
          <w:tcPr>
            <w:tcW w:w="575" w:type="dxa"/>
            <w:vMerge w:val="restart"/>
            <w:tcBorders>
              <w:top w:val="single" w:color="000000" w:sz="4" w:space="0"/>
              <w:left w:val="single" w:color="000000" w:sz="4" w:space="0"/>
              <w:bottom w:val="single" w:color="000000" w:sz="4" w:space="0"/>
              <w:right w:val="single" w:color="auto"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sz w:val="24"/>
              </w:rPr>
              <w:t>排查</w:t>
            </w:r>
            <w:r>
              <w:rPr>
                <w:rFonts w:hint="eastAsia" w:ascii="黑体" w:hAnsi="宋体" w:eastAsia="黑体" w:cs="黑体"/>
                <w:color w:val="000000"/>
                <w:kern w:val="0"/>
                <w:sz w:val="24"/>
              </w:rPr>
              <w:t>责任</w:t>
            </w:r>
            <w:r>
              <w:rPr>
                <w:rFonts w:hint="eastAsia" w:ascii="黑体" w:hAnsi="宋体" w:eastAsia="黑体" w:cs="黑体"/>
                <w:color w:val="000000"/>
                <w:sz w:val="24"/>
              </w:rPr>
              <w:t>人</w:t>
            </w:r>
          </w:p>
        </w:tc>
        <w:tc>
          <w:tcPr>
            <w:tcW w:w="637" w:type="dxa"/>
            <w:vMerge w:val="restart"/>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kern w:val="0"/>
                <w:sz w:val="24"/>
              </w:rPr>
            </w:pPr>
            <w:r>
              <w:rPr>
                <w:rFonts w:hint="eastAsia" w:ascii="黑体" w:hAnsi="宋体" w:eastAsia="黑体" w:cs="黑体"/>
                <w:color w:val="000000"/>
                <w:kern w:val="0"/>
                <w:sz w:val="24"/>
              </w:rPr>
              <w:t>整改标准</w:t>
            </w:r>
          </w:p>
        </w:tc>
        <w:tc>
          <w:tcPr>
            <w:tcW w:w="588"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整改时限</w:t>
            </w:r>
          </w:p>
        </w:tc>
        <w:tc>
          <w:tcPr>
            <w:tcW w:w="62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整改责任人</w:t>
            </w:r>
          </w:p>
        </w:tc>
        <w:tc>
          <w:tcPr>
            <w:tcW w:w="75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责任人单位、联系电话</w:t>
            </w:r>
          </w:p>
        </w:tc>
        <w:tc>
          <w:tcPr>
            <w:tcW w:w="78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隐患是否消除</w:t>
            </w:r>
          </w:p>
        </w:tc>
        <w:tc>
          <w:tcPr>
            <w:tcW w:w="543" w:type="dxa"/>
            <w:vMerge w:val="restart"/>
            <w:tcBorders>
              <w:top w:val="single" w:color="000000" w:sz="4" w:space="0"/>
              <w:left w:val="single" w:color="000000" w:sz="4" w:space="0"/>
              <w:right w:val="single" w:color="000000" w:sz="4" w:space="0"/>
            </w:tcBorders>
            <w:vAlign w:val="center"/>
          </w:tcPr>
          <w:p>
            <w:pPr>
              <w:spacing w:line="300" w:lineRule="exact"/>
              <w:jc w:val="center"/>
              <w:rPr>
                <w:rFonts w:hint="eastAsia" w:ascii="黑体" w:hAnsi="宋体" w:eastAsia="黑体" w:cs="黑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537" w:type="dxa"/>
            <w:vMerge w:val="continue"/>
            <w:tcBorders>
              <w:top w:val="single" w:color="000000" w:sz="4" w:space="0"/>
              <w:left w:val="single" w:color="000000" w:sz="4" w:space="0"/>
              <w:bottom w:val="single" w:color="000000" w:sz="4" w:space="0"/>
              <w:right w:val="single" w:color="000000" w:sz="4" w:space="0"/>
            </w:tcBorders>
            <w:vAlign w:val="center"/>
          </w:tc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tc>
        <w:tc>
          <w:tcPr>
            <w:tcW w:w="8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工商业用户</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居民用户</w:t>
            </w:r>
          </w:p>
        </w:tc>
        <w:tc>
          <w:tcPr>
            <w:tcW w:w="68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管道天然气</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液化石油气</w:t>
            </w: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tc>
        <w:tc>
          <w:tcPr>
            <w:tcW w:w="7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用气场所隐患</w:t>
            </w:r>
          </w:p>
        </w:tc>
        <w:tc>
          <w:tcPr>
            <w:tcW w:w="61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钢瓶隐患</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灶具隐患</w:t>
            </w: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软管、阀门等配件隐患</w:t>
            </w: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是否安装及规范使用燃气报警器</w:t>
            </w: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rPr>
              <w:t>其它隐患</w:t>
            </w:r>
          </w:p>
        </w:tc>
        <w:tc>
          <w:tcPr>
            <w:tcW w:w="575" w:type="dxa"/>
            <w:vMerge w:val="continue"/>
            <w:tcBorders>
              <w:top w:val="single" w:color="000000" w:sz="4" w:space="0"/>
              <w:left w:val="single" w:color="000000" w:sz="4" w:space="0"/>
              <w:bottom w:val="single" w:color="000000" w:sz="4" w:space="0"/>
              <w:right w:val="single" w:color="auto" w:sz="4" w:space="0"/>
            </w:tcBorders>
            <w:vAlign w:val="center"/>
          </w:tcPr>
          <w:p/>
        </w:tc>
        <w:tc>
          <w:tcPr>
            <w:tcW w:w="637" w:type="dxa"/>
            <w:vMerge w:val="continue"/>
            <w:tcBorders>
              <w:top w:val="single" w:color="000000" w:sz="4" w:space="0"/>
              <w:left w:val="single" w:color="auto" w:sz="4" w:space="0"/>
              <w:bottom w:val="single" w:color="000000" w:sz="4" w:space="0"/>
              <w:right w:val="single" w:color="000000" w:sz="4" w:space="0"/>
            </w:tcBorders>
            <w:vAlign w:val="center"/>
          </w:tcPr>
          <w:p/>
        </w:tc>
        <w:tc>
          <w:tcPr>
            <w:tcW w:w="588" w:type="dxa"/>
            <w:vMerge w:val="continue"/>
            <w:tcBorders>
              <w:top w:val="single" w:color="000000" w:sz="4" w:space="0"/>
              <w:left w:val="single" w:color="000000" w:sz="4" w:space="0"/>
              <w:bottom w:val="single" w:color="000000" w:sz="4" w:space="0"/>
              <w:right w:val="single" w:color="000000" w:sz="4" w:space="0"/>
            </w:tcBorders>
            <w:vAlign w:val="center"/>
          </w:tcPr>
          <w:p/>
        </w:tc>
        <w:tc>
          <w:tcPr>
            <w:tcW w:w="620" w:type="dxa"/>
            <w:vMerge w:val="continue"/>
            <w:tcBorders>
              <w:top w:val="single" w:color="000000" w:sz="4" w:space="0"/>
              <w:left w:val="single" w:color="000000" w:sz="4" w:space="0"/>
              <w:bottom w:val="single" w:color="000000" w:sz="4" w:space="0"/>
              <w:right w:val="single" w:color="000000" w:sz="4" w:space="0"/>
            </w:tcBorders>
            <w:vAlign w:val="center"/>
          </w:tc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tc>
        <w:tc>
          <w:tcPr>
            <w:tcW w:w="782"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543"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1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000000"/>
                <w:sz w:val="24"/>
              </w:rPr>
            </w:pPr>
          </w:p>
        </w:tc>
        <w:tc>
          <w:tcPr>
            <w:tcW w:w="637"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82"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1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000000"/>
                <w:sz w:val="24"/>
              </w:rPr>
            </w:pPr>
          </w:p>
        </w:tc>
        <w:tc>
          <w:tcPr>
            <w:tcW w:w="637"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82"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1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000000"/>
                <w:sz w:val="24"/>
              </w:rPr>
            </w:pPr>
          </w:p>
        </w:tc>
        <w:tc>
          <w:tcPr>
            <w:tcW w:w="637"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82"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1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000000"/>
                <w:sz w:val="24"/>
              </w:rPr>
            </w:pPr>
          </w:p>
        </w:tc>
        <w:tc>
          <w:tcPr>
            <w:tcW w:w="637"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82"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81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3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19"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75" w:type="dxa"/>
            <w:tcBorders>
              <w:top w:val="single" w:color="000000" w:sz="4" w:space="0"/>
              <w:left w:val="single" w:color="000000" w:sz="4" w:space="0"/>
              <w:bottom w:val="single" w:color="000000" w:sz="4" w:space="0"/>
              <w:right w:val="single" w:color="auto" w:sz="4" w:space="0"/>
            </w:tcBorders>
            <w:vAlign w:val="center"/>
          </w:tcPr>
          <w:p>
            <w:pPr>
              <w:spacing w:line="560" w:lineRule="exact"/>
              <w:jc w:val="center"/>
              <w:rPr>
                <w:rFonts w:hint="eastAsia" w:ascii="仿宋" w:hAnsi="仿宋" w:eastAsia="仿宋" w:cs="仿宋"/>
                <w:color w:val="000000"/>
                <w:sz w:val="24"/>
              </w:rPr>
            </w:pPr>
          </w:p>
        </w:tc>
        <w:tc>
          <w:tcPr>
            <w:tcW w:w="637"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hint="eastAsia" w:ascii="仿宋" w:hAnsi="仿宋" w:eastAsia="仿宋" w:cs="仿宋"/>
                <w:color w:val="000000"/>
                <w:sz w:val="24"/>
              </w:rPr>
            </w:pPr>
          </w:p>
        </w:tc>
        <w:tc>
          <w:tcPr>
            <w:tcW w:w="5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62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5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782" w:type="dxa"/>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c>
          <w:tcPr>
            <w:tcW w:w="5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宋体" w:hAnsi="宋体" w:cs="宋体"/>
                <w:color w:val="000000"/>
                <w:sz w:val="24"/>
              </w:rPr>
            </w:pPr>
          </w:p>
        </w:tc>
      </w:tr>
    </w:tbl>
    <w:p>
      <w:pPr>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城镇燃气执法处罚情况统计表</w:t>
      </w:r>
    </w:p>
    <w:p>
      <w:pPr>
        <w:spacing w:line="560" w:lineRule="exact"/>
        <w:rPr>
          <w:rFonts w:ascii="Times New Roman" w:hAnsi="Times New Roman" w:eastAsia="仿宋_GB2312"/>
          <w:kern w:val="0"/>
          <w:sz w:val="24"/>
        </w:rPr>
      </w:pPr>
      <w:r>
        <w:rPr>
          <w:rFonts w:hint="eastAsia" w:ascii="Times New Roman" w:hAnsi="Times New Roman" w:eastAsia="仿宋_GB2312"/>
          <w:kern w:val="0"/>
          <w:sz w:val="28"/>
          <w:szCs w:val="28"/>
        </w:rPr>
        <w:t>填报单位</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 xml:space="preserve">填报日期： </w:t>
      </w:r>
    </w:p>
    <w:tbl>
      <w:tblPr>
        <w:tblStyle w:val="11"/>
        <w:tblW w:w="15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713"/>
        <w:gridCol w:w="1350"/>
        <w:gridCol w:w="1375"/>
        <w:gridCol w:w="1443"/>
        <w:gridCol w:w="982"/>
        <w:gridCol w:w="1250"/>
        <w:gridCol w:w="1218"/>
        <w:gridCol w:w="963"/>
        <w:gridCol w:w="800"/>
        <w:gridCol w:w="787"/>
        <w:gridCol w:w="975"/>
        <w:gridCol w:w="1100"/>
        <w:gridCol w:w="761"/>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jc w:val="center"/>
        </w:trPr>
        <w:tc>
          <w:tcPr>
            <w:tcW w:w="602" w:type="dxa"/>
            <w:tcBorders>
              <w:top w:val="single" w:color="000000" w:sz="4" w:space="0"/>
              <w:left w:val="single" w:color="000000" w:sz="4" w:space="0"/>
              <w:right w:val="single" w:color="000000" w:sz="4" w:space="0"/>
            </w:tcBorders>
            <w:noWrap/>
            <w:vAlign w:val="center"/>
          </w:tcPr>
          <w:p>
            <w:pPr>
              <w:spacing w:line="300" w:lineRule="exact"/>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rPr>
              <w:t>序号</w:t>
            </w:r>
          </w:p>
        </w:tc>
        <w:tc>
          <w:tcPr>
            <w:tcW w:w="713"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执法次数</w:t>
            </w:r>
          </w:p>
          <w:p>
            <w:pPr>
              <w:spacing w:line="300" w:lineRule="exact"/>
              <w:jc w:val="center"/>
              <w:textAlignment w:val="center"/>
              <w:rPr>
                <w:rFonts w:ascii="Times New Roman" w:hAnsi="Times New Roman"/>
                <w:color w:val="000000"/>
                <w:sz w:val="24"/>
              </w:rPr>
            </w:pPr>
            <w:r>
              <w:rPr>
                <w:rFonts w:ascii="Times New Roman" w:hAnsi="Times New Roman"/>
                <w:color w:val="000000"/>
                <w:kern w:val="0"/>
                <w:sz w:val="24"/>
              </w:rPr>
              <w:t>（次）</w:t>
            </w:r>
          </w:p>
        </w:tc>
        <w:tc>
          <w:tcPr>
            <w:tcW w:w="1350"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查处第三方施工损坏燃气管道设施</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p>
            <w:pPr>
              <w:spacing w:line="300" w:lineRule="exact"/>
              <w:jc w:val="center"/>
              <w:textAlignment w:val="center"/>
              <w:rPr>
                <w:rFonts w:ascii="Times New Roman" w:hAnsi="Times New Roman" w:eastAsia="仿宋_GB2312"/>
                <w:color w:val="000000"/>
                <w:sz w:val="24"/>
              </w:rPr>
            </w:pPr>
          </w:p>
        </w:tc>
        <w:tc>
          <w:tcPr>
            <w:tcW w:w="1375"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查处人为蓄意损坏燃气管道设施</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tc>
        <w:tc>
          <w:tcPr>
            <w:tcW w:w="1443"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违规安装燃气管道和设施；改装、损坏用气计量装置</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tc>
        <w:tc>
          <w:tcPr>
            <w:tcW w:w="982" w:type="dxa"/>
            <w:tcBorders>
              <w:top w:val="single" w:color="000000" w:sz="4" w:space="0"/>
              <w:left w:val="nil"/>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偷盗气</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p>
            <w:pPr>
              <w:spacing w:line="300" w:lineRule="exact"/>
              <w:jc w:val="center"/>
              <w:textAlignment w:val="center"/>
              <w:rPr>
                <w:rFonts w:ascii="Times New Roman" w:hAnsi="Times New Roman" w:eastAsia="仿宋_GB2312"/>
                <w:color w:val="000000"/>
                <w:sz w:val="24"/>
              </w:rPr>
            </w:pPr>
          </w:p>
        </w:tc>
        <w:tc>
          <w:tcPr>
            <w:tcW w:w="1250"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查处生产销售不合格燃气具及配件</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tc>
        <w:tc>
          <w:tcPr>
            <w:tcW w:w="1218"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查处充装非自有气瓶、不合格气瓶等</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tc>
        <w:tc>
          <w:tcPr>
            <w:tcW w:w="963"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查处“黑窝点”</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处罚（起）</w:t>
            </w:r>
          </w:p>
        </w:tc>
        <w:tc>
          <w:tcPr>
            <w:tcW w:w="800"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查处“黑瓶”</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（只）</w:t>
            </w:r>
          </w:p>
        </w:tc>
        <w:tc>
          <w:tcPr>
            <w:tcW w:w="787"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总共处罚金额</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（元）</w:t>
            </w:r>
          </w:p>
        </w:tc>
        <w:tc>
          <w:tcPr>
            <w:tcW w:w="975"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关停燃气经营企业</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（家）</w:t>
            </w:r>
          </w:p>
        </w:tc>
        <w:tc>
          <w:tcPr>
            <w:tcW w:w="1100"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吊销燃气经营（充装）许可证企业</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（家）</w:t>
            </w:r>
          </w:p>
        </w:tc>
        <w:tc>
          <w:tcPr>
            <w:tcW w:w="761" w:type="dxa"/>
            <w:tcBorders>
              <w:top w:val="single" w:color="000000" w:sz="4" w:space="0"/>
              <w:left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治安拘留</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（人）</w:t>
            </w:r>
          </w:p>
        </w:tc>
        <w:tc>
          <w:tcPr>
            <w:tcW w:w="69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刑事拘留</w:t>
            </w:r>
          </w:p>
          <w:p>
            <w:pPr>
              <w:spacing w:line="300" w:lineRule="exact"/>
              <w:jc w:val="center"/>
              <w:textAlignment w:val="center"/>
              <w:rPr>
                <w:rFonts w:ascii="Times New Roman" w:hAnsi="Times New Roman" w:eastAsia="仿宋_GB2312"/>
                <w:color w:val="000000"/>
                <w:sz w:val="24"/>
              </w:rPr>
            </w:pPr>
            <w:r>
              <w:rPr>
                <w:rFonts w:ascii="Times New Roman" w:hAnsi="Times New Roman" w:eastAsia="仿宋_GB2312"/>
                <w:color w:val="000000"/>
                <w:kern w:val="0"/>
                <w:sz w:val="24"/>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textAlignment w:val="center"/>
              <w:rPr>
                <w:rFonts w:ascii="Times New Roman" w:hAnsi="Times New Roman"/>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4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800" w:type="dxa"/>
            <w:tcBorders>
              <w:top w:val="single" w:color="auto" w:sz="4" w:space="0"/>
              <w:left w:val="single" w:color="000000" w:sz="4" w:space="0"/>
              <w:bottom w:val="single" w:color="auto"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76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textAlignment w:val="center"/>
              <w:rPr>
                <w:rFonts w:ascii="Times New Roman" w:hAnsi="Times New Roman"/>
                <w:color w:val="000000"/>
                <w:kern w:val="0"/>
                <w:sz w:val="18"/>
                <w:szCs w:val="18"/>
              </w:rPr>
            </w:pP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4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800" w:type="dxa"/>
            <w:tcBorders>
              <w:top w:val="single" w:color="auto" w:sz="4" w:space="0"/>
              <w:left w:val="single" w:color="000000" w:sz="4" w:space="0"/>
              <w:bottom w:val="single" w:color="auto"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76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textAlignment w:val="center"/>
              <w:rPr>
                <w:rFonts w:ascii="Times New Roman" w:hAnsi="Times New Roman"/>
                <w:color w:val="000000"/>
                <w:kern w:val="0"/>
                <w:sz w:val="18"/>
                <w:szCs w:val="18"/>
              </w:rPr>
            </w:pPr>
          </w:p>
        </w:tc>
        <w:tc>
          <w:tcPr>
            <w:tcW w:w="71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44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800" w:type="dxa"/>
            <w:tcBorders>
              <w:top w:val="single" w:color="auto"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78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76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697"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ascii="Times New Roman" w:hAnsi="Times New Roman"/>
                <w:color w:val="000000"/>
                <w:sz w:val="18"/>
                <w:szCs w:val="18"/>
              </w:rPr>
            </w:pPr>
          </w:p>
        </w:tc>
      </w:tr>
    </w:tbl>
    <w:p>
      <w:pPr>
        <w:pStyle w:val="3"/>
        <w:spacing w:after="0" w:line="560" w:lineRule="exact"/>
        <w:ind w:firstLine="0" w:firstLineChars="0"/>
        <w:sectPr>
          <w:pgSz w:w="16838" w:h="11906" w:orient="landscape"/>
          <w:pgMar w:top="2098" w:right="1474" w:bottom="1985" w:left="1588" w:header="851" w:footer="992" w:gutter="0"/>
          <w:pgNumType w:fmt="numberInDash"/>
          <w:cols w:space="720" w:num="1"/>
          <w:docGrid w:type="lines" w:linePitch="312" w:charSpace="0"/>
        </w:sectPr>
      </w:pPr>
    </w:p>
    <w:p>
      <w:pPr>
        <w:pStyle w:val="2"/>
        <w:spacing w:after="0" w:line="560" w:lineRule="exact"/>
        <w:rPr>
          <w:rFonts w:hint="eastAsia" w:ascii="黑体" w:hAnsi="黑体" w:eastAsia="黑体" w:cs="黑体"/>
          <w:sz w:val="32"/>
          <w:szCs w:val="32"/>
        </w:rPr>
      </w:pPr>
      <w:r>
        <w:rPr>
          <w:rFonts w:hint="eastAsia" w:ascii="黑体" w:hAnsi="黑体" w:eastAsia="黑体" w:cs="黑体"/>
          <w:sz w:val="32"/>
          <w:szCs w:val="32"/>
        </w:rPr>
        <w:t>附件5</w:t>
      </w:r>
    </w:p>
    <w:p>
      <w:pPr>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城市燃气管道老化评估情况表</w:t>
      </w:r>
    </w:p>
    <w:tbl>
      <w:tblPr>
        <w:tblStyle w:val="11"/>
        <w:tblW w:w="89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616"/>
        <w:gridCol w:w="2004"/>
        <w:gridCol w:w="57"/>
        <w:gridCol w:w="24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925" w:type="dxa"/>
            <w:gridSpan w:val="5"/>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楷体" w:hAnsi="楷体" w:eastAsia="楷体"/>
                <w:bCs/>
                <w:sz w:val="24"/>
              </w:rPr>
            </w:pPr>
            <w:r>
              <w:rPr>
                <w:rFonts w:hint="eastAsia" w:ascii="宋体" w:hAnsi="宋体" w:cs="宋体"/>
                <w:bCs/>
                <w:sz w:val="28"/>
                <w:szCs w:val="28"/>
              </w:rPr>
              <w:t>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对象简述</w:t>
            </w:r>
          </w:p>
        </w:tc>
        <w:tc>
          <w:tcPr>
            <w:tcW w:w="709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560" w:lineRule="exact"/>
              <w:rPr>
                <w:rFonts w:hint="eastAsia" w:ascii="仿宋_GB2312" w:hAnsi="宋体" w:eastAsia="仿宋_GB2312"/>
                <w:bCs/>
                <w:sz w:val="24"/>
              </w:rPr>
            </w:pPr>
            <w:r>
              <w:rPr>
                <w:rFonts w:hint="eastAsia" w:ascii="仿宋_GB2312" w:hAnsi="宋体" w:eastAsia="仿宋_GB2312"/>
                <w:bCs/>
                <w:sz w:val="24"/>
              </w:rPr>
              <w:t>（行政区域、起末点位置或小区名称、户数等）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仿宋_GB2312" w:hAnsi="宋体" w:eastAsia="仿宋_GB2312"/>
                <w:bCs/>
                <w:sz w:val="24"/>
              </w:rPr>
              <w:t>管道类型</w:t>
            </w:r>
          </w:p>
        </w:tc>
        <w:tc>
          <w:tcPr>
            <w:tcW w:w="709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560" w:lineRule="exact"/>
              <w:rPr>
                <w:rFonts w:ascii="仿宋_GB2312" w:hAnsi="宋体" w:eastAsia="仿宋_GB2312"/>
                <w:bCs/>
                <w:sz w:val="24"/>
              </w:rPr>
            </w:pPr>
            <w:r>
              <w:rPr>
                <w:rFonts w:hint="eastAsia" w:ascii="仿宋_GB2312" w:hAnsi="宋体" w:eastAsia="仿宋_GB2312"/>
                <w:bCs/>
                <w:sz w:val="24"/>
              </w:rPr>
              <w:t xml:space="preserve">□市政管道            □庭院管道            </w:t>
            </w:r>
            <w:r>
              <w:rPr>
                <w:rFonts w:hint="eastAsia" w:ascii="仿宋_GB2312" w:hAnsi="宋体" w:eastAsia="仿宋_GB2312"/>
                <w:bCs/>
                <w:sz w:val="24"/>
              </w:rPr>
              <w:sym w:font="Wingdings 2" w:char="F0A3"/>
            </w:r>
            <w:r>
              <w:rPr>
                <w:rFonts w:hint="eastAsia" w:ascii="仿宋_GB2312" w:hAnsi="宋体" w:eastAsia="仿宋_GB2312"/>
                <w:bCs/>
                <w:sz w:val="24"/>
              </w:rPr>
              <w:t>立管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介质类型</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长度</w:t>
            </w: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管材类别</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管径</w:t>
            </w: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设计压力</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运行压力</w:t>
            </w: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竣工时间</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仿宋_GB2312" w:hAnsi="宋体" w:eastAsia="仿宋_GB2312"/>
                <w:bCs/>
                <w:sz w:val="24"/>
              </w:rPr>
              <w:t>投运时间</w:t>
            </w: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产权单位</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运营单位</w:t>
            </w: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设计单位</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施工单位</w:t>
            </w: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监理单位</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061" w:type="dxa"/>
            <w:gridSpan w:val="2"/>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2419"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925" w:type="dxa"/>
            <w:gridSpan w:val="5"/>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宋体" w:hAnsi="宋体" w:cs="宋体"/>
                <w:bCs/>
                <w:sz w:val="28"/>
                <w:szCs w:val="28"/>
              </w:rPr>
              <w:t>评估结论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r>
              <w:rPr>
                <w:rFonts w:hint="eastAsia" w:ascii="仿宋_GB2312" w:hAnsi="宋体" w:eastAsia="仿宋_GB2312"/>
                <w:bCs/>
                <w:sz w:val="24"/>
              </w:rPr>
              <w:t>评估结果</w:t>
            </w:r>
          </w:p>
        </w:tc>
        <w:tc>
          <w:tcPr>
            <w:tcW w:w="709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□符合安全运行要求       □落实安全管控措施，可继续运行</w:t>
            </w:r>
          </w:p>
          <w:p>
            <w:pPr>
              <w:snapToGrid w:val="0"/>
              <w:spacing w:line="300" w:lineRule="exact"/>
              <w:jc w:val="left"/>
              <w:rPr>
                <w:rFonts w:ascii="仿宋_GB2312" w:hAnsi="宋体" w:eastAsia="仿宋_GB2312"/>
                <w:bCs/>
                <w:sz w:val="24"/>
              </w:rPr>
            </w:pPr>
            <w:r>
              <w:rPr>
                <w:rFonts w:hint="eastAsia" w:ascii="仿宋_GB2312" w:hAnsi="仿宋_GB2312" w:eastAsia="仿宋_GB2312" w:cs="仿宋_GB2312"/>
                <w:bCs/>
                <w:sz w:val="24"/>
              </w:rPr>
              <w:t>□限期改造               □立即改造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主要问题</w:t>
            </w:r>
          </w:p>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（涉及改造的填写）</w:t>
            </w:r>
          </w:p>
        </w:tc>
        <w:tc>
          <w:tcPr>
            <w:tcW w:w="7096"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□材质落后               □使用年限较长</w:t>
            </w:r>
          </w:p>
          <w:p>
            <w:pPr>
              <w:snapToGrid w:val="0"/>
              <w:spacing w:line="30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□腐蚀泄漏严重           □防腐状况较差</w:t>
            </w:r>
          </w:p>
          <w:p>
            <w:pPr>
              <w:snapToGrid w:val="0"/>
              <w:spacing w:line="30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□建构筑物占压           □处于/临近地质灾害易发区域</w:t>
            </w:r>
          </w:p>
          <w:p>
            <w:pPr>
              <w:snapToGrid w:val="0"/>
              <w:spacing w:line="3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 xml:space="preserve">□处于/临近人员密集区    □其他主要问题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r>
              <w:rPr>
                <w:rFonts w:hint="eastAsia" w:ascii="仿宋_GB2312" w:hAnsi="宋体" w:eastAsia="仿宋_GB2312"/>
                <w:bCs/>
                <w:sz w:val="24"/>
              </w:rPr>
              <w:t>落实安全管控措施</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（根据评估结果填写）</w:t>
            </w:r>
          </w:p>
        </w:tc>
        <w:tc>
          <w:tcPr>
            <w:tcW w:w="2004"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下次评估时间/限期改造时间</w:t>
            </w:r>
          </w:p>
        </w:tc>
        <w:tc>
          <w:tcPr>
            <w:tcW w:w="2476"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（根据评估结果填写）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评估机构名称</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p>
        </w:tc>
        <w:tc>
          <w:tcPr>
            <w:tcW w:w="2004"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评估机构资质</w:t>
            </w:r>
          </w:p>
        </w:tc>
        <w:tc>
          <w:tcPr>
            <w:tcW w:w="2476"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（企业自行评估可不填）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829"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评估机构</w:t>
            </w:r>
          </w:p>
          <w:p>
            <w:pPr>
              <w:snapToGrid w:val="0"/>
              <w:spacing w:line="300" w:lineRule="exact"/>
              <w:jc w:val="center"/>
              <w:rPr>
                <w:rFonts w:ascii="仿宋_GB2312" w:hAnsi="宋体" w:eastAsia="仿宋_GB2312"/>
                <w:bCs/>
                <w:sz w:val="24"/>
              </w:rPr>
            </w:pPr>
            <w:r>
              <w:rPr>
                <w:rFonts w:hint="eastAsia" w:ascii="仿宋_GB2312" w:hAnsi="宋体" w:eastAsia="仿宋_GB2312"/>
                <w:bCs/>
                <w:sz w:val="24"/>
              </w:rPr>
              <w:t>负责人</w:t>
            </w:r>
          </w:p>
        </w:tc>
        <w:tc>
          <w:tcPr>
            <w:tcW w:w="2616"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p>
        </w:tc>
        <w:tc>
          <w:tcPr>
            <w:tcW w:w="2004"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评估项目</w:t>
            </w:r>
          </w:p>
          <w:p>
            <w:pPr>
              <w:snapToGrid w:val="0"/>
              <w:spacing w:line="300" w:lineRule="exact"/>
              <w:jc w:val="center"/>
              <w:rPr>
                <w:rFonts w:ascii="仿宋_GB2312" w:hAnsi="宋体" w:eastAsia="仿宋_GB2312"/>
                <w:bCs/>
                <w:sz w:val="24"/>
              </w:rPr>
            </w:pPr>
            <w:r>
              <w:rPr>
                <w:rFonts w:hint="eastAsia" w:ascii="仿宋_GB2312" w:hAnsi="宋体" w:eastAsia="仿宋_GB2312"/>
                <w:bCs/>
                <w:sz w:val="24"/>
              </w:rPr>
              <w:t>负责人</w:t>
            </w:r>
          </w:p>
        </w:tc>
        <w:tc>
          <w:tcPr>
            <w:tcW w:w="2476"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p>
        </w:tc>
      </w:tr>
    </w:tbl>
    <w:p>
      <w:pPr>
        <w:spacing w:line="560" w:lineRule="exact"/>
        <w:rPr>
          <w:rFonts w:hint="eastAsia" w:ascii="黑体" w:hAnsi="黑体" w:eastAsia="黑体" w:cs="黑体"/>
          <w:sz w:val="32"/>
          <w:szCs w:val="32"/>
        </w:rPr>
      </w:pPr>
      <w:r>
        <w:rPr>
          <w:rFonts w:hint="eastAsia" w:ascii="黑体" w:hAnsi="黑体" w:eastAsia="黑体" w:cs="黑体"/>
          <w:sz w:val="32"/>
          <w:szCs w:val="32"/>
        </w:rPr>
        <w:t>附件6</w:t>
      </w:r>
    </w:p>
    <w:p>
      <w:pPr>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燃气厂站和设施老化评估情况表</w:t>
      </w:r>
    </w:p>
    <w:tbl>
      <w:tblPr>
        <w:tblStyle w:val="11"/>
        <w:tblW w:w="89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590"/>
        <w:gridCol w:w="1836"/>
        <w:gridCol w:w="2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934" w:type="dxa"/>
            <w:gridSpan w:val="4"/>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楷体" w:hAnsi="楷体" w:eastAsia="楷体"/>
                <w:bCs/>
                <w:sz w:val="24"/>
              </w:rPr>
            </w:pPr>
            <w:r>
              <w:rPr>
                <w:rFonts w:hint="eastAsia" w:ascii="宋体" w:hAnsi="宋体" w:cs="宋体"/>
                <w:bCs/>
                <w:sz w:val="28"/>
                <w:szCs w:val="28"/>
              </w:rPr>
              <w:t>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仿宋_GB2312" w:hAnsi="宋体" w:eastAsia="仿宋_GB2312"/>
                <w:bCs/>
                <w:sz w:val="24"/>
              </w:rPr>
              <w:t>对象简述</w:t>
            </w:r>
          </w:p>
        </w:tc>
        <w:tc>
          <w:tcPr>
            <w:tcW w:w="726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left"/>
              <w:rPr>
                <w:rFonts w:ascii="仿宋_GB2312" w:hAnsi="宋体" w:eastAsia="仿宋_GB2312"/>
                <w:bCs/>
                <w:sz w:val="24"/>
              </w:rPr>
            </w:pPr>
            <w:r>
              <w:rPr>
                <w:rFonts w:hint="eastAsia" w:ascii="仿宋_GB2312" w:hAnsi="宋体" w:eastAsia="仿宋_GB2312"/>
                <w:bCs/>
                <w:sz w:val="24"/>
              </w:rPr>
              <w:t>（厂站名称、地理位置、功能描述、局部评估的设施简况等）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仿宋_GB2312" w:hAnsi="宋体" w:eastAsia="仿宋_GB2312"/>
                <w:bCs/>
                <w:sz w:val="24"/>
              </w:rPr>
              <w:t>介质类型</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仿宋_GB2312" w:hAnsi="宋体" w:eastAsia="仿宋_GB2312"/>
                <w:bCs/>
                <w:sz w:val="24"/>
              </w:rPr>
              <w:t>设计压力</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运行压力</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设计温度</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运行温度</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竣工时间</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投运时间</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产权单位</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运营单位</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仿宋_GB2312" w:hAnsi="宋体" w:eastAsia="仿宋_GB2312"/>
                <w:bCs/>
                <w:sz w:val="24"/>
              </w:rPr>
              <w:t>设计单位</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施工单位</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hint="eastAsia" w:ascii="仿宋_GB2312" w:hAnsi="宋体" w:eastAsia="仿宋_GB2312"/>
                <w:bCs/>
                <w:sz w:val="24"/>
              </w:rPr>
            </w:pPr>
            <w:r>
              <w:rPr>
                <w:rFonts w:hint="eastAsia" w:ascii="仿宋_GB2312" w:hAnsi="宋体" w:eastAsia="仿宋_GB2312"/>
                <w:bCs/>
                <w:sz w:val="24"/>
              </w:rPr>
              <w:t>监理单位</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934" w:type="dxa"/>
            <w:gridSpan w:val="4"/>
            <w:tcBorders>
              <w:top w:val="single" w:color="auto" w:sz="6" w:space="0"/>
              <w:left w:val="single" w:color="auto" w:sz="6" w:space="0"/>
              <w:bottom w:val="single" w:color="auto" w:sz="6" w:space="0"/>
              <w:right w:val="single" w:color="auto" w:sz="6" w:space="0"/>
            </w:tcBorders>
            <w:vAlign w:val="center"/>
          </w:tcPr>
          <w:p>
            <w:pPr>
              <w:snapToGrid w:val="0"/>
              <w:spacing w:line="560" w:lineRule="exact"/>
              <w:jc w:val="center"/>
              <w:rPr>
                <w:rFonts w:ascii="仿宋_GB2312" w:hAnsi="宋体" w:eastAsia="仿宋_GB2312"/>
                <w:bCs/>
                <w:sz w:val="24"/>
              </w:rPr>
            </w:pPr>
            <w:r>
              <w:rPr>
                <w:rFonts w:hint="eastAsia" w:ascii="宋体" w:hAnsi="宋体" w:cs="宋体"/>
                <w:bCs/>
                <w:sz w:val="28"/>
                <w:szCs w:val="28"/>
              </w:rPr>
              <w:t>评估结论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r>
              <w:rPr>
                <w:rFonts w:hint="eastAsia" w:ascii="仿宋_GB2312" w:hAnsi="宋体" w:eastAsia="仿宋_GB2312"/>
                <w:bCs/>
                <w:sz w:val="24"/>
              </w:rPr>
              <w:t>评估结果</w:t>
            </w:r>
          </w:p>
        </w:tc>
        <w:tc>
          <w:tcPr>
            <w:tcW w:w="726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□符合安全运行要求       □落实安全管控措施，可继续运行</w:t>
            </w:r>
          </w:p>
          <w:p>
            <w:pPr>
              <w:snapToGrid w:val="0"/>
              <w:spacing w:line="300" w:lineRule="exact"/>
              <w:jc w:val="left"/>
              <w:rPr>
                <w:rFonts w:ascii="仿宋_GB2312" w:hAnsi="宋体" w:eastAsia="仿宋_GB2312"/>
                <w:bCs/>
                <w:sz w:val="24"/>
              </w:rPr>
            </w:pPr>
            <w:r>
              <w:rPr>
                <w:rFonts w:hint="eastAsia" w:ascii="仿宋_GB2312" w:hAnsi="仿宋_GB2312" w:eastAsia="仿宋_GB2312" w:cs="仿宋_GB2312"/>
                <w:bCs/>
                <w:sz w:val="24"/>
              </w:rPr>
              <w:t>□限期改造               □立即改造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69" w:hRule="atLeas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主要问题</w:t>
            </w:r>
          </w:p>
          <w:p>
            <w:pPr>
              <w:snapToGrid w:val="0"/>
              <w:spacing w:line="30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（涉及改造的填写）</w:t>
            </w:r>
          </w:p>
        </w:tc>
        <w:tc>
          <w:tcPr>
            <w:tcW w:w="726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□超设计运行年限               □安全间距不足</w:t>
            </w:r>
          </w:p>
          <w:p>
            <w:pPr>
              <w:snapToGrid w:val="0"/>
              <w:spacing w:line="30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□设施锈蚀严重、安全状况较差   □处于/临近人员密集区域</w:t>
            </w:r>
          </w:p>
          <w:p>
            <w:pPr>
              <w:snapToGrid w:val="0"/>
              <w:spacing w:line="3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 xml:space="preserve">□处于/临近地质灾害易发区域    □其他主要问题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8" w:hRule="exac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r>
              <w:rPr>
                <w:rFonts w:hint="eastAsia" w:ascii="仿宋_GB2312" w:hAnsi="宋体" w:eastAsia="仿宋_GB2312"/>
                <w:bCs/>
                <w:sz w:val="24"/>
              </w:rPr>
              <w:t>落实安全管控措施</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r>
              <w:rPr>
                <w:rFonts w:hint="eastAsia" w:ascii="仿宋_GB2312" w:hAnsi="宋体" w:eastAsia="仿宋_GB2312"/>
                <w:bCs/>
                <w:sz w:val="24"/>
              </w:rPr>
              <w:t>（根据评估结果填写）</w:t>
            </w: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r>
              <w:rPr>
                <w:rFonts w:hint="eastAsia" w:ascii="仿宋_GB2312" w:hAnsi="宋体" w:eastAsia="仿宋_GB2312"/>
                <w:bCs/>
                <w:sz w:val="24"/>
              </w:rPr>
              <w:t>下次评估时间/限期改造时间</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（根据评估结果填写）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8" w:hRule="exac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评估机构名称</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评估机构资质</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（企业自行评估可不填）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4" w:hRule="exact"/>
          <w:jc w:val="center"/>
        </w:trPr>
        <w:tc>
          <w:tcPr>
            <w:tcW w:w="1665"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评估机构</w:t>
            </w:r>
          </w:p>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负责人</w:t>
            </w:r>
          </w:p>
        </w:tc>
        <w:tc>
          <w:tcPr>
            <w:tcW w:w="2590"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ascii="仿宋_GB2312" w:hAnsi="宋体" w:eastAsia="仿宋_GB2312"/>
                <w:bCs/>
                <w:sz w:val="24"/>
              </w:rPr>
            </w:pPr>
          </w:p>
        </w:tc>
        <w:tc>
          <w:tcPr>
            <w:tcW w:w="1836"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评估项目</w:t>
            </w:r>
          </w:p>
          <w:p>
            <w:pPr>
              <w:snapToGrid w:val="0"/>
              <w:spacing w:line="300" w:lineRule="exact"/>
              <w:jc w:val="center"/>
              <w:rPr>
                <w:rFonts w:hint="eastAsia" w:ascii="仿宋_GB2312" w:hAnsi="宋体" w:eastAsia="仿宋_GB2312"/>
                <w:bCs/>
                <w:sz w:val="24"/>
              </w:rPr>
            </w:pPr>
            <w:r>
              <w:rPr>
                <w:rFonts w:hint="eastAsia" w:ascii="仿宋_GB2312" w:hAnsi="宋体" w:eastAsia="仿宋_GB2312"/>
                <w:bCs/>
                <w:sz w:val="24"/>
              </w:rPr>
              <w:t>负责人</w:t>
            </w:r>
          </w:p>
        </w:tc>
        <w:tc>
          <w:tcPr>
            <w:tcW w:w="2843" w:type="dxa"/>
            <w:tcBorders>
              <w:top w:val="single" w:color="auto" w:sz="6" w:space="0"/>
              <w:left w:val="single" w:color="auto" w:sz="6" w:space="0"/>
              <w:bottom w:val="single" w:color="auto" w:sz="6" w:space="0"/>
              <w:right w:val="single" w:color="auto" w:sz="6" w:space="0"/>
            </w:tcBorders>
            <w:vAlign w:val="center"/>
          </w:tcPr>
          <w:p>
            <w:pPr>
              <w:snapToGrid w:val="0"/>
              <w:spacing w:line="300" w:lineRule="exact"/>
              <w:jc w:val="center"/>
              <w:rPr>
                <w:rFonts w:hint="eastAsia" w:ascii="仿宋_GB2312" w:hAnsi="宋体" w:eastAsia="仿宋_GB2312"/>
                <w:bCs/>
                <w:sz w:val="24"/>
              </w:rPr>
            </w:pPr>
          </w:p>
        </w:tc>
      </w:tr>
    </w:tbl>
    <w:p>
      <w:pPr>
        <w:pStyle w:val="3"/>
        <w:spacing w:after="0" w:line="560" w:lineRule="exact"/>
        <w:ind w:firstLine="0" w:firstLineChars="0"/>
      </w:pP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Bdr>
        <w:top w:val="none" w:color="auto" w:sz="0" w:space="0"/>
        <w:left w:val="none" w:color="auto" w:sz="0" w:space="0"/>
        <w:bottom w:val="none" w:color="auto" w:sz="0" w:space="0"/>
        <w:right w:val="none" w:color="auto" w:sz="0" w:space="0"/>
      </w:pBdr>
      <w:rPr>
        <w:rFonts w:hint="eastAsia" w:ascii="仿宋" w:hAnsi="仿宋" w:eastAsia="仿宋" w:cs="仿宋"/>
        <w:sz w:val="28"/>
        <w:szCs w:val="28"/>
      </w:rPr>
    </w:pPr>
    <w:r>
      <w:rPr>
        <w:rStyle w:val="13"/>
        <w:rFonts w:hint="eastAsia" w:ascii="仿宋" w:hAnsi="仿宋" w:eastAsia="仿宋" w:cs="仿宋"/>
        <w:sz w:val="28"/>
        <w:szCs w:val="28"/>
      </w:rPr>
      <w:fldChar w:fldCharType="begin"/>
    </w:r>
    <w:r>
      <w:rPr>
        <w:rStyle w:val="13"/>
        <w:rFonts w:hint="eastAsia" w:ascii="仿宋" w:hAnsi="仿宋" w:eastAsia="仿宋" w:cs="仿宋"/>
        <w:sz w:val="28"/>
        <w:szCs w:val="28"/>
      </w:rPr>
      <w:instrText xml:space="preserve">Page</w:instrText>
    </w:r>
    <w:r>
      <w:rPr>
        <w:rStyle w:val="13"/>
        <w:rFonts w:hint="eastAsia" w:ascii="仿宋" w:hAnsi="仿宋" w:eastAsia="仿宋" w:cs="仿宋"/>
        <w:sz w:val="28"/>
        <w:szCs w:val="28"/>
      </w:rPr>
      <w:fldChar w:fldCharType="separate"/>
    </w:r>
    <w:r>
      <w:rPr>
        <w:rStyle w:val="13"/>
        <w:rFonts w:hint="eastAsia" w:ascii="仿宋" w:hAnsi="仿宋" w:eastAsia="仿宋" w:cs="仿宋"/>
        <w:sz w:val="28"/>
        <w:szCs w:val="28"/>
      </w:rPr>
      <w:t>- 1 -</w:t>
    </w:r>
    <w:r>
      <w:rPr>
        <w:rStyle w:val="13"/>
        <w:rFonts w:hint="eastAsia" w:ascii="仿宋" w:hAnsi="仿宋" w:eastAsia="仿宋" w:cs="仿宋"/>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pPr>
      <w:pStyle w:val="7"/>
      <w:framePr w:wrap="around" w:vAnchor="text" w:hAnchor="margin" w:xAlign="center" w:y="1"/>
      <w:pBdr>
        <w:top w:val="none" w:color="auto" w:sz="0" w:space="0"/>
        <w:left w:val="none" w:color="auto" w:sz="0" w:space="0"/>
        <w:bottom w:val="none" w:color="auto" w:sz="0" w:space="0"/>
        <w:right w:val="none" w:color="auto" w:sz="0" w:space="0"/>
      </w:pBdr>
      <w:ind w:right="360" w:firstLine="360"/>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pPr>
      <w:pStyle w:val="7"/>
      <w:framePr w:wrap="around" w:vAnchor="text" w:hAnchor="margin" w:xAlign="center" w:y="1"/>
      <w:pBdr>
        <w:top w:val="none" w:color="auto" w:sz="0" w:space="0"/>
        <w:left w:val="none" w:color="auto" w:sz="0" w:space="0"/>
        <w:bottom w:val="none" w:color="auto" w:sz="0" w:space="0"/>
        <w:right w:val="none" w:color="auto" w:sz="0" w:space="0"/>
      </w:pBdr>
      <w:ind w:right="360" w:firstLine="360"/>
    </w:pPr>
    <w:r>
      <w:rPr>
        <w:rStyle w:val="13"/>
      </w:rPr>
      <w:fldChar w:fldCharType="begin"/>
    </w:r>
    <w:r>
      <w:rPr>
        <w:rStyle w:val="13"/>
      </w:rPr>
      <w:instrText xml:space="preserve">Page</w:instrText>
    </w:r>
    <w:r>
      <w:rPr>
        <w:rStyle w:val="13"/>
      </w:rPr>
      <w:fldChar w:fldCharType="separate"/>
    </w:r>
    <w:r>
      <w:rPr>
        <w:rStyle w:val="13"/>
      </w:rPr>
      <w:t>- 1 -</w: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false"/>
  <w:bordersDoNotSurroundFooter w:val="false"/>
  <w:documentProtection w:edit="readOnly" w:enforcement="1" w:cryptProviderType="rsaFull" w:cryptAlgorithmClass="hash" w:cryptAlgorithmType="typeAny" w:cryptAlgorithmSid="4" w:cryptSpinCount="0" w:hash="wFzV4DFgjTxuHNpTGE/wEwbrkTY=" w:salt="aXBc6ImfNan0aWk+Rxi+Ng=="/>
  <w:defaultTabStop w:val="420"/>
  <w:drawingGridHorizontalSpacing w:val="105"/>
  <w:drawingGridVerticalSpacing w:val="156"/>
  <w:displayHorizontalDrawingGridEvery w:val="1"/>
  <w:displayVerticalDrawingGridEvery w:val="1"/>
  <w:noPunctuationKerning w:val="true"/>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WE5NTI2MzU0NDdhYWVmODA2YTRkOGI2MzFmMWQyODgifQ=="/>
    <w:docVar w:name="KSO_WPS_MARK_KEY" w:val="ba98294f-1736-4f36-b2a9-313281d9ffe3"/>
  </w:docVars>
  <w:rsids>
    <w:rsidRoot w:val="00000000"/>
    <w:rsid w:val="19FEDEC2"/>
    <w:rsid w:val="BAEFE7E9"/>
    <w:rsid w:val="F4CED9DB"/>
    <w:rsid w:val="FDFD7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宋体" w:hAnsi="宋体"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Body Text First Indent"/>
    <w:basedOn w:val="2"/>
    <w:qFormat/>
    <w:uiPriority w:val="0"/>
    <w:pPr>
      <w:ind w:firstLine="100" w:firstLineChars="100"/>
    </w:pPr>
    <w:rPr>
      <w:spacing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15</Pages>
  <Words>5635</Words>
  <Characters>5669</Characters>
  <Lines>0</Lines>
  <Paragraphs>55</Paragraphs>
  <TotalTime>9</TotalTime>
  <ScaleCrop>false</ScaleCrop>
  <LinksUpToDate>false</LinksUpToDate>
  <CharactersWithSpaces>5894</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2024-03-31T16:54:00Z</dcterms:created>
  <dc:creator>NING MEI</dc:creator>
  <cp:lastModifiedBy>uos</cp:lastModifiedBy>
  <cp:lastPrinted>2024-04-17T19:44:00Z</cp:lastPrinted>
  <dcterms:modified xsi:type="dcterms:W3CDTF">2024-05-11T10:02:34Z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E9D8326B31D04ABEAB349E658E43578A_12</vt:lpwstr>
  </property>
</Properties>
</file>