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1739" w:rightChars="-5590"/>
        <w:jc w:val="left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宋体" w:hAnsi="宋体" w:cs="黑体"/>
          <w:b/>
          <w:sz w:val="32"/>
          <w:szCs w:val="32"/>
        </w:rPr>
        <w:t xml:space="preserve">                       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八公山区乡镇环卫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作业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考核标准</w:t>
      </w:r>
    </w:p>
    <w:tbl>
      <w:tblPr>
        <w:tblStyle w:val="4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34"/>
        <w:gridCol w:w="5325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考核项目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考核分数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考核内容及要求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道路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清扫</w:t>
            </w:r>
            <w:r>
              <w:rPr>
                <w:rFonts w:hint="eastAsia" w:ascii="宋体" w:hAnsi="宋体" w:cs="宋体"/>
                <w:sz w:val="24"/>
              </w:rPr>
              <w:t>保洁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保洁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/>
                <w:spacing w:val="-2"/>
                <w:sz w:val="24"/>
              </w:rPr>
              <w:t>道路要在规定时间内清扫保洁，每日最少普扫2次</w:t>
            </w:r>
            <w:r>
              <w:rPr>
                <w:rFonts w:hint="eastAsia" w:asciiTheme="majorEastAsia" w:hAnsiTheme="majorEastAsia" w:eastAsiaTheme="majorEastAsia"/>
                <w:spacing w:val="-12"/>
                <w:sz w:val="24"/>
              </w:rPr>
              <w:t>（上午6：00-7：30，下午1：30-3：30）</w:t>
            </w:r>
            <w:r>
              <w:rPr>
                <w:rFonts w:hint="eastAsia"/>
                <w:spacing w:val="-2"/>
                <w:sz w:val="24"/>
              </w:rPr>
              <w:t>，其余时段</w:t>
            </w:r>
            <w:r>
              <w:rPr>
                <w:sz w:val="24"/>
              </w:rPr>
              <w:t>实行</w:t>
            </w:r>
            <w:r>
              <w:rPr>
                <w:rFonts w:hint="eastAsia"/>
                <w:sz w:val="24"/>
              </w:rPr>
              <w:t>全天</w:t>
            </w:r>
            <w:r>
              <w:rPr>
                <w:sz w:val="24"/>
              </w:rPr>
              <w:t>全方位保洁，及时收集清扫垃圾。</w:t>
            </w:r>
            <w:r>
              <w:rPr>
                <w:rFonts w:hint="eastAsia"/>
                <w:sz w:val="24"/>
              </w:rPr>
              <w:t>可根据情况增加普扫次数。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规定时间内道路未进行清扫的扣1分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条；未在每日早7：30，下午3：30前完成清扫作业的扣0.5分；规定时间内道路无保洁人员，发现一次扣0.1分，无保洁人员道路又达不到质量要求的，按缺人数扣分。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、道路不得漏扫，垃圾应归堆清除彻底，在规定时间内清扫路面零星建筑垃圾。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一条道路内有漏扫部分的，扣0.5分；路面零星建筑垃圾在发现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个小时内未清除的每处扣0.1分。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、作业路段杂物不超标（含果皮、纸屑、塑膜、烟头等），无生活垃圾、青苔、积水，道路无积泥、底灰。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作业路段发现杂物（含果皮、纸屑、塑膜、烟头等）≤10片/1000m2发现一处扣0.1分；生活垃圾发现一堆扣0.5分；道路底灰明显，有污泥污水，一处扣0.1分。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、绿化带、外排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（路两侧各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10米范围内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内垃圾应及时清掏，保持整洁干净。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绿化带、外排内有成堆垃圾扣0.5分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次，有杂物（含果皮、纸屑、塑膜、烟头等）≤10片/1000m2，发现一处扣0.1分。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二、道路抛洒处理及冲洗作业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4"/>
              </w:rPr>
              <w:t>及时清除道路路面抛洒，以及结合部区域积存的生活（建筑）垃圾等，对脏乱死角进行全力清整，保证周边干净整洁。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未及时清理路面抛洒的，扣1分；未按限时要求清理积存生活（建筑）垃圾的，扣2分。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</w:rPr>
              <w:t>应冲洗的道路要按规定进行冲洗作业，冲洗路段必须无杂物（含果皮、纸屑、塑膜、烟头等）、生活垃圾，路面无底灰。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应冲洗的道路未进行冲洗的扣2分；冲洗路段发现杂物（含果皮、纸屑、塑膜、烟头等）生活垃圾，发现一个扣0.1分，发现一处垃圾堆扣0.5分。</w:t>
            </w:r>
          </w:p>
        </w:tc>
      </w:tr>
    </w:tbl>
    <w:p/>
    <w:p/>
    <w:tbl>
      <w:tblPr>
        <w:tblStyle w:val="4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34"/>
        <w:gridCol w:w="5325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考核项目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考核分数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考核内容及要求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4"/>
              </w:rPr>
              <w:t>、池塘沟渠等水系水面清理保洁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落实沟渠、池塘等水系区域保洁机制，及时清理水面漂浮物和河岸垃圾。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水面漂浮物未清理的每处扣0.2-2分；河岸垃圾未清理的每处扣0.2-2分。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461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绿地、</w:t>
            </w:r>
          </w:p>
          <w:p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广场、游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园</w:t>
            </w:r>
            <w:r>
              <w:rPr>
                <w:rFonts w:hint="eastAsia" w:ascii="宋体" w:hAnsi="宋体" w:cs="宋体"/>
                <w:sz w:val="24"/>
              </w:rPr>
              <w:t>等清扫保洁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1、游园区内的凉亭、凉亭护栏和其它设施随脏随清，杜绝小广告、“牛皮癣”。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2、广场、绿地、游园内应在规定时间内清扫保洁；作业区域必须无杂物（含果皮、纸屑、塑膜、烟头等）生活垃圾、积水，无卫生死角（无主垃圾）。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游园区内的凉亭、凉亭护栏和其它设施有污渍，扣0.2分/处，有小广告扣0.2分/处。路面未进行清扫的扣1分/条；作业路段发现杂物（含果皮、纸屑、塑膜、烟头等）生活垃圾、青苔、积水发现一处扣0.1分；有卫生死角（无主垃圾）扣0.2分/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五、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环境整治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积极开展村庄环境卫生整治，重点对作业范围内小广告进行清理。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小广告未及时清理的，每处扣0.2分。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六</w:t>
            </w:r>
            <w:r>
              <w:rPr>
                <w:rFonts w:hint="eastAsia" w:ascii="宋体" w:hAnsi="宋体" w:cs="宋体"/>
                <w:sz w:val="24"/>
              </w:rPr>
              <w:t>、垃圾桶等设施管理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垃圾桶整洁干净无污渍无小广告，无垃圾满溢，周围地面清洁。垃圾桶无破损，垃圾清运后垃圾桶须及时放回原处。垃圾箱、桶应摆放端正、分类成对摆放，应根据需要及时增添垃圾桶。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垃圾桶箱体有污迹、小广告扣0.2分/只；箱内垃圾满溢，扣0.2分/只；果皮箱、垃圾桶未及时更换、修复，有歪斜、破损、残缺的扣0.2分/只；未分类成对摆放的每次扣0.2分；桶身分类标识不清楚、不全的每次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每只</w:t>
            </w:r>
            <w:r>
              <w:rPr>
                <w:rFonts w:hint="eastAsia" w:ascii="宋体" w:hAnsi="宋体" w:cs="宋体"/>
                <w:sz w:val="24"/>
              </w:rPr>
              <w:t>扣0.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</w:tc>
      </w:tr>
    </w:tbl>
    <w:p/>
    <w:p/>
    <w:p/>
    <w:p/>
    <w:tbl>
      <w:tblPr>
        <w:tblStyle w:val="4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34"/>
        <w:gridCol w:w="5325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考核项目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考核分数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考核内容及要求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七</w:t>
            </w:r>
            <w:r>
              <w:rPr>
                <w:rFonts w:hint="eastAsia" w:ascii="宋体" w:hAnsi="宋体" w:cs="宋体"/>
                <w:sz w:val="24"/>
              </w:rPr>
              <w:t>、生活垃</w:t>
            </w:r>
          </w:p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圾清运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4"/>
              </w:rPr>
              <w:t>合理设立垃圾收集点，配备垃圾桶，专人负责收集，</w:t>
            </w:r>
            <w:r>
              <w:rPr>
                <w:rFonts w:ascii="宋体" w:hAnsi="宋体" w:cs="宋体"/>
                <w:sz w:val="24"/>
              </w:rPr>
              <w:t>每日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ascii="宋体" w:hAnsi="宋体" w:cs="宋体"/>
                <w:sz w:val="24"/>
              </w:rPr>
              <w:t>2次清运</w:t>
            </w:r>
            <w:r>
              <w:rPr>
                <w:rFonts w:hint="eastAsia" w:ascii="宋体" w:hAnsi="宋体" w:cs="宋体"/>
                <w:sz w:val="24"/>
              </w:rPr>
              <w:t>，日产日清</w:t>
            </w:r>
            <w:r>
              <w:rPr>
                <w:rFonts w:ascii="宋体" w:hAnsi="宋体" w:cs="宋体"/>
                <w:sz w:val="24"/>
              </w:rPr>
              <w:t>，不</w:t>
            </w:r>
            <w:r>
              <w:rPr>
                <w:rFonts w:hint="eastAsia" w:ascii="宋体" w:hAnsi="宋体" w:cs="宋体"/>
                <w:sz w:val="24"/>
              </w:rPr>
              <w:t>得</w:t>
            </w:r>
            <w:r>
              <w:rPr>
                <w:rFonts w:ascii="宋体" w:hAnsi="宋体" w:cs="宋体"/>
                <w:sz w:val="24"/>
              </w:rPr>
              <w:t>遗漏，</w:t>
            </w:r>
            <w:r>
              <w:rPr>
                <w:rFonts w:hint="eastAsia" w:ascii="宋体" w:hAnsi="宋体" w:cs="宋体"/>
                <w:sz w:val="24"/>
              </w:rPr>
              <w:t>不得溢满，</w:t>
            </w:r>
            <w:r>
              <w:rPr>
                <w:rFonts w:ascii="宋体" w:hAnsi="宋体" w:cs="宋体"/>
                <w:sz w:val="24"/>
              </w:rPr>
              <w:t>不得堆放路边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垃圾桶溢满发现一处扣0.1分，垃圾随意路边堆放发现一处扣0.5分。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</w:rPr>
              <w:t>收集作业完成后，应及时清理场地，将收集容器复位，车走地净。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收集作业完成后，场地脏乱，不及时清理发现一次扣0.1分，未将收集容器复位发现一次扣0.1分。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sz w:val="24"/>
              </w:rPr>
              <w:t>按照合同规定配齐作业车辆和设备。车容整洁、牌照齐全，在运输过程中不得有垃圾扬、撒、拖挂和污水滴漏。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未按照合同规定配齐作业车辆和设备的，扣除相应作业经费。车容不整洁、牌照未安装发现一次扣0.1分；在运输过程中有垃圾扬、撒、拖挂和污水滴漏，每项每次扣0.1分。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4、</w:t>
            </w:r>
            <w:r>
              <w:rPr>
                <w:rFonts w:ascii="宋体" w:hAnsi="宋体" w:cs="宋体"/>
                <w:sz w:val="24"/>
              </w:rPr>
              <w:t>生活垃圾</w:t>
            </w:r>
            <w:r>
              <w:rPr>
                <w:rFonts w:hint="eastAsia" w:ascii="宋体" w:hAnsi="宋体" w:cs="宋体"/>
                <w:sz w:val="24"/>
              </w:rPr>
              <w:t>应</w:t>
            </w:r>
            <w:r>
              <w:rPr>
                <w:rFonts w:ascii="宋体" w:hAnsi="宋体" w:cs="宋体"/>
                <w:sz w:val="24"/>
              </w:rPr>
              <w:t>密闭运输</w:t>
            </w:r>
            <w:r>
              <w:rPr>
                <w:rFonts w:hint="eastAsia" w:ascii="宋体" w:hAnsi="宋体" w:cs="宋体"/>
                <w:sz w:val="24"/>
              </w:rPr>
              <w:t>至西部生活垃圾发电厂或区环卫处垃圾站处理（每月25日将过磅单上报区环卫处备档）。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生活垃圾</w:t>
            </w:r>
            <w:r>
              <w:rPr>
                <w:rFonts w:hint="eastAsia" w:ascii="宋体" w:hAnsi="宋体" w:cs="宋体"/>
                <w:sz w:val="24"/>
              </w:rPr>
              <w:t>未</w:t>
            </w:r>
            <w:r>
              <w:rPr>
                <w:rFonts w:ascii="宋体" w:hAnsi="宋体" w:cs="宋体"/>
                <w:sz w:val="24"/>
              </w:rPr>
              <w:t>密闭运输</w:t>
            </w:r>
            <w:r>
              <w:rPr>
                <w:rFonts w:hint="eastAsia" w:ascii="宋体" w:hAnsi="宋体" w:cs="宋体"/>
                <w:sz w:val="24"/>
              </w:rPr>
              <w:t>发现一次扣1分，未运输至西部垃圾发电厂或区环卫处垃圾站的发现一次扣5分。25日未上报过磅单，视为生活垃圾未按规定处理。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sz w:val="24"/>
              </w:rPr>
              <w:t>蝇、蚊孳生季节，收集点应定时喷洒消毒、灭蚊蝇药物。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蝇、蚊孳生季节，收集点未定时喷洒消毒、灭蚊蝇药物，发现一次扣0.1分。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八</w:t>
            </w:r>
            <w:r>
              <w:rPr>
                <w:rFonts w:hint="eastAsia" w:ascii="宋体" w:hAnsi="宋体" w:cs="宋体"/>
                <w:sz w:val="24"/>
              </w:rPr>
              <w:t>、应急保</w:t>
            </w:r>
          </w:p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障等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做好重大节庆、大型活动等环境卫生保障工作及领导安排的各种突击性、阶段性整治活动，确保作业和垃圾清运不出现问题；2、做好上级批办、交办和转办的各类案件；及时回复媒体曝光、群众投诉、网上投诉及市长公开电话等相关案件。3、对上级下发的相关督察通知及时回复。4、落叶季节落叶清扫打包清运，严禁焚烧垃圾、树叶。5、及时清理道路路面积水积雪积冰，确保道路畅通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未做好重大节庆、大型活动环境卫生保障工作及领导安排的各种突击性、阶段性整治活动，作业质量、垃圾清运等出现问题的，每次每个问题按照本标准扣分；2、未做好上级批办、交办和转办的各类案件；未及时回复媒体曝光、群众投诉、网上投诉及市长公开电话等相关案件，发现上述任何一项扣2分；3、对上级下发的督察通知未按规定时限回复的每次扣0.5分，超期仍未回复每次扣2分；4、落叶清理不及时的，扣0.1-1分，焚烧垃圾或落叶的，每次扣2000元；5、未及时清理积水积雪积冰，导致道路不通畅的，发现一次扣0.2－1分。</w:t>
            </w:r>
          </w:p>
        </w:tc>
      </w:tr>
    </w:tbl>
    <w:p/>
    <w:tbl>
      <w:tblPr>
        <w:tblStyle w:val="4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34"/>
        <w:gridCol w:w="5325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6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考核项目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考核分数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考核内容及要求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九</w:t>
            </w:r>
            <w:r>
              <w:rPr>
                <w:rFonts w:hint="eastAsia" w:ascii="宋体" w:hAnsi="宋体" w:cs="宋体"/>
                <w:sz w:val="24"/>
              </w:rPr>
              <w:t>、单位规</w:t>
            </w:r>
          </w:p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范化建设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、有健全的规章制度，各项工作规范有序，分工明确，及时上报各类环卫信息。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制度不健全及未上墙，分工不明确各扣0.2分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月；未及时报送各类信息的，每次扣0.2分。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、办公场所内整洁干净，无垃圾、杂物及蜘蛛网。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办公室内摆放凌乱、办公区域有生活垃圾、杂物及蛛网各扣0.1分。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、单位安全生产，不得出现安全事故；合法劳动用工。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因单位管理责任出现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例亡人事故扣10分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、作业人员穿着带有安全反光标志服并挂牌上岗；用语规范、态度文明。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作业人员未穿着带有安全反光标志服的，扣0.1分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人；未挂牌上岗扣0.01分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人；用语不礼貌、不文明的，一例扣0.1分；情节严重的，扣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分；造成后果的按照合同执行。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、在岗时不得坐岗、聊天、干私活；员工之间或与市民不得发生口角或斗殴事件。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在岗时坐岗、聊天、干私活扣1分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人；员工之间或与市民发生口角或斗殴事件，扣2分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次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25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、各作业公司必须按照合同规定，配置人员、机械，按照招标要求搞好服务。公司要按照规定与员工签订劳动合同。</w:t>
            </w:r>
          </w:p>
        </w:tc>
        <w:tc>
          <w:tcPr>
            <w:tcW w:w="7020" w:type="dxa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未按照合同规定人员上岗，缺1人扣0.5分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月；未按照合同规定配置垃圾桶，缺1只扣0.1分/月；未按照合同规定配置清运车辆，缺1辆扣1分/月。未按规定签订劳动合同的，缺1人扣0.5分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月。</w:t>
            </w:r>
          </w:p>
        </w:tc>
      </w:tr>
    </w:tbl>
    <w:p/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1、镇级考核主要考核第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至第七项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区级考核主要考核第八、第九两项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全区农村人居环境整治月度督查考核主要考核</w:t>
      </w:r>
      <w:r>
        <w:rPr>
          <w:rFonts w:hint="eastAsia"/>
          <w:sz w:val="24"/>
          <w:szCs w:val="24"/>
          <w:lang w:eastAsia="zh-CN"/>
        </w:rPr>
        <w:t>第一至</w:t>
      </w:r>
      <w:r>
        <w:rPr>
          <w:rFonts w:hint="eastAsia"/>
          <w:sz w:val="24"/>
          <w:szCs w:val="24"/>
        </w:rPr>
        <w:t>第七项</w:t>
      </w:r>
      <w:r>
        <w:rPr>
          <w:rFonts w:hint="eastAsia"/>
          <w:sz w:val="24"/>
          <w:szCs w:val="24"/>
          <w:lang w:eastAsia="zh-CN"/>
        </w:rPr>
        <w:t>有关农村人居环境整治方面的内容，并结合创城测评检查进行考核扣分</w:t>
      </w:r>
      <w:r>
        <w:rPr>
          <w:rFonts w:hint="eastAsia"/>
          <w:sz w:val="24"/>
          <w:szCs w:val="24"/>
        </w:rPr>
        <w:t>。</w:t>
      </w:r>
    </w:p>
    <w:p>
      <w:r>
        <w:rPr>
          <w:rFonts w:hint="eastAsia"/>
          <w:sz w:val="24"/>
          <w:szCs w:val="24"/>
        </w:rPr>
        <w:t xml:space="preserve">    2、各级考核发现的问题需标清问题产生的具体时间、具体地点、具体问题内容，避免有交叉考核部分出现重复扣分的现象</w:t>
      </w:r>
      <w:r>
        <w:rPr>
          <w:rFonts w:hint="eastAsia"/>
          <w:sz w:val="24"/>
          <w:szCs w:val="24"/>
          <w:lang w:eastAsia="zh-CN"/>
        </w:rPr>
        <w:t>。</w:t>
      </w:r>
    </w:p>
    <w:p/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97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8044E"/>
    <w:multiLevelType w:val="singleLevel"/>
    <w:tmpl w:val="073804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DM1YjA0NTJlN2IxMTVhNTNkMjRlMjAxM2FiNzIifQ=="/>
    <w:docVar w:name="KSO_WPS_MARK_KEY" w:val="c10b1d2a-3897-4896-84d0-4679d751a1a2"/>
  </w:docVars>
  <w:rsids>
    <w:rsidRoot w:val="00AB16C3"/>
    <w:rsid w:val="00000EEB"/>
    <w:rsid w:val="00024388"/>
    <w:rsid w:val="00037E7E"/>
    <w:rsid w:val="00093E56"/>
    <w:rsid w:val="00097A9B"/>
    <w:rsid w:val="00151664"/>
    <w:rsid w:val="00171A52"/>
    <w:rsid w:val="0017252F"/>
    <w:rsid w:val="001967EA"/>
    <w:rsid w:val="00222710"/>
    <w:rsid w:val="002E615C"/>
    <w:rsid w:val="002F30AD"/>
    <w:rsid w:val="002F5F93"/>
    <w:rsid w:val="00367EB2"/>
    <w:rsid w:val="0038006D"/>
    <w:rsid w:val="003C1493"/>
    <w:rsid w:val="0040473A"/>
    <w:rsid w:val="00412334"/>
    <w:rsid w:val="00417DC9"/>
    <w:rsid w:val="00422685"/>
    <w:rsid w:val="00432022"/>
    <w:rsid w:val="00443BC6"/>
    <w:rsid w:val="004650DC"/>
    <w:rsid w:val="00483B2A"/>
    <w:rsid w:val="00484B14"/>
    <w:rsid w:val="00547704"/>
    <w:rsid w:val="00580A03"/>
    <w:rsid w:val="00603034"/>
    <w:rsid w:val="00623F08"/>
    <w:rsid w:val="006A1F1A"/>
    <w:rsid w:val="006B744E"/>
    <w:rsid w:val="006D3B98"/>
    <w:rsid w:val="006F1E46"/>
    <w:rsid w:val="00731463"/>
    <w:rsid w:val="00787FA9"/>
    <w:rsid w:val="007B2279"/>
    <w:rsid w:val="007F2C8C"/>
    <w:rsid w:val="0082781B"/>
    <w:rsid w:val="00833D76"/>
    <w:rsid w:val="00860E95"/>
    <w:rsid w:val="00866D84"/>
    <w:rsid w:val="008D4219"/>
    <w:rsid w:val="008E256B"/>
    <w:rsid w:val="009B0439"/>
    <w:rsid w:val="009C3ABD"/>
    <w:rsid w:val="009E051C"/>
    <w:rsid w:val="009F0A67"/>
    <w:rsid w:val="00A4384A"/>
    <w:rsid w:val="00A627FD"/>
    <w:rsid w:val="00A9763C"/>
    <w:rsid w:val="00AB16C3"/>
    <w:rsid w:val="00AB7225"/>
    <w:rsid w:val="00AE60E2"/>
    <w:rsid w:val="00AF0B9A"/>
    <w:rsid w:val="00B24668"/>
    <w:rsid w:val="00B27596"/>
    <w:rsid w:val="00B622AF"/>
    <w:rsid w:val="00BC139A"/>
    <w:rsid w:val="00BC1CE2"/>
    <w:rsid w:val="00BD41D8"/>
    <w:rsid w:val="00C05F7C"/>
    <w:rsid w:val="00C10617"/>
    <w:rsid w:val="00C473B7"/>
    <w:rsid w:val="00C50626"/>
    <w:rsid w:val="00C52C1F"/>
    <w:rsid w:val="00CA5CAA"/>
    <w:rsid w:val="00CD0FBE"/>
    <w:rsid w:val="00D47B5A"/>
    <w:rsid w:val="00D619B9"/>
    <w:rsid w:val="00E03327"/>
    <w:rsid w:val="00E4488B"/>
    <w:rsid w:val="00E52415"/>
    <w:rsid w:val="00E878C1"/>
    <w:rsid w:val="00EA1846"/>
    <w:rsid w:val="00EC72BA"/>
    <w:rsid w:val="00F004CB"/>
    <w:rsid w:val="00F75273"/>
    <w:rsid w:val="00FA1D41"/>
    <w:rsid w:val="00FC7DFB"/>
    <w:rsid w:val="058D5DB7"/>
    <w:rsid w:val="05AD5093"/>
    <w:rsid w:val="08034277"/>
    <w:rsid w:val="083549AA"/>
    <w:rsid w:val="08AB2583"/>
    <w:rsid w:val="08D1021C"/>
    <w:rsid w:val="093A4D65"/>
    <w:rsid w:val="0C727E5B"/>
    <w:rsid w:val="0E040EF6"/>
    <w:rsid w:val="0FD868F8"/>
    <w:rsid w:val="100D5938"/>
    <w:rsid w:val="11521273"/>
    <w:rsid w:val="14DC0D8F"/>
    <w:rsid w:val="157A6647"/>
    <w:rsid w:val="1A107277"/>
    <w:rsid w:val="1C752B9C"/>
    <w:rsid w:val="1CD679DF"/>
    <w:rsid w:val="1F8A379D"/>
    <w:rsid w:val="1F9D4883"/>
    <w:rsid w:val="22A25D25"/>
    <w:rsid w:val="24361254"/>
    <w:rsid w:val="24727473"/>
    <w:rsid w:val="287B2535"/>
    <w:rsid w:val="2B1C6F08"/>
    <w:rsid w:val="2C2419C7"/>
    <w:rsid w:val="2CF76226"/>
    <w:rsid w:val="2E344069"/>
    <w:rsid w:val="2FB75948"/>
    <w:rsid w:val="316F25B9"/>
    <w:rsid w:val="336D4B30"/>
    <w:rsid w:val="34BC3327"/>
    <w:rsid w:val="358A7864"/>
    <w:rsid w:val="38B8422B"/>
    <w:rsid w:val="38F41B9C"/>
    <w:rsid w:val="3A751BD9"/>
    <w:rsid w:val="3C3F18E3"/>
    <w:rsid w:val="3CB915C4"/>
    <w:rsid w:val="3D4B6916"/>
    <w:rsid w:val="4207385E"/>
    <w:rsid w:val="440D6EC7"/>
    <w:rsid w:val="44B2317E"/>
    <w:rsid w:val="4545206B"/>
    <w:rsid w:val="458C3B30"/>
    <w:rsid w:val="45AD0A2C"/>
    <w:rsid w:val="47625F0B"/>
    <w:rsid w:val="479C1597"/>
    <w:rsid w:val="48280192"/>
    <w:rsid w:val="493D4F26"/>
    <w:rsid w:val="49767665"/>
    <w:rsid w:val="4A6C41C0"/>
    <w:rsid w:val="4AAC63B7"/>
    <w:rsid w:val="4E0010CD"/>
    <w:rsid w:val="51FB1089"/>
    <w:rsid w:val="539A321B"/>
    <w:rsid w:val="53D80210"/>
    <w:rsid w:val="54D7657C"/>
    <w:rsid w:val="55483DA5"/>
    <w:rsid w:val="556410A7"/>
    <w:rsid w:val="571F4546"/>
    <w:rsid w:val="577F5D6F"/>
    <w:rsid w:val="58F04EC4"/>
    <w:rsid w:val="5B653218"/>
    <w:rsid w:val="6357463A"/>
    <w:rsid w:val="69817C62"/>
    <w:rsid w:val="6DC078E2"/>
    <w:rsid w:val="6E781666"/>
    <w:rsid w:val="72A11CB9"/>
    <w:rsid w:val="731A4A4E"/>
    <w:rsid w:val="75001366"/>
    <w:rsid w:val="773E7E44"/>
    <w:rsid w:val="79D57DBB"/>
    <w:rsid w:val="7DA64236"/>
    <w:rsid w:val="7E8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2904</Words>
  <Characters>3033</Characters>
  <Lines>21</Lines>
  <Paragraphs>6</Paragraphs>
  <TotalTime>8</TotalTime>
  <ScaleCrop>false</ScaleCrop>
  <LinksUpToDate>false</LinksUpToDate>
  <CharactersWithSpaces>3063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2017-03-21T02:47:00Z</dcterms:created>
  <dc:creator>Administrator</dc:creator>
  <cp:lastModifiedBy>刘曦</cp:lastModifiedBy>
  <cp:lastPrinted>2024-04-16T08:36:52Z</cp:lastPrinted>
  <dcterms:modified xsi:type="dcterms:W3CDTF">2024-04-16T08:38:42Z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830DCCE2BD1F4D9ABC7F6C3489178451_13</vt:lpwstr>
  </property>
</Properties>
</file>