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line="560" w:lineRule="exact"/>
        <w:ind w:firstLine="0" w:firstLineChars="0"/>
        <w:jc w:val="center"/>
        <w:rPr>
          <w:rFonts w:ascii="方正大标宋简体" w:hAnsi="方正小标宋简体" w:eastAsia="方正大标宋简体" w:cs="Times New Roman"/>
          <w:bCs/>
          <w:color w:val="000000"/>
          <w:kern w:val="0"/>
          <w:sz w:val="44"/>
          <w:szCs w:val="44"/>
        </w:rPr>
      </w:pPr>
    </w:p>
    <w:p>
      <w:pPr>
        <w:autoSpaceDE w:val="0"/>
        <w:autoSpaceDN w:val="0"/>
        <w:adjustRightInd w:val="0"/>
        <w:spacing w:line="560" w:lineRule="exact"/>
        <w:ind w:firstLine="0" w:firstLineChars="0"/>
        <w:jc w:val="center"/>
        <w:rPr>
          <w:rFonts w:ascii="方正大标宋简体" w:hAnsi="方正小标宋简体" w:eastAsia="方正大标宋简体" w:cs="Times New Roman"/>
          <w:bCs/>
          <w:color w:val="000000"/>
          <w:kern w:val="0"/>
          <w:sz w:val="44"/>
          <w:szCs w:val="44"/>
        </w:rPr>
      </w:pPr>
    </w:p>
    <w:p>
      <w:pPr>
        <w:autoSpaceDE w:val="0"/>
        <w:autoSpaceDN w:val="0"/>
        <w:adjustRightInd w:val="0"/>
        <w:spacing w:line="560" w:lineRule="exact"/>
        <w:ind w:firstLine="0" w:firstLineChars="0"/>
        <w:jc w:val="center"/>
        <w:rPr>
          <w:rFonts w:ascii="方正大标宋简体" w:hAnsi="方正小标宋简体" w:eastAsia="方正大标宋简体" w:cs="Times New Roman"/>
          <w:bCs/>
          <w:color w:val="000000"/>
          <w:kern w:val="0"/>
          <w:sz w:val="44"/>
          <w:szCs w:val="44"/>
        </w:rPr>
      </w:pPr>
    </w:p>
    <w:p>
      <w:pPr>
        <w:autoSpaceDE w:val="0"/>
        <w:autoSpaceDN w:val="0"/>
        <w:adjustRightInd w:val="0"/>
        <w:spacing w:line="560" w:lineRule="exact"/>
        <w:ind w:firstLine="0" w:firstLineChars="0"/>
        <w:jc w:val="center"/>
        <w:rPr>
          <w:rFonts w:ascii="方正大标宋简体" w:hAnsi="方正小标宋简体" w:eastAsia="方正大标宋简体" w:cs="Times New Roman"/>
          <w:bCs/>
          <w:color w:val="000000"/>
          <w:kern w:val="0"/>
          <w:sz w:val="44"/>
          <w:szCs w:val="44"/>
        </w:rPr>
      </w:pPr>
    </w:p>
    <w:p>
      <w:pPr>
        <w:autoSpaceDE w:val="0"/>
        <w:autoSpaceDN w:val="0"/>
        <w:adjustRightInd w:val="0"/>
        <w:spacing w:line="240" w:lineRule="auto"/>
        <w:ind w:firstLine="0" w:firstLineChars="0"/>
        <w:jc w:val="center"/>
        <w:rPr>
          <w:rFonts w:ascii="方正小标宋简体" w:hAnsi="方正小标宋简体" w:eastAsia="方正小标宋简体" w:cs="Times New Roman"/>
          <w:bCs/>
          <w:color w:val="000000"/>
          <w:kern w:val="0"/>
          <w:sz w:val="44"/>
          <w:szCs w:val="44"/>
        </w:rPr>
      </w:pPr>
      <w:r>
        <w:rPr>
          <w:rFonts w:hint="eastAsia" w:ascii="方正小标宋简体" w:hAnsi="方正小标宋简体" w:eastAsia="方正小标宋简体" w:cs="Times New Roman"/>
          <w:bCs/>
          <w:color w:val="000000"/>
          <w:kern w:val="0"/>
          <w:sz w:val="44"/>
          <w:szCs w:val="44"/>
        </w:rPr>
        <w:t>八公山区第一次全国自然灾害综合风险普查</w:t>
      </w:r>
    </w:p>
    <w:p>
      <w:pPr>
        <w:autoSpaceDE w:val="0"/>
        <w:autoSpaceDN w:val="0"/>
        <w:adjustRightInd w:val="0"/>
        <w:spacing w:line="240" w:lineRule="auto"/>
        <w:ind w:firstLine="0" w:firstLineChars="0"/>
        <w:jc w:val="center"/>
        <w:rPr>
          <w:rFonts w:ascii="方正小标宋简体" w:eastAsia="方正小标宋简体" w:cs="Times New Roman"/>
          <w:bCs/>
          <w:color w:val="000000"/>
          <w:kern w:val="0"/>
          <w:sz w:val="44"/>
          <w:szCs w:val="44"/>
        </w:rPr>
      </w:pPr>
      <w:r>
        <w:rPr>
          <w:rFonts w:hint="eastAsia" w:ascii="方正小标宋简体" w:hAnsi="方正小标宋简体" w:eastAsia="方正小标宋简体" w:cs="Times New Roman"/>
          <w:bCs/>
          <w:color w:val="000000"/>
          <w:kern w:val="0"/>
          <w:sz w:val="44"/>
          <w:szCs w:val="44"/>
        </w:rPr>
        <w:t>工作方案</w:t>
      </w:r>
    </w:p>
    <w:p>
      <w:pPr>
        <w:pStyle w:val="2"/>
        <w:ind w:firstLine="640"/>
        <w:rPr>
          <w:rFonts w:cs="Times New Roman"/>
        </w:rPr>
      </w:pPr>
    </w:p>
    <w:p>
      <w:pPr>
        <w:ind w:firstLine="640"/>
        <w:rPr>
          <w:rFonts w:cs="Times New Roman"/>
        </w:rPr>
      </w:pPr>
      <w:r>
        <w:rPr>
          <w:rFonts w:cs="Times New Roman"/>
        </w:rPr>
        <w:t xml:space="preserve"> </w:t>
      </w:r>
    </w:p>
    <w:p>
      <w:pPr>
        <w:pStyle w:val="2"/>
        <w:ind w:firstLine="640"/>
        <w:rPr>
          <w:rFonts w:cs="Times New Roman"/>
        </w:rPr>
      </w:pPr>
      <w:r>
        <w:rPr>
          <w:rFonts w:cs="Times New Roman"/>
        </w:rPr>
        <w:t xml:space="preserve"> </w:t>
      </w:r>
    </w:p>
    <w:p>
      <w:pPr>
        <w:pStyle w:val="2"/>
        <w:ind w:firstLine="640"/>
        <w:rPr>
          <w:rFonts w:cs="Times New Roman"/>
        </w:rPr>
      </w:pPr>
      <w:r>
        <w:rPr>
          <w:rFonts w:cs="Times New Roman"/>
        </w:rPr>
        <w:t xml:space="preserve"> </w:t>
      </w:r>
    </w:p>
    <w:p>
      <w:pPr>
        <w:autoSpaceDE w:val="0"/>
        <w:autoSpaceDN w:val="0"/>
        <w:adjustRightInd w:val="0"/>
        <w:spacing w:line="560" w:lineRule="exact"/>
        <w:rPr>
          <w:rFonts w:cs="Times New Roman"/>
          <w:b/>
          <w:color w:val="000000"/>
          <w:kern w:val="0"/>
          <w:sz w:val="44"/>
          <w:szCs w:val="44"/>
        </w:rPr>
      </w:pPr>
    </w:p>
    <w:p>
      <w:pPr>
        <w:autoSpaceDE w:val="0"/>
        <w:autoSpaceDN w:val="0"/>
        <w:adjustRightInd w:val="0"/>
        <w:spacing w:line="560" w:lineRule="exact"/>
        <w:rPr>
          <w:rFonts w:cs="Times New Roman"/>
          <w:b/>
          <w:color w:val="000000"/>
          <w:kern w:val="0"/>
          <w:sz w:val="44"/>
          <w:szCs w:val="44"/>
        </w:rPr>
      </w:pPr>
    </w:p>
    <w:p>
      <w:pPr>
        <w:autoSpaceDE w:val="0"/>
        <w:autoSpaceDN w:val="0"/>
        <w:adjustRightInd w:val="0"/>
        <w:spacing w:line="560" w:lineRule="exact"/>
        <w:ind w:firstLine="643"/>
        <w:rPr>
          <w:rFonts w:cs="Times New Roman"/>
          <w:b/>
          <w:color w:val="000000"/>
          <w:kern w:val="0"/>
        </w:rPr>
      </w:pPr>
      <w:r>
        <w:rPr>
          <w:rFonts w:cs="Times New Roman"/>
          <w:b/>
          <w:color w:val="000000"/>
          <w:kern w:val="0"/>
        </w:rPr>
        <w:t xml:space="preserve"> </w:t>
      </w:r>
    </w:p>
    <w:p>
      <w:pPr>
        <w:pStyle w:val="2"/>
        <w:ind w:firstLine="0" w:firstLineChars="0"/>
        <w:rPr>
          <w:rFonts w:cs="Times New Roman"/>
          <w:b/>
          <w:color w:val="000000"/>
          <w:kern w:val="0"/>
        </w:rPr>
      </w:pPr>
      <w:r>
        <w:rPr>
          <w:rFonts w:cs="Times New Roman"/>
          <w:b/>
          <w:color w:val="000000"/>
          <w:kern w:val="0"/>
        </w:rPr>
        <w:t xml:space="preserve"> </w:t>
      </w:r>
    </w:p>
    <w:p>
      <w:pPr>
        <w:ind w:firstLine="643"/>
        <w:rPr>
          <w:rFonts w:cs="Times New Roman"/>
        </w:rPr>
      </w:pPr>
      <w:r>
        <w:rPr>
          <w:rFonts w:cs="Times New Roman"/>
          <w:b/>
          <w:color w:val="000000"/>
          <w:kern w:val="0"/>
        </w:rPr>
        <w:t xml:space="preserve"> </w:t>
      </w:r>
      <w:r>
        <w:rPr>
          <w:rFonts w:cs="Times New Roman"/>
        </w:rPr>
        <w:t xml:space="preserve"> </w:t>
      </w:r>
    </w:p>
    <w:p>
      <w:pPr>
        <w:autoSpaceDE w:val="0"/>
        <w:autoSpaceDN w:val="0"/>
        <w:adjustRightInd w:val="0"/>
        <w:spacing w:line="560" w:lineRule="exact"/>
        <w:ind w:firstLine="0" w:firstLineChars="0"/>
        <w:jc w:val="center"/>
        <w:rPr>
          <w:rFonts w:ascii="仿宋" w:hAnsi="仿宋" w:cs="Times New Roman"/>
          <w:b/>
          <w:color w:val="000000"/>
          <w:kern w:val="0"/>
        </w:rPr>
      </w:pPr>
      <w:r>
        <w:rPr>
          <w:rFonts w:hint="eastAsia" w:ascii="仿宋" w:hAnsi="仿宋" w:cs="宋体"/>
          <w:b/>
          <w:color w:val="000000"/>
          <w:kern w:val="0"/>
        </w:rPr>
        <w:t>八公山区</w:t>
      </w:r>
      <w:r>
        <w:rPr>
          <w:rFonts w:hint="eastAsia" w:ascii="仿宋" w:hAnsi="仿宋" w:cs="MS Mincho"/>
          <w:b/>
          <w:color w:val="000000"/>
          <w:kern w:val="0"/>
        </w:rPr>
        <w:t>第一次全国自然灾害</w:t>
      </w:r>
      <w:r>
        <w:rPr>
          <w:rFonts w:hint="eastAsia" w:ascii="仿宋" w:hAnsi="仿宋" w:cs="宋体"/>
          <w:b/>
          <w:color w:val="000000"/>
          <w:kern w:val="0"/>
        </w:rPr>
        <w:t>综</w:t>
      </w:r>
      <w:r>
        <w:rPr>
          <w:rFonts w:hint="eastAsia" w:ascii="仿宋" w:hAnsi="仿宋" w:cs="MS Mincho"/>
          <w:b/>
          <w:color w:val="000000"/>
          <w:kern w:val="0"/>
        </w:rPr>
        <w:t>合</w:t>
      </w:r>
      <w:r>
        <w:rPr>
          <w:rFonts w:hint="eastAsia" w:ascii="仿宋" w:hAnsi="仿宋" w:cs="宋体"/>
          <w:b/>
          <w:color w:val="000000"/>
          <w:kern w:val="0"/>
        </w:rPr>
        <w:t>风险</w:t>
      </w:r>
      <w:r>
        <w:rPr>
          <w:rFonts w:hint="eastAsia" w:ascii="仿宋" w:hAnsi="仿宋" w:cs="MS Mincho"/>
          <w:b/>
          <w:color w:val="000000"/>
          <w:kern w:val="0"/>
        </w:rPr>
        <w:t>普</w:t>
      </w:r>
      <w:r>
        <w:rPr>
          <w:rFonts w:hint="eastAsia" w:ascii="仿宋" w:hAnsi="仿宋" w:cs="宋体"/>
          <w:b/>
          <w:color w:val="000000"/>
          <w:kern w:val="0"/>
        </w:rPr>
        <w:t>查领导</w:t>
      </w:r>
      <w:r>
        <w:rPr>
          <w:rFonts w:hint="eastAsia" w:ascii="仿宋" w:hAnsi="仿宋" w:cs="MS Mincho"/>
          <w:b/>
          <w:color w:val="000000"/>
          <w:kern w:val="0"/>
        </w:rPr>
        <w:t>小</w:t>
      </w:r>
      <w:r>
        <w:rPr>
          <w:rFonts w:hint="eastAsia" w:ascii="仿宋" w:hAnsi="仿宋" w:cs="宋体"/>
          <w:b/>
          <w:color w:val="000000"/>
          <w:kern w:val="0"/>
        </w:rPr>
        <w:t>组办</w:t>
      </w:r>
      <w:r>
        <w:rPr>
          <w:rFonts w:hint="eastAsia" w:ascii="仿宋" w:hAnsi="仿宋" w:cs="MS Mincho"/>
          <w:b/>
          <w:color w:val="000000"/>
          <w:kern w:val="0"/>
        </w:rPr>
        <w:t>公室</w:t>
      </w:r>
    </w:p>
    <w:p>
      <w:pPr>
        <w:autoSpaceDE w:val="0"/>
        <w:autoSpaceDN w:val="0"/>
        <w:adjustRightInd w:val="0"/>
        <w:spacing w:line="560" w:lineRule="exact"/>
        <w:ind w:firstLine="0" w:firstLineChars="0"/>
        <w:jc w:val="center"/>
        <w:rPr>
          <w:rFonts w:eastAsia="宋体" w:cs="Times New Roman"/>
          <w:color w:val="000000"/>
        </w:rPr>
      </w:pPr>
      <w:r>
        <w:rPr>
          <w:rFonts w:eastAsia="楷体_GB2312" w:cs="Times New Roman"/>
          <w:b/>
          <w:color w:val="000000"/>
          <w:spacing w:val="57"/>
          <w:kern w:val="0"/>
        </w:rPr>
        <w:t>2021</w:t>
      </w:r>
      <w:r>
        <w:rPr>
          <w:rFonts w:hAnsi="楷体_GB2312" w:eastAsia="楷体_GB2312" w:cs="Times New Roman"/>
          <w:b/>
          <w:color w:val="000000"/>
          <w:spacing w:val="57"/>
          <w:kern w:val="0"/>
        </w:rPr>
        <w:t>年</w:t>
      </w:r>
      <w:r>
        <w:rPr>
          <w:rFonts w:hint="eastAsia" w:cs="Times New Roman" w:eastAsiaTheme="minorEastAsia"/>
          <w:b/>
          <w:color w:val="000000"/>
          <w:spacing w:val="57"/>
          <w:kern w:val="0"/>
        </w:rPr>
        <w:t>8</w:t>
      </w:r>
      <w:r>
        <w:rPr>
          <w:rFonts w:hAnsi="楷体_GB2312" w:eastAsia="楷体_GB2312" w:cs="Times New Roman"/>
          <w:b/>
          <w:color w:val="000000"/>
          <w:spacing w:val="57"/>
          <w:kern w:val="0"/>
        </w:rPr>
        <w:t>月</w:t>
      </w:r>
    </w:p>
    <w:p>
      <w:pPr>
        <w:ind w:firstLine="640"/>
      </w:pPr>
    </w:p>
    <w:p>
      <w:pPr>
        <w:ind w:firstLine="640"/>
      </w:pPr>
    </w:p>
    <w:p>
      <w:pPr>
        <w:ind w:firstLine="640"/>
      </w:pPr>
    </w:p>
    <w:p>
      <w:pPr>
        <w:ind w:firstLine="0" w:firstLineChars="0"/>
        <w:jc w:val="center"/>
        <w:rPr>
          <w:rFonts w:ascii="方正小标宋简体" w:eastAsia="方正小标宋简体"/>
          <w:sz w:val="36"/>
          <w:szCs w:val="36"/>
        </w:rPr>
      </w:pPr>
      <w:r>
        <w:rPr>
          <w:rFonts w:hint="eastAsia" w:ascii="方正小标宋简体" w:eastAsia="方正小标宋简体"/>
          <w:sz w:val="36"/>
          <w:szCs w:val="36"/>
        </w:rPr>
        <w:t>八公山区第一次全国自然灾害综合风险普查工作方案</w:t>
      </w:r>
    </w:p>
    <w:p>
      <w:pPr>
        <w:ind w:firstLine="640"/>
      </w:pPr>
    </w:p>
    <w:p>
      <w:pPr>
        <w:ind w:firstLine="640"/>
        <w:rPr>
          <w:rFonts w:ascii="仿宋_GB2312" w:hAnsi="仿宋_GB2312" w:eastAsia="仿宋_GB2312" w:cs="仿宋_GB2312"/>
        </w:rPr>
      </w:pPr>
      <w:r>
        <w:rPr>
          <w:rFonts w:hint="eastAsia" w:ascii="仿宋_GB2312" w:hAnsi="仿宋_GB2312" w:eastAsia="仿宋_GB2312" w:cs="仿宋_GB2312"/>
        </w:rPr>
        <w:t>根据安徽省《第一次全国自然灾害综合风险普查实施方案》（皖灾险普办发〔2021〕10号）和《淮南市第一次全国自然灾害综合风险普查工作方案》等文件要求，制定我区普查工作方案如下：</w:t>
      </w:r>
    </w:p>
    <w:p>
      <w:pPr>
        <w:ind w:firstLine="640" w:firstLineChars="0"/>
        <w:rPr>
          <w:rFonts w:ascii="黑体" w:hAnsi="黑体" w:eastAsia="黑体"/>
        </w:rPr>
      </w:pPr>
      <w:r>
        <w:rPr>
          <w:rFonts w:hint="eastAsia" w:ascii="黑体" w:hAnsi="黑体" w:eastAsia="黑体"/>
        </w:rPr>
        <w:t>一、总体要求</w:t>
      </w:r>
    </w:p>
    <w:p>
      <w:pPr>
        <w:ind w:firstLine="640" w:firstLineChars="0"/>
        <w:rPr>
          <w:rFonts w:ascii="楷体" w:hAnsi="楷体" w:eastAsia="楷体"/>
          <w:b/>
        </w:rPr>
      </w:pPr>
      <w:r>
        <w:rPr>
          <w:rFonts w:hint="eastAsia" w:ascii="楷体" w:hAnsi="楷体" w:eastAsia="楷体"/>
          <w:b/>
        </w:rPr>
        <w:t>（一）指导思想</w:t>
      </w:r>
    </w:p>
    <w:p>
      <w:pPr>
        <w:ind w:firstLine="640"/>
        <w:rPr>
          <w:rFonts w:ascii="仿宋_GB2312" w:hAnsi="仿宋_GB2312" w:eastAsia="仿宋_GB2312" w:cs="仿宋_GB2312"/>
        </w:rPr>
      </w:pPr>
      <w:r>
        <w:rPr>
          <w:rFonts w:hint="eastAsia" w:ascii="仿宋_GB2312" w:hAnsi="仿宋_GB2312" w:eastAsia="仿宋_GB2312" w:cs="仿宋_GB2312"/>
        </w:rPr>
        <w:t>以习近平总书记新时代防灾减灾救灾重要思想为指导，全面贯彻落实党中央、国务院和省、市、区委、</w:t>
      </w:r>
      <w:r>
        <w:rPr>
          <w:rFonts w:hint="eastAsia" w:ascii="仿宋_GB2312" w:hAnsi="仿宋_GB2312" w:eastAsia="仿宋_GB2312" w:cs="仿宋_GB2312"/>
          <w:lang w:val="en-US" w:eastAsia="zh-CN"/>
        </w:rPr>
        <w:t>区</w:t>
      </w:r>
      <w:r>
        <w:rPr>
          <w:rFonts w:hint="eastAsia" w:ascii="仿宋_GB2312" w:hAnsi="仿宋_GB2312" w:eastAsia="仿宋_GB2312" w:cs="仿宋_GB2312"/>
        </w:rPr>
        <w:t>政府决策部署，通过组织开展第一次全国自然灾害综合风险普查，切实摸清全区自然灾害风险隐患底数，查明防灾抗灾能力，客观认识评估当前全区自然灾害综合风险水平，为淮南市开展自然灾害防治和应急管理、降低自然灾害风险、保障经济社会可持续发</w:t>
      </w:r>
      <w:bookmarkStart w:id="1" w:name="_GoBack"/>
      <w:bookmarkEnd w:id="1"/>
      <w:r>
        <w:rPr>
          <w:rFonts w:hint="eastAsia" w:ascii="仿宋_GB2312" w:hAnsi="仿宋_GB2312" w:eastAsia="仿宋_GB2312" w:cs="仿宋_GB2312"/>
        </w:rPr>
        <w:t>展提供科学决策依据。</w:t>
      </w:r>
    </w:p>
    <w:p>
      <w:pPr>
        <w:ind w:firstLine="640" w:firstLineChars="0"/>
        <w:rPr>
          <w:rFonts w:ascii="楷体" w:hAnsi="楷体" w:eastAsia="楷体"/>
          <w:b/>
        </w:rPr>
      </w:pPr>
      <w:r>
        <w:rPr>
          <w:rFonts w:hint="eastAsia" w:ascii="楷体" w:hAnsi="楷体" w:eastAsia="楷体"/>
          <w:b/>
        </w:rPr>
        <w:t>（二）工作原则</w:t>
      </w:r>
    </w:p>
    <w:p>
      <w:pPr>
        <w:ind w:firstLine="640"/>
        <w:rPr>
          <w:rFonts w:ascii="仿宋_GB2312" w:hAnsi="仿宋_GB2312" w:eastAsia="仿宋_GB2312" w:cs="仿宋_GB2312"/>
        </w:rPr>
      </w:pPr>
      <w:r>
        <w:rPr>
          <w:rFonts w:hint="eastAsia" w:ascii="仿宋_GB2312" w:hAnsi="仿宋_GB2312" w:eastAsia="仿宋_GB2312" w:cs="仿宋_GB2312"/>
        </w:rPr>
        <w:t>普查工作按照“全区统一领导、部门分工协作、区、镇（街道）分级负责、各方共同参与”的原则组织实施。</w:t>
      </w:r>
    </w:p>
    <w:p>
      <w:pPr>
        <w:ind w:firstLine="640"/>
        <w:rPr>
          <w:rFonts w:ascii="仿宋_GB2312" w:hAnsi="仿宋_GB2312" w:eastAsia="仿宋_GB2312" w:cs="仿宋_GB2312"/>
        </w:rPr>
      </w:pPr>
      <w:r>
        <w:rPr>
          <w:rFonts w:hint="eastAsia" w:ascii="仿宋_GB2312" w:hAnsi="仿宋_GB2312" w:eastAsia="仿宋_GB2312" w:cs="仿宋_GB2312"/>
        </w:rPr>
        <w:t>（1）成立八公山区第一次全国自然综合风险普查领导小组及其办公室，统一组织普查工作，负责统筹各部门参加的普查任务，形成统一的工作方案和组织实施细则。各部门按照各自职责与分工，完成普查任务，并按照统一要求提交普查成果，形成综合性成果。</w:t>
      </w:r>
    </w:p>
    <w:p>
      <w:pPr>
        <w:ind w:firstLine="640"/>
        <w:rPr>
          <w:rFonts w:ascii="仿宋_GB2312" w:hAnsi="仿宋_GB2312" w:eastAsia="仿宋_GB2312" w:cs="仿宋_GB2312"/>
        </w:rPr>
      </w:pPr>
      <w:r>
        <w:rPr>
          <w:rFonts w:hint="eastAsia" w:ascii="仿宋_GB2312" w:hAnsi="仿宋_GB2312" w:eastAsia="仿宋_GB2312" w:cs="仿宋_GB2312"/>
        </w:rPr>
        <w:t>（2）区政府是落实自然灾害综合风险普查工作的责任主体，负责本地区普查工作的组织实施，协调解决区级层面的重大问题；按照属地和在地原则，承担辖区内的具体普查任务落实；区级行业牵头部门负责组织指导本行业单灾种、承灾体调查与评估工作，其他有关单位按照职责分工协同做好相关工作。</w:t>
      </w:r>
    </w:p>
    <w:p>
      <w:pPr>
        <w:ind w:firstLine="640"/>
      </w:pPr>
      <w:r>
        <w:rPr>
          <w:rFonts w:hint="eastAsia" w:ascii="仿宋_GB2312" w:hAnsi="仿宋_GB2312" w:eastAsia="仿宋_GB2312" w:cs="仿宋_GB2312"/>
        </w:rPr>
        <w:t>（3）全国自然灾害综合风险普查是我国灾害基本国情和国力的专项性普查，要全面系统调查灾害风险系统各个要素；要突出多灾种综合、多要素综合、多方法综合；要合理划分普查对象，科学组织实施；要充分利用现有数据信息资源、共享普查成果。</w:t>
      </w:r>
    </w:p>
    <w:p>
      <w:pPr>
        <w:ind w:firstLine="640" w:firstLineChars="0"/>
        <w:rPr>
          <w:rFonts w:ascii="黑体" w:hAnsi="黑体" w:eastAsia="黑体"/>
        </w:rPr>
      </w:pPr>
      <w:r>
        <w:rPr>
          <w:rFonts w:hint="eastAsia" w:ascii="黑体" w:hAnsi="黑体" w:eastAsia="黑体"/>
        </w:rPr>
        <w:t>二、目标任务</w:t>
      </w:r>
    </w:p>
    <w:p>
      <w:pPr>
        <w:ind w:firstLine="643"/>
        <w:rPr>
          <w:rFonts w:ascii="楷体" w:hAnsi="楷体" w:eastAsia="楷体"/>
          <w:b/>
        </w:rPr>
      </w:pPr>
      <w:r>
        <w:rPr>
          <w:rFonts w:hint="eastAsia" w:ascii="楷体" w:hAnsi="楷体" w:eastAsia="楷体"/>
          <w:b/>
        </w:rPr>
        <w:t>（一）工作目标</w:t>
      </w:r>
    </w:p>
    <w:p>
      <w:pPr>
        <w:ind w:firstLine="627" w:firstLineChars="196"/>
        <w:rPr>
          <w:rFonts w:ascii="仿宋_GB2312" w:hAnsi="仿宋_GB2312" w:eastAsia="仿宋_GB2312" w:cs="仿宋_GB2312"/>
        </w:rPr>
      </w:pPr>
      <w:r>
        <w:rPr>
          <w:rFonts w:hint="eastAsia"/>
          <w:b/>
        </w:rPr>
        <w:t>1、完成灾害风险调查工作。</w:t>
      </w:r>
      <w:r>
        <w:rPr>
          <w:rFonts w:hint="eastAsia" w:ascii="仿宋_GB2312" w:hAnsi="仿宋_GB2312" w:eastAsia="仿宋_GB2312" w:cs="仿宋_GB2312"/>
        </w:rPr>
        <w:t>全面获取我区地震、地质、气象、水旱、森林火灾等主要自然灾害致灾因子信息；人口、房屋、基础设施、危化品企业、公共服务系统、三次产业和生产总值（GDP）、资源与环境等重要承灾体信息，历史灾害信息，掌握重点隐患情况，查明区域抗灾能力和减灾能力。</w:t>
      </w:r>
    </w:p>
    <w:p>
      <w:pPr>
        <w:ind w:firstLine="627" w:firstLineChars="196"/>
      </w:pPr>
      <w:r>
        <w:rPr>
          <w:rFonts w:hint="eastAsia"/>
          <w:b/>
        </w:rPr>
        <w:t>2、形成普查数据库。</w:t>
      </w:r>
      <w:r>
        <w:rPr>
          <w:rFonts w:hint="eastAsia" w:ascii="仿宋_GB2312" w:hAnsi="仿宋_GB2312" w:eastAsia="仿宋_GB2312" w:cs="仿宋_GB2312"/>
        </w:rPr>
        <w:t>以调查为基础、评估为重点，客观认识当前全区致灾危险水平、承灾体脆弱性水平、综合减灾能力、自然灾害综合隐患和区域多灾种组合特征，建立分区域、分类型、分要素的自然灾害综合风险与减灾能力数据库，形成全区自然灾害综合风险区划和防治区划建议。</w:t>
      </w:r>
    </w:p>
    <w:p>
      <w:pPr>
        <w:ind w:firstLine="627" w:firstLineChars="196"/>
        <w:rPr>
          <w:rFonts w:ascii="仿宋_GB2312" w:hAnsi="仿宋_GB2312" w:eastAsia="仿宋_GB2312" w:cs="仿宋_GB2312"/>
        </w:rPr>
      </w:pPr>
      <w:r>
        <w:rPr>
          <w:rFonts w:hint="eastAsia"/>
          <w:b/>
        </w:rPr>
        <w:t>3、建立普查成果利用体系。</w:t>
      </w:r>
      <w:r>
        <w:rPr>
          <w:rFonts w:hint="eastAsia" w:ascii="仿宋_GB2312" w:hAnsi="仿宋_GB2312" w:eastAsia="仿宋_GB2312" w:cs="仿宋_GB2312"/>
        </w:rPr>
        <w:t>通过实施普查，分级建立综合风险普查数据库管理和利用体系、自然灾害综合风险普查的技术方法和模型库，形成一整套灾害综合风险普查与常态业务工作相互衔接、相互促进的工作制度。</w:t>
      </w:r>
    </w:p>
    <w:p>
      <w:pPr>
        <w:ind w:firstLine="643"/>
        <w:rPr>
          <w:rFonts w:ascii="楷体" w:hAnsi="楷体" w:eastAsia="楷体"/>
          <w:b/>
        </w:rPr>
      </w:pPr>
      <w:r>
        <w:rPr>
          <w:rFonts w:hint="eastAsia" w:ascii="楷体" w:hAnsi="楷体" w:eastAsia="楷体"/>
          <w:b/>
        </w:rPr>
        <w:t>（二）普查范围内容</w:t>
      </w:r>
    </w:p>
    <w:p>
      <w:pPr>
        <w:ind w:firstLine="643"/>
        <w:rPr>
          <w:rFonts w:ascii="仿宋_GB2312" w:hAnsi="仿宋_GB2312" w:eastAsia="仿宋_GB2312" w:cs="仿宋_GB2312"/>
        </w:rPr>
      </w:pPr>
      <w:r>
        <w:rPr>
          <w:rFonts w:hint="eastAsia"/>
          <w:b/>
        </w:rPr>
        <w:t>1、普查对象。</w:t>
      </w:r>
      <w:r>
        <w:rPr>
          <w:rFonts w:hint="eastAsia" w:ascii="仿宋_GB2312" w:hAnsi="仿宋_GB2312" w:eastAsia="仿宋_GB2312" w:cs="仿宋_GB2312"/>
        </w:rPr>
        <w:t>本次普查范围涵盖与自然灾害相关的自然和人文地理要素，普查对象包括区级人民政府及有关部门，乡镇人民政府、城区社区、办事处，村民委员会和居民委员会，重点企事业单位和社会组织，部分居民等。</w:t>
      </w:r>
    </w:p>
    <w:p>
      <w:pPr>
        <w:ind w:firstLine="640"/>
        <w:rPr>
          <w:rFonts w:ascii="仿宋_GB2312" w:hAnsi="仿宋_GB2312" w:eastAsia="仿宋_GB2312" w:cs="仿宋_GB2312"/>
        </w:rPr>
      </w:pPr>
      <w:r>
        <w:rPr>
          <w:rFonts w:hint="eastAsia" w:ascii="仿宋_GB2312" w:hAnsi="仿宋_GB2312" w:eastAsia="仿宋_GB2312" w:cs="仿宋_GB2312"/>
        </w:rPr>
        <w:t>（1）灾害种类。涉及的自然灾害类型有水旱、气象、地质、地震、森林火灾等5个主要灾种。其中，水旱灾害包括河流洪水、山洪灾害和干旱灾害；地质灾害包括滑坡、崩塌、泥石流等；气象灾害包括暴雨、台风、干旱、高温、低温、大风、冰雹、雪灾、雷电等。</w:t>
      </w:r>
    </w:p>
    <w:p>
      <w:pPr>
        <w:ind w:firstLine="640"/>
        <w:rPr>
          <w:rFonts w:ascii="仿宋_GB2312" w:hAnsi="仿宋_GB2312" w:eastAsia="仿宋_GB2312" w:cs="仿宋_GB2312"/>
        </w:rPr>
      </w:pPr>
      <w:r>
        <w:rPr>
          <w:rFonts w:hint="eastAsia" w:ascii="仿宋_GB2312" w:hAnsi="仿宋_GB2312" w:eastAsia="仿宋_GB2312" w:cs="仿宋_GB2312"/>
        </w:rPr>
        <w:t>（2）主要自然灾害重点隐患普查。针对地震灾害的房屋和建筑物隐患、地质灾害的房屋隐患、洪水灾害的道路隐患以及森林火灾的建筑物隐患等进行分析调查。</w:t>
      </w:r>
    </w:p>
    <w:p>
      <w:pPr>
        <w:ind w:firstLine="640"/>
        <w:rPr>
          <w:rFonts w:ascii="仿宋_GB2312" w:hAnsi="仿宋_GB2312" w:eastAsia="仿宋_GB2312" w:cs="仿宋_GB2312"/>
        </w:rPr>
      </w:pPr>
      <w:r>
        <w:rPr>
          <w:rFonts w:hint="eastAsia" w:ascii="仿宋_GB2312" w:hAnsi="仿宋_GB2312" w:eastAsia="仿宋_GB2312" w:cs="仿宋_GB2312"/>
        </w:rPr>
        <w:t>（3）承灾体调查对象。包括可能遭受灾害破坏和影响的居民、生命线工程 （市政、能源、通信、交通等）、公共服务设施、危险化学品企业、三次产业所涉及的人口、房屋、基础设施、财产、自然资源与环境和区域经济等。</w:t>
      </w:r>
    </w:p>
    <w:p>
      <w:pPr>
        <w:ind w:firstLine="640"/>
        <w:rPr>
          <w:rFonts w:ascii="仿宋_GB2312" w:hAnsi="仿宋_GB2312" w:eastAsia="仿宋_GB2312" w:cs="仿宋_GB2312"/>
        </w:rPr>
      </w:pPr>
      <w:r>
        <w:rPr>
          <w:rFonts w:hint="eastAsia" w:ascii="仿宋_GB2312" w:hAnsi="仿宋_GB2312" w:eastAsia="仿宋_GB2312" w:cs="仿宋_GB2312"/>
        </w:rPr>
        <w:t>（4）综合减灾能力调查对象。包括参与防灾减灾救灾工作的各级政府及有关部门、乡镇人民政府（街道办事处）、行政村（社区）委员会、企事业单位、社会组织、居民，以及水利工程、地质灾害防护工程、避难场所、森林防护等防灾减灾工程。</w:t>
      </w:r>
    </w:p>
    <w:p>
      <w:pPr>
        <w:ind w:firstLine="627" w:firstLineChars="196"/>
        <w:rPr>
          <w:rFonts w:ascii="仿宋_GB2312" w:hAnsi="仿宋_GB2312" w:eastAsia="仿宋_GB2312" w:cs="仿宋_GB2312"/>
        </w:rPr>
      </w:pPr>
      <w:r>
        <w:rPr>
          <w:rFonts w:hint="eastAsia"/>
          <w:b/>
        </w:rPr>
        <w:t>2、普查内容。</w:t>
      </w:r>
      <w:r>
        <w:rPr>
          <w:rFonts w:hint="eastAsia" w:ascii="仿宋_GB2312" w:hAnsi="仿宋_GB2312" w:eastAsia="仿宋_GB2312" w:cs="仿宋_GB2312"/>
        </w:rPr>
        <w:t>具体包括主要自然灾害致灾调查与评估、承灾体调查、历史灾害调查与评估、综合减灾能力调查与评估、自然灾害重点隐患调查与评估、主要自然灾害风险评估与区划、自然灾害综合风险评估与区划7个方面。（详见附件1）</w:t>
      </w:r>
    </w:p>
    <w:p>
      <w:pPr>
        <w:ind w:firstLine="627" w:firstLineChars="196"/>
        <w:rPr>
          <w:rFonts w:ascii="仿宋_GB2312" w:hAnsi="仿宋_GB2312" w:eastAsia="仿宋_GB2312" w:cs="仿宋_GB2312"/>
        </w:rPr>
      </w:pPr>
      <w:r>
        <w:rPr>
          <w:rFonts w:hint="eastAsia"/>
          <w:b/>
        </w:rPr>
        <w:t>3、地域及时间范围。</w:t>
      </w:r>
      <w:r>
        <w:rPr>
          <w:rFonts w:hint="eastAsia" w:ascii="仿宋_GB2312" w:hAnsi="仿宋_GB2312" w:eastAsia="仿宋_GB2312" w:cs="仿宋_GB2312"/>
        </w:rPr>
        <w:t>按照“属地统计”和“在地统计”的原则开展各项普查任务。根据调查内容分类确定普查时段（时点），致灾因子调查依据不同自然灾害类型特点，调查收集30年以上长时间连续序列的数据资料，相关信息更新至2020年12月31日。承灾体和综合减灾能力调查、重点隐患调查，年度时段为2020年1月1日至2020年12月31日，近三年时段为2018年1月1日至2020年12月31日，时点为2020年12月31日24时。历史灾害灾情调查时段主要为1978年至2020年，包括历史年度自然灾害调查和重大历史自然灾害调查，其中重大自然灾害调查时段为1949年至2020年。</w:t>
      </w:r>
    </w:p>
    <w:p>
      <w:pPr>
        <w:ind w:firstLine="627" w:firstLineChars="196"/>
        <w:rPr>
          <w:rFonts w:ascii="黑体" w:hAnsi="黑体" w:eastAsia="黑体"/>
        </w:rPr>
      </w:pPr>
      <w:r>
        <w:rPr>
          <w:rFonts w:hint="eastAsia" w:ascii="黑体" w:hAnsi="黑体" w:eastAsia="黑体"/>
        </w:rPr>
        <w:t>三、任务分工</w:t>
      </w:r>
    </w:p>
    <w:p>
      <w:pPr>
        <w:ind w:firstLine="627" w:firstLineChars="196"/>
        <w:rPr>
          <w:rFonts w:ascii="楷体" w:hAnsi="楷体" w:eastAsia="楷体"/>
          <w:b/>
        </w:rPr>
      </w:pPr>
      <w:r>
        <w:rPr>
          <w:rFonts w:hint="eastAsia" w:ascii="楷体" w:hAnsi="楷体" w:eastAsia="楷体"/>
          <w:b/>
        </w:rPr>
        <w:t>（一）区级分工与职责</w:t>
      </w:r>
    </w:p>
    <w:p>
      <w:pPr>
        <w:ind w:firstLine="627" w:firstLineChars="196"/>
        <w:rPr>
          <w:rFonts w:ascii="楷体" w:hAnsi="楷体" w:eastAsia="楷体"/>
          <w:b/>
        </w:rPr>
      </w:pPr>
      <w:r>
        <w:rPr>
          <w:rFonts w:hint="eastAsia" w:ascii="楷体" w:hAnsi="楷体" w:eastAsia="楷体"/>
          <w:b/>
        </w:rPr>
        <w:t>1.区级分工</w:t>
      </w:r>
    </w:p>
    <w:p>
      <w:pPr>
        <w:ind w:firstLine="640"/>
        <w:rPr>
          <w:rFonts w:ascii="仿宋_GB2312" w:hAnsi="仿宋_GB2312" w:eastAsia="仿宋_GB2312" w:cs="仿宋_GB2312"/>
        </w:rPr>
      </w:pPr>
      <w:r>
        <w:rPr>
          <w:rFonts w:hint="eastAsia"/>
        </w:rPr>
        <w:t>（</w:t>
      </w:r>
      <w:r>
        <w:rPr>
          <w:rFonts w:hint="eastAsia" w:ascii="仿宋_GB2312" w:hAnsi="仿宋_GB2312" w:eastAsia="仿宋_GB2312" w:cs="仿宋_GB2312"/>
        </w:rPr>
        <w:t>1）成立普查机构，落实普查人员和队伍。</w:t>
      </w:r>
    </w:p>
    <w:p>
      <w:pPr>
        <w:ind w:firstLine="640"/>
        <w:rPr>
          <w:rFonts w:ascii="仿宋_GB2312" w:hAnsi="仿宋_GB2312" w:eastAsia="仿宋_GB2312" w:cs="仿宋_GB2312"/>
        </w:rPr>
      </w:pPr>
      <w:r>
        <w:rPr>
          <w:rFonts w:hint="eastAsia" w:ascii="仿宋_GB2312" w:hAnsi="仿宋_GB2312" w:eastAsia="仿宋_GB2312" w:cs="仿宋_GB2312"/>
        </w:rPr>
        <w:t>（2）组织开展区级普查宣传工作。</w:t>
      </w:r>
    </w:p>
    <w:p>
      <w:pPr>
        <w:ind w:firstLine="640"/>
        <w:rPr>
          <w:rFonts w:ascii="仿宋_GB2312" w:hAnsi="仿宋_GB2312" w:eastAsia="仿宋_GB2312" w:cs="仿宋_GB2312"/>
        </w:rPr>
      </w:pPr>
      <w:r>
        <w:rPr>
          <w:rFonts w:hint="eastAsia" w:ascii="仿宋_GB2312" w:hAnsi="仿宋_GB2312" w:eastAsia="仿宋_GB2312" w:cs="仿宋_GB2312"/>
        </w:rPr>
        <w:t>（3）组织开展全区乡镇（街道）、村（社区）普查员技术培训。</w:t>
      </w:r>
    </w:p>
    <w:p>
      <w:pPr>
        <w:ind w:firstLine="640"/>
        <w:rPr>
          <w:rFonts w:ascii="仿宋_GB2312" w:hAnsi="仿宋_GB2312" w:eastAsia="仿宋_GB2312" w:cs="仿宋_GB2312"/>
        </w:rPr>
      </w:pPr>
      <w:r>
        <w:rPr>
          <w:rFonts w:hint="eastAsia" w:ascii="仿宋_GB2312" w:hAnsi="仿宋_GB2312" w:eastAsia="仿宋_GB2312" w:cs="仿宋_GB2312"/>
        </w:rPr>
        <w:t>（4）负责落实区普查配套经费。</w:t>
      </w:r>
    </w:p>
    <w:p>
      <w:pPr>
        <w:ind w:firstLine="640"/>
        <w:rPr>
          <w:rFonts w:ascii="仿宋_GB2312" w:hAnsi="仿宋_GB2312" w:eastAsia="仿宋_GB2312" w:cs="仿宋_GB2312"/>
        </w:rPr>
      </w:pPr>
      <w:r>
        <w:rPr>
          <w:rFonts w:hint="eastAsia" w:ascii="仿宋_GB2312" w:hAnsi="仿宋_GB2312" w:eastAsia="仿宋_GB2312" w:cs="仿宋_GB2312"/>
        </w:rPr>
        <w:t>（5）负责编制区级普查实施细则和工作方案。</w:t>
      </w:r>
    </w:p>
    <w:p>
      <w:pPr>
        <w:ind w:firstLine="640"/>
        <w:rPr>
          <w:rFonts w:ascii="仿宋_GB2312" w:hAnsi="仿宋_GB2312" w:eastAsia="仿宋_GB2312" w:cs="仿宋_GB2312"/>
        </w:rPr>
      </w:pPr>
      <w:r>
        <w:rPr>
          <w:rFonts w:hint="eastAsia" w:ascii="仿宋_GB2312" w:hAnsi="仿宋_GB2312" w:eastAsia="仿宋_GB2312" w:cs="仿宋_GB2312"/>
        </w:rPr>
        <w:t>（6）组建技术团队，指导普查实施。</w:t>
      </w:r>
    </w:p>
    <w:p>
      <w:pPr>
        <w:ind w:firstLine="640"/>
        <w:rPr>
          <w:rFonts w:ascii="仿宋_GB2312" w:hAnsi="仿宋_GB2312" w:eastAsia="仿宋_GB2312" w:cs="仿宋_GB2312"/>
        </w:rPr>
      </w:pPr>
      <w:r>
        <w:rPr>
          <w:rFonts w:hint="eastAsia" w:ascii="仿宋_GB2312" w:hAnsi="仿宋_GB2312" w:eastAsia="仿宋_GB2312" w:cs="仿宋_GB2312"/>
        </w:rPr>
        <w:t>（7）负责全区自然灾害综合风险清查和调查工作。</w:t>
      </w:r>
    </w:p>
    <w:p>
      <w:pPr>
        <w:ind w:firstLine="640"/>
        <w:rPr>
          <w:rFonts w:ascii="仿宋_GB2312" w:hAnsi="仿宋_GB2312" w:eastAsia="仿宋_GB2312" w:cs="仿宋_GB2312"/>
        </w:rPr>
      </w:pPr>
      <w:r>
        <w:rPr>
          <w:rFonts w:hint="eastAsia" w:ascii="仿宋_GB2312" w:hAnsi="仿宋_GB2312" w:eastAsia="仿宋_GB2312" w:cs="仿宋_GB2312"/>
        </w:rPr>
        <w:t>（8）负责全区普查数据成果审核汇总，形成区级灾害风险普查成果。</w:t>
      </w:r>
    </w:p>
    <w:p>
      <w:pPr>
        <w:ind w:firstLine="627" w:firstLineChars="196"/>
        <w:rPr>
          <w:b/>
        </w:rPr>
      </w:pPr>
      <w:r>
        <w:rPr>
          <w:rFonts w:hint="eastAsia"/>
          <w:b/>
        </w:rPr>
        <w:t>2、区普查办职责</w:t>
      </w:r>
    </w:p>
    <w:p>
      <w:pPr>
        <w:ind w:firstLine="640"/>
        <w:rPr>
          <w:rFonts w:ascii="仿宋_GB2312" w:hAnsi="仿宋_GB2312" w:eastAsia="仿宋_GB2312" w:cs="仿宋_GB2312"/>
        </w:rPr>
      </w:pPr>
      <w:r>
        <w:rPr>
          <w:rFonts w:hint="eastAsia" w:ascii="仿宋_GB2312" w:hAnsi="仿宋_GB2312" w:eastAsia="仿宋_GB2312" w:cs="仿宋_GB2312"/>
        </w:rPr>
        <w:t>区普查办在区第一次全国自然灾害综合风险普查领导小组的领导下开展工作，承担领导小组日常工作，具体负责全区自然灾害综合风险普查的组织、协调和实施，研究提出需领导小组决策的建议方案，督促落实领导小组议定事项，承办领导小组交办的其他事项。具体职责包括：</w:t>
      </w:r>
    </w:p>
    <w:p>
      <w:pPr>
        <w:ind w:firstLine="640"/>
        <w:rPr>
          <w:rFonts w:ascii="仿宋_GB2312" w:hAnsi="仿宋_GB2312" w:eastAsia="仿宋_GB2312" w:cs="仿宋_GB2312"/>
        </w:rPr>
      </w:pPr>
      <w:r>
        <w:rPr>
          <w:rFonts w:hint="eastAsia" w:ascii="仿宋_GB2312" w:hAnsi="仿宋_GB2312" w:eastAsia="仿宋_GB2312" w:cs="仿宋_GB2312"/>
        </w:rPr>
        <w:t>（1）编制八公山区第一次全国自然灾害综合风险普查工作方案，协调争取中央省级预算支持，组织区级普查任务的实施；调度督促区级各部门开展普查工作。</w:t>
      </w:r>
    </w:p>
    <w:p>
      <w:pPr>
        <w:ind w:firstLine="640"/>
        <w:rPr>
          <w:rFonts w:ascii="仿宋_GB2312" w:hAnsi="仿宋_GB2312" w:eastAsia="仿宋_GB2312" w:cs="仿宋_GB2312"/>
        </w:rPr>
      </w:pPr>
      <w:r>
        <w:rPr>
          <w:rFonts w:hint="eastAsia" w:ascii="仿宋_GB2312" w:hAnsi="仿宋_GB2312" w:eastAsia="仿宋_GB2312" w:cs="仿宋_GB2312"/>
        </w:rPr>
        <w:t>（2）编制普查宣传方案、培训方案；组织开展新闻宣传、舆情引导和业务培训等工作。</w:t>
      </w:r>
    </w:p>
    <w:p>
      <w:pPr>
        <w:ind w:firstLine="640"/>
        <w:rPr>
          <w:rFonts w:ascii="仿宋_GB2312" w:hAnsi="仿宋_GB2312" w:eastAsia="仿宋_GB2312" w:cs="仿宋_GB2312"/>
        </w:rPr>
      </w:pPr>
      <w:r>
        <w:rPr>
          <w:rFonts w:hint="eastAsia" w:ascii="仿宋_GB2312" w:hAnsi="仿宋_GB2312" w:eastAsia="仿宋_GB2312" w:cs="仿宋_GB2312"/>
        </w:rPr>
        <w:t>（3）组织区、镇（街道）核对国家下发的普查基础底图和空间要素信息。</w:t>
      </w:r>
    </w:p>
    <w:p>
      <w:pPr>
        <w:ind w:firstLine="640"/>
        <w:rPr>
          <w:rFonts w:ascii="仿宋_GB2312" w:hAnsi="仿宋_GB2312" w:eastAsia="仿宋_GB2312" w:cs="仿宋_GB2312"/>
        </w:rPr>
      </w:pPr>
      <w:r>
        <w:rPr>
          <w:rFonts w:hint="eastAsia" w:ascii="仿宋_GB2312" w:hAnsi="仿宋_GB2312" w:eastAsia="仿宋_GB2312" w:cs="仿宋_GB2312"/>
        </w:rPr>
        <w:t>（4）负责区级层面各部门和单位普查成果的汇交；指导区级普查机构开展普查成果的汇交工作。</w:t>
      </w:r>
    </w:p>
    <w:p>
      <w:pPr>
        <w:ind w:firstLine="640"/>
        <w:rPr>
          <w:rFonts w:ascii="仿宋_GB2312" w:hAnsi="仿宋_GB2312" w:eastAsia="仿宋_GB2312" w:cs="仿宋_GB2312"/>
        </w:rPr>
      </w:pPr>
      <w:r>
        <w:rPr>
          <w:rFonts w:hint="eastAsia" w:ascii="仿宋_GB2312" w:hAnsi="仿宋_GB2312" w:eastAsia="仿宋_GB2312" w:cs="仿宋_GB2312"/>
        </w:rPr>
        <w:t>（5）协调配合市级开展风险评估和防治区划的编制工作。</w:t>
      </w:r>
    </w:p>
    <w:p>
      <w:pPr>
        <w:ind w:firstLine="640"/>
        <w:rPr>
          <w:rFonts w:ascii="仿宋_GB2312" w:hAnsi="仿宋_GB2312" w:eastAsia="仿宋_GB2312" w:cs="仿宋_GB2312"/>
        </w:rPr>
      </w:pPr>
      <w:r>
        <w:rPr>
          <w:rFonts w:hint="eastAsia" w:ascii="仿宋_GB2312" w:hAnsi="仿宋_GB2312" w:eastAsia="仿宋_GB2312" w:cs="仿宋_GB2312"/>
        </w:rPr>
        <w:t>（6）负责各行业部门普查数据成果汇集、分析上报工作；负责区级普查资料归档、成果编制等。</w:t>
      </w:r>
    </w:p>
    <w:p>
      <w:pPr>
        <w:ind w:firstLine="640"/>
        <w:rPr>
          <w:rFonts w:ascii="仿宋_GB2312" w:hAnsi="仿宋_GB2312" w:eastAsia="仿宋_GB2312" w:cs="仿宋_GB2312"/>
        </w:rPr>
      </w:pPr>
      <w:r>
        <w:rPr>
          <w:rFonts w:hint="eastAsia" w:ascii="仿宋_GB2312" w:hAnsi="仿宋_GB2312" w:eastAsia="仿宋_GB2312" w:cs="仿宋_GB2312"/>
        </w:rPr>
        <w:t>（7）负责全区普查工作总结，按规定开展奖励表彰等工作。</w:t>
      </w:r>
    </w:p>
    <w:p>
      <w:pPr>
        <w:ind w:firstLine="640"/>
        <w:rPr>
          <w:rFonts w:ascii="仿宋_GB2312" w:hAnsi="仿宋_GB2312" w:eastAsia="仿宋_GB2312" w:cs="仿宋_GB2312"/>
        </w:rPr>
      </w:pPr>
      <w:r>
        <w:rPr>
          <w:rFonts w:hint="eastAsia" w:ascii="仿宋_GB2312" w:hAnsi="仿宋_GB2312" w:eastAsia="仿宋_GB2312" w:cs="仿宋_GB2312"/>
        </w:rPr>
        <w:t>（8）承担区普查领导小组和区应急局交办的相关任务等。</w:t>
      </w:r>
    </w:p>
    <w:p>
      <w:pPr>
        <w:ind w:firstLine="627" w:firstLineChars="196"/>
        <w:rPr>
          <w:b/>
        </w:rPr>
      </w:pPr>
      <w:r>
        <w:rPr>
          <w:rFonts w:hint="eastAsia" w:ascii="楷体" w:hAnsi="楷体" w:eastAsia="楷体"/>
          <w:b/>
        </w:rPr>
        <w:t>（二）</w:t>
      </w:r>
      <w:r>
        <w:rPr>
          <w:rFonts w:hint="eastAsia"/>
          <w:b/>
        </w:rPr>
        <w:t>、各部门工作职责</w:t>
      </w:r>
    </w:p>
    <w:p>
      <w:pPr>
        <w:ind w:firstLine="640"/>
        <w:rPr>
          <w:rFonts w:ascii="仿宋_GB2312" w:hAnsi="仿宋_GB2312" w:eastAsia="仿宋_GB2312" w:cs="仿宋_GB2312"/>
        </w:rPr>
      </w:pPr>
      <w:r>
        <w:rPr>
          <w:rFonts w:hint="eastAsia" w:ascii="仿宋_GB2312" w:hAnsi="仿宋_GB2312" w:eastAsia="仿宋_GB2312" w:cs="仿宋_GB2312"/>
        </w:rPr>
        <w:t>区应急管理局牵头组织实施全区自然灾害综合风险普查，会同各参与部门编制普查工作方案和实施细则，开展宣传培训等工作。配合市级建立完善全市数据库、开展综合风险评估与区划、编制综合防治区划图。会同科信、生态环境、住建、农水、交运、统计等部门指导区政府相关部门开展历史灾害情况、重要承灾体灾害属性和空间信息、综合减灾能力、重点隐患等全面调查。</w:t>
      </w:r>
    </w:p>
    <w:p>
      <w:pPr>
        <w:ind w:firstLine="640"/>
        <w:rPr>
          <w:rFonts w:ascii="仿宋_GB2312" w:hAnsi="仿宋_GB2312" w:eastAsia="仿宋_GB2312" w:cs="仿宋_GB2312"/>
        </w:rPr>
      </w:pPr>
      <w:r>
        <w:rPr>
          <w:rFonts w:hint="eastAsia" w:ascii="仿宋_GB2312" w:hAnsi="仿宋_GB2312" w:eastAsia="仿宋_GB2312" w:cs="仿宋_GB2312"/>
        </w:rPr>
        <w:t>自然资源和规划分局、生态环境分局、住建局、交通运输分局、农水局等部门负责开展各单灾种风险致灾孕灾、承灾体、历史灾害、行业减灾能力调查与重点隐患调查和评估、单灾种风险评估与区划图编制等工作。各部门按任务分工负责审核汇总形成全区分项成果，并按要求将分项成果汇交至区应急管理局。各部门职责如下：</w:t>
      </w:r>
    </w:p>
    <w:p>
      <w:pPr>
        <w:ind w:firstLine="640"/>
        <w:rPr>
          <w:rFonts w:ascii="仿宋_GB2312" w:hAnsi="仿宋_GB2312" w:eastAsia="仿宋_GB2312" w:cs="仿宋_GB2312"/>
        </w:rPr>
      </w:pPr>
      <w:r>
        <w:rPr>
          <w:rFonts w:hint="eastAsia" w:ascii="仿宋_GB2312" w:hAnsi="仿宋_GB2312" w:eastAsia="仿宋_GB2312" w:cs="仿宋_GB2312"/>
        </w:rPr>
        <w:t>（1）区应急局：牵头组织开展区级普查工作方案编制。负责编制承灾体（公共服务系统、危险化学品企业等重点企业）调查、历史灾害灾情调查、综合减灾能力调查、综合风险评估与区划等专项实施方案。</w:t>
      </w:r>
    </w:p>
    <w:p>
      <w:pPr>
        <w:ind w:firstLine="640"/>
        <w:rPr>
          <w:rFonts w:ascii="仿宋_GB2312" w:hAnsi="仿宋_GB2312" w:eastAsia="仿宋_GB2312" w:cs="仿宋_GB2312"/>
        </w:rPr>
      </w:pPr>
      <w:r>
        <w:rPr>
          <w:rFonts w:hint="eastAsia" w:ascii="仿宋_GB2312" w:hAnsi="仿宋_GB2312" w:eastAsia="仿宋_GB2312" w:cs="仿宋_GB2312"/>
        </w:rPr>
        <w:t>按需组织开展应急系统技术培训和宣传工作。负责开展承灾体（公共服务系统、危险化学品企业等重点企业）调查、历史灾害灾情调查、综合减灾能力调查、综合风险评估与区划等工作内容的技术培训。</w:t>
      </w:r>
    </w:p>
    <w:p>
      <w:pPr>
        <w:ind w:firstLine="640"/>
        <w:rPr>
          <w:rFonts w:ascii="仿宋_GB2312" w:hAnsi="仿宋_GB2312" w:eastAsia="仿宋_GB2312" w:cs="仿宋_GB2312"/>
        </w:rPr>
      </w:pPr>
      <w:r>
        <w:rPr>
          <w:rFonts w:hint="eastAsia" w:ascii="仿宋_GB2312" w:hAnsi="仿宋_GB2312" w:eastAsia="仿宋_GB2312" w:cs="仿宋_GB2312"/>
        </w:rPr>
        <w:t>组织开展承灾体调查（公共服务系统）、历史灾害灾情调查与评估、综合减灾能力调查与评估、承灾体（危险化学品企业等重点企业）调查和评估等工作。</w:t>
      </w:r>
    </w:p>
    <w:p>
      <w:pPr>
        <w:ind w:firstLine="640"/>
        <w:rPr>
          <w:rFonts w:ascii="仿宋_GB2312" w:hAnsi="仿宋_GB2312" w:eastAsia="仿宋_GB2312" w:cs="仿宋_GB2312"/>
        </w:rPr>
      </w:pPr>
      <w:r>
        <w:rPr>
          <w:rFonts w:hint="eastAsia" w:ascii="仿宋_GB2312" w:hAnsi="仿宋_GB2312" w:eastAsia="仿宋_GB2312" w:cs="仿宋_GB2312"/>
        </w:rPr>
        <w:t>负责指导各镇（街道）开展承灾体调查（公共服务系统、危险化学品企业等重点企业）、历史灾害灾情调查、综合减灾能力调查等工作。</w:t>
      </w:r>
    </w:p>
    <w:p>
      <w:pPr>
        <w:ind w:firstLine="640"/>
        <w:rPr>
          <w:rFonts w:ascii="仿宋_GB2312" w:hAnsi="仿宋_GB2312" w:eastAsia="仿宋_GB2312" w:cs="仿宋_GB2312"/>
        </w:rPr>
      </w:pPr>
      <w:r>
        <w:rPr>
          <w:rFonts w:hint="eastAsia" w:ascii="仿宋_GB2312" w:hAnsi="仿宋_GB2312" w:eastAsia="仿宋_GB2312" w:cs="仿宋_GB2312"/>
        </w:rPr>
        <w:t>负责镇（街道）承灾体调查（公共服务系统、危险化学品企业等重点企业）、历史灾害灾情调查、综合减灾能力调查等数据成果纵向审核汇集。</w:t>
      </w:r>
    </w:p>
    <w:p>
      <w:pPr>
        <w:ind w:firstLine="640"/>
        <w:rPr>
          <w:rFonts w:ascii="仿宋_GB2312" w:hAnsi="仿宋_GB2312" w:eastAsia="仿宋_GB2312" w:cs="仿宋_GB2312"/>
        </w:rPr>
      </w:pPr>
      <w:r>
        <w:rPr>
          <w:rFonts w:hint="eastAsia" w:ascii="仿宋_GB2312" w:hAnsi="仿宋_GB2312" w:eastAsia="仿宋_GB2312" w:cs="仿宋_GB2312"/>
        </w:rPr>
        <w:t>负责区级各成员单位普查成果横向汇集。</w:t>
      </w:r>
    </w:p>
    <w:p>
      <w:pPr>
        <w:ind w:firstLine="640"/>
        <w:rPr>
          <w:rFonts w:ascii="仿宋_GB2312" w:hAnsi="仿宋_GB2312" w:eastAsia="仿宋_GB2312" w:cs="仿宋_GB2312"/>
        </w:rPr>
      </w:pPr>
      <w:r>
        <w:rPr>
          <w:rFonts w:hint="eastAsia" w:ascii="仿宋_GB2312" w:hAnsi="仿宋_GB2312" w:eastAsia="仿宋_GB2312" w:cs="仿宋_GB2312"/>
        </w:rPr>
        <w:t>负责普查实施细则中地震灾害致灾调查与评估、地震灾害重点隐患调查与评估、地震灾害风险评估与区划等内容编制。负责开展地震灾害调查与评估成果的纵向审核和汇集，地震灾害的致灾评估和风险评估与区划，并按要求统一汇交地震灾害普查成果。按需开展本部门普查培训与宣传工作。指导开展全区相关的调查工作，形成地震灾害调查成果。做好历史灾害与行业减灾能力调查。</w:t>
      </w:r>
    </w:p>
    <w:p>
      <w:pPr>
        <w:ind w:firstLine="640"/>
        <w:rPr>
          <w:rFonts w:ascii="仿宋_GB2312" w:hAnsi="仿宋_GB2312" w:eastAsia="仿宋_GB2312" w:cs="仿宋_GB2312"/>
        </w:rPr>
      </w:pPr>
      <w:r>
        <w:rPr>
          <w:rFonts w:hint="eastAsia" w:ascii="仿宋_GB2312" w:hAnsi="仿宋_GB2312" w:eastAsia="仿宋_GB2312" w:cs="仿宋_GB2312"/>
        </w:rPr>
        <w:t>负责普查实施细则中气象灾害致灾调查与评估、气象灾害风险评估与区划等内容编制。负责开展气象灾害调查与评估成果的纵向审核和汇集，气象灾害致灾评估和风险评估与区划，并按要求统一汇交气象灾害普查成果。按需开展本部门普查培训与宣传工作。指导开展全区相关的调查工作，形成气象灾害调查成果。协助做好历史灾害与行业减灾能力调查。</w:t>
      </w:r>
    </w:p>
    <w:p>
      <w:pPr>
        <w:ind w:firstLine="640"/>
        <w:rPr>
          <w:rFonts w:ascii="仿宋_GB2312" w:hAnsi="仿宋_GB2312" w:eastAsia="仿宋_GB2312" w:cs="仿宋_GB2312"/>
        </w:rPr>
      </w:pPr>
      <w:r>
        <w:rPr>
          <w:rFonts w:hint="eastAsia" w:ascii="仿宋_GB2312" w:hAnsi="仿宋_GB2312" w:eastAsia="仿宋_GB2312" w:cs="仿宋_GB2312"/>
        </w:rPr>
        <w:t>（2）区委宣传部：配合区普查办制定宣传工作方案；充分调动本系统部门按需参与普查宣传工作，动员社会各界广泛支持参与，为普查工作顺利实施创造良好舆论氛围。</w:t>
      </w:r>
    </w:p>
    <w:p>
      <w:pPr>
        <w:ind w:firstLine="640"/>
        <w:rPr>
          <w:rFonts w:ascii="仿宋_GB2312" w:hAnsi="仿宋_GB2312" w:eastAsia="仿宋_GB2312" w:cs="仿宋_GB2312"/>
        </w:rPr>
      </w:pPr>
      <w:r>
        <w:rPr>
          <w:rFonts w:hint="eastAsia" w:ascii="仿宋_GB2312" w:hAnsi="仿宋_GB2312" w:eastAsia="仿宋_GB2312" w:cs="仿宋_GB2312"/>
        </w:rPr>
        <w:t>（3）区民族宗教局：协助做好承灾体调查（宗教设施）工作。</w:t>
      </w:r>
    </w:p>
    <w:p>
      <w:pPr>
        <w:ind w:firstLine="640"/>
        <w:rPr>
          <w:rFonts w:ascii="仿宋_GB2312" w:hAnsi="仿宋_GB2312" w:eastAsia="仿宋_GB2312" w:cs="仿宋_GB2312"/>
        </w:rPr>
      </w:pPr>
      <w:r>
        <w:rPr>
          <w:rFonts w:hint="eastAsia" w:ascii="仿宋_GB2312" w:hAnsi="仿宋_GB2312" w:eastAsia="仿宋_GB2312" w:cs="仿宋_GB2312"/>
        </w:rPr>
        <w:t>（4）区发改委（商务投资促进局）：协助做好历史灾害和政府减灾能力调查；协助做好承灾体调查（能源设施）。区发改委（区商务投资促进局）：指导区级开展承灾体（大型超区、百货店和亿元以上商品交易区场）调查工作，协助形成调查成果。</w:t>
      </w:r>
    </w:p>
    <w:p>
      <w:pPr>
        <w:ind w:firstLine="640"/>
        <w:rPr>
          <w:rFonts w:ascii="仿宋_GB2312" w:hAnsi="仿宋_GB2312" w:eastAsia="仿宋_GB2312" w:cs="仿宋_GB2312"/>
        </w:rPr>
      </w:pPr>
      <w:r>
        <w:rPr>
          <w:rFonts w:hint="eastAsia" w:ascii="仿宋_GB2312" w:hAnsi="仿宋_GB2312" w:eastAsia="仿宋_GB2312" w:cs="仿宋_GB2312"/>
        </w:rPr>
        <w:t>（5）区教体局：指导区级开展承灾体（学校、体育场馆）调查工作，协助形成调查成果。</w:t>
      </w:r>
    </w:p>
    <w:p>
      <w:pPr>
        <w:ind w:firstLine="640"/>
        <w:rPr>
          <w:rFonts w:ascii="仿宋_GB2312" w:hAnsi="仿宋_GB2312" w:eastAsia="仿宋_GB2312" w:cs="仿宋_GB2312"/>
        </w:rPr>
      </w:pPr>
      <w:r>
        <w:rPr>
          <w:rFonts w:hint="eastAsia" w:ascii="仿宋_GB2312" w:hAnsi="仿宋_GB2312" w:eastAsia="仿宋_GB2312" w:cs="仿宋_GB2312"/>
        </w:rPr>
        <w:t>（6）区科信局：协助做好政府减灾能力调查；协助做好历史灾害与行业减灾能力调查。协助做好历史灾害与行业减灾能力调查，提供历史自然灾害事件中电力设施受影响和损毁数据。</w:t>
      </w:r>
    </w:p>
    <w:p>
      <w:pPr>
        <w:ind w:firstLine="640"/>
        <w:rPr>
          <w:rFonts w:ascii="仿宋_GB2312" w:hAnsi="仿宋_GB2312" w:eastAsia="仿宋_GB2312" w:cs="仿宋_GB2312"/>
        </w:rPr>
      </w:pPr>
      <w:r>
        <w:rPr>
          <w:rFonts w:hint="eastAsia" w:ascii="仿宋_GB2312" w:hAnsi="仿宋_GB2312" w:eastAsia="仿宋_GB2312" w:cs="仿宋_GB2312"/>
        </w:rPr>
        <w:t>（7）八公山公安分局：协助做好综合减灾能力调查。</w:t>
      </w:r>
    </w:p>
    <w:p>
      <w:pPr>
        <w:ind w:firstLine="640"/>
        <w:rPr>
          <w:rFonts w:ascii="仿宋_GB2312" w:hAnsi="仿宋_GB2312" w:eastAsia="仿宋_GB2312" w:cs="仿宋_GB2312"/>
        </w:rPr>
      </w:pPr>
      <w:r>
        <w:rPr>
          <w:rFonts w:hint="eastAsia" w:ascii="仿宋_GB2312" w:hAnsi="仿宋_GB2312" w:eastAsia="仿宋_GB2312" w:cs="仿宋_GB2312"/>
        </w:rPr>
        <w:t>（8）区民政局：协助做好历史自然灾害调查与评估、综合减灾能力调查与评估（社会组织）的相关工作。指导区级开展承灾体（提供住宿的社会服务机构）调查工作，协助形成调查成果。</w:t>
      </w:r>
    </w:p>
    <w:p>
      <w:pPr>
        <w:ind w:firstLine="640"/>
        <w:rPr>
          <w:rFonts w:ascii="仿宋_GB2312" w:hAnsi="仿宋_GB2312" w:eastAsia="仿宋_GB2312" w:cs="仿宋_GB2312"/>
        </w:rPr>
      </w:pPr>
      <w:r>
        <w:rPr>
          <w:rFonts w:hint="eastAsia" w:ascii="仿宋_GB2312" w:hAnsi="仿宋_GB2312" w:eastAsia="仿宋_GB2312" w:cs="仿宋_GB2312"/>
        </w:rPr>
        <w:t>（9）区财政局：研究制定区级财政补助政策，落实普查工作经费保障；协助做好保险与再保险企业调查工作。</w:t>
      </w:r>
    </w:p>
    <w:p>
      <w:pPr>
        <w:ind w:firstLine="640"/>
        <w:rPr>
          <w:rFonts w:ascii="仿宋_GB2312" w:hAnsi="仿宋_GB2312" w:eastAsia="仿宋_GB2312" w:cs="仿宋_GB2312"/>
        </w:rPr>
      </w:pPr>
      <w:r>
        <w:rPr>
          <w:rFonts w:hint="eastAsia" w:ascii="仿宋_GB2312" w:hAnsi="仿宋_GB2312" w:eastAsia="仿宋_GB2312" w:cs="仿宋_GB2312"/>
        </w:rPr>
        <w:t>（10）八公山自然资源和规划分局：负责普查实施细则中地质灾害致灾调查与评估、地质灾害风险评估与区划等内容编制。负责地质灾害调查与评估成果的纵向审核和汇集，并按要求统一汇交区级地质灾害普查成果。按需开展本部门普查培训与宣传工作。指导开展全区地质灾害风险调查和区划工作，形成地质灾害调查成果。协助做好历史灾害与行业减灾能力调查；负责普查实施细则中森林火灾致灾调查与评估、森林火灾重点隐患调查、森林火灾风险评估与区划等内容编制。负责组织开展森林火灾的致灾调查和风险评估与区划，森林火灾调查与评估成果的纵向审核和汇集，并按要求统一汇交森林火灾普查成果。按需开展本部门普查培训与宣传工作。指导开展全区相关的调查工作，形成森林火灾调查成果。协助做好历史灾害与行业减灾能力调查。</w:t>
      </w:r>
    </w:p>
    <w:p>
      <w:pPr>
        <w:ind w:firstLine="640"/>
        <w:rPr>
          <w:rFonts w:ascii="仿宋_GB2312" w:hAnsi="仿宋_GB2312" w:eastAsia="仿宋_GB2312" w:cs="仿宋_GB2312"/>
        </w:rPr>
      </w:pPr>
      <w:r>
        <w:rPr>
          <w:rFonts w:hint="eastAsia" w:ascii="仿宋_GB2312" w:hAnsi="仿宋_GB2312" w:eastAsia="仿宋_GB2312" w:cs="仿宋_GB2312"/>
        </w:rPr>
        <w:t>（11）区生态环境分局：负责城区放射性废物库营运单位的普查与风险评估。协助做好历史灾害与行业减灾能力调查。</w:t>
      </w:r>
    </w:p>
    <w:p>
      <w:pPr>
        <w:ind w:firstLine="640"/>
        <w:rPr>
          <w:rFonts w:ascii="仿宋_GB2312" w:hAnsi="仿宋_GB2312" w:eastAsia="仿宋_GB2312" w:cs="仿宋_GB2312"/>
        </w:rPr>
      </w:pPr>
      <w:r>
        <w:rPr>
          <w:rFonts w:hint="eastAsia" w:ascii="仿宋_GB2312" w:hAnsi="仿宋_GB2312" w:eastAsia="仿宋_GB2312" w:cs="仿宋_GB2312"/>
        </w:rPr>
        <w:t>（12）</w:t>
      </w:r>
      <w:r>
        <w:rPr>
          <w:rFonts w:ascii="仿宋_GB2312" w:hAnsi="仿宋_GB2312" w:eastAsia="仿宋_GB2312" w:cs="仿宋_GB2312"/>
        </w:rPr>
        <w:t>区住建局</w:t>
      </w:r>
      <w:r>
        <w:rPr>
          <w:rFonts w:hint="eastAsia" w:ascii="仿宋_GB2312" w:hAnsi="仿宋_GB2312" w:eastAsia="仿宋_GB2312" w:cs="仿宋_GB2312"/>
        </w:rPr>
        <w:t>：负责普查实施细则中承灾体（房屋建筑、市政设施）调查等内容编制。负责承灾体（房屋建筑、市政设施）调查成果的纵向审核和汇集，并按要求统一汇交区承灾体（房屋建筑、市政设施）调查成果（市政设施包括市政供水设施、市政道路和市政桥梁）。按需开展本部门普查培训与宣传工作。指导区级开展承灾体（房屋建筑、市政设施）调查工作，形成调查成果。协助做好历史灾害与行业减灾能力调查。协助开展承灾体（房屋建筑重置价格）调查；协助做好人防政府减灾能力调查工作。</w:t>
      </w:r>
    </w:p>
    <w:p>
      <w:pPr>
        <w:ind w:firstLine="640"/>
        <w:rPr>
          <w:rFonts w:ascii="仿宋_GB2312" w:hAnsi="仿宋_GB2312" w:eastAsia="仿宋_GB2312" w:cs="仿宋_GB2312"/>
          <w:highlight w:val="yellow"/>
        </w:rPr>
      </w:pPr>
      <w:r>
        <w:rPr>
          <w:rFonts w:hint="eastAsia" w:ascii="仿宋_GB2312" w:hAnsi="仿宋_GB2312" w:eastAsia="仿宋_GB2312" w:cs="仿宋_GB2312"/>
          <w:highlight w:val="yellow"/>
        </w:rPr>
        <w:t>（13）八公山交通运输分局：负责普查实施细则中承灾体（公路和水路设施）调查等内容编制。负责承灾体（公路和水路设施）调查成果的纵向审核和汇集，并按要求统一汇交区承灾体（公路和水路设施）调查成果（公路和水路）。按需开展本部门普查培训与宣传工作。指导区级开展承灾体（公路和水路设施）调查工作，形成调查成果。协助做好历史灾害与行业减灾能力调查。</w:t>
      </w:r>
    </w:p>
    <w:p>
      <w:pPr>
        <w:ind w:firstLine="640"/>
        <w:rPr>
          <w:rFonts w:ascii="仿宋_GB2312" w:hAnsi="仿宋_GB2312" w:eastAsia="仿宋_GB2312" w:cs="仿宋_GB2312"/>
        </w:rPr>
      </w:pPr>
      <w:r>
        <w:rPr>
          <w:rFonts w:hint="eastAsia" w:ascii="仿宋_GB2312" w:hAnsi="仿宋_GB2312" w:eastAsia="仿宋_GB2312" w:cs="仿宋_GB2312"/>
        </w:rPr>
        <w:t>（14）区农水局：负责普查实施细则中水旱灾害致灾调查与评估、洪水灾害重点隐患调查与评估、水旱灾害风险评估与区划等编制工作。负责水旱灾害调查与评估成果的纵向审核汇集，组织开展水旱灾害的风险评估与区划，并按要求统一汇交全区水旱灾害普查成果。按需开展本部门普查培训与宣传工作。指导区级开展调查评估相关工作。协助做好历史灾害与行业减灾能力调查。</w:t>
      </w:r>
    </w:p>
    <w:p>
      <w:pPr>
        <w:ind w:firstLine="640"/>
        <w:rPr>
          <w:rFonts w:ascii="仿宋_GB2312" w:hAnsi="仿宋_GB2312" w:eastAsia="仿宋_GB2312" w:cs="仿宋_GB2312"/>
        </w:rPr>
      </w:pPr>
      <w:r>
        <w:rPr>
          <w:rFonts w:hint="eastAsia" w:ascii="仿宋_GB2312" w:hAnsi="仿宋_GB2312" w:eastAsia="仿宋_GB2312" w:cs="仿宋_GB2312"/>
        </w:rPr>
        <w:t>（15）区文旅局：指导区级开展承灾体（公共服务系统-公共文化场所、旅游景区、星级饭店）调查工作，协助形成调查成果。</w:t>
      </w:r>
    </w:p>
    <w:p>
      <w:pPr>
        <w:ind w:firstLine="640"/>
        <w:rPr>
          <w:rFonts w:ascii="仿宋_GB2312" w:hAnsi="仿宋_GB2312" w:eastAsia="仿宋_GB2312" w:cs="仿宋_GB2312"/>
        </w:rPr>
      </w:pPr>
      <w:r>
        <w:rPr>
          <w:rFonts w:hint="eastAsia" w:ascii="仿宋_GB2312" w:hAnsi="仿宋_GB2312" w:eastAsia="仿宋_GB2312" w:cs="仿宋_GB2312"/>
        </w:rPr>
        <w:t>（16）区卫健委：协助做好历史灾害与行业减灾能力调查；指导区级开展承灾体（医疗卫生机构）调查工作，协助形成调查成果；协助做好综合减灾能力调查（各级红十字会）工作。</w:t>
      </w:r>
    </w:p>
    <w:p>
      <w:pPr>
        <w:ind w:firstLine="640"/>
        <w:rPr>
          <w:rFonts w:ascii="仿宋_GB2312" w:hAnsi="仿宋_GB2312" w:eastAsia="仿宋_GB2312" w:cs="仿宋_GB2312"/>
        </w:rPr>
      </w:pPr>
      <w:r>
        <w:rPr>
          <w:rFonts w:hint="eastAsia" w:ascii="仿宋_GB2312" w:hAnsi="仿宋_GB2312" w:eastAsia="仿宋_GB2312" w:cs="仿宋_GB2312"/>
        </w:rPr>
        <w:t>（17）区统计局：负责协调共享全国人口普查、农业普查、经济普查等相关成果数据，指导全区开展调查工作。协助做好历史灾害与行业减灾能力调查，共享相关经济社会信息。</w:t>
      </w:r>
    </w:p>
    <w:p>
      <w:pPr>
        <w:ind w:firstLine="640"/>
        <w:rPr>
          <w:rFonts w:ascii="仿宋_GB2312" w:hAnsi="仿宋_GB2312" w:eastAsia="仿宋_GB2312" w:cs="仿宋_GB2312"/>
        </w:rPr>
      </w:pPr>
      <w:r>
        <w:rPr>
          <w:rFonts w:hint="eastAsia" w:ascii="仿宋_GB2312" w:hAnsi="仿宋_GB2312" w:eastAsia="仿宋_GB2312" w:cs="仿宋_GB2312"/>
        </w:rPr>
        <w:t>（18）区人武部：依据全国自然灾害综合风险普查相关技术标准规范，按需组织开展军事管理区域主要灾种致灾孕灾风险要素调查、重点隐患调查等工作。协调军队有关单位和专家参加全区地震、水旱、气象等灾害综合风险普查相关工作。</w:t>
      </w:r>
    </w:p>
    <w:p>
      <w:pPr>
        <w:ind w:firstLine="640"/>
        <w:rPr>
          <w:rFonts w:ascii="仿宋_GB2312" w:hAnsi="仿宋_GB2312" w:eastAsia="仿宋_GB2312" w:cs="仿宋_GB2312"/>
        </w:rPr>
      </w:pPr>
      <w:r>
        <w:rPr>
          <w:rFonts w:hint="eastAsia" w:ascii="仿宋_GB2312" w:hAnsi="仿宋_GB2312" w:eastAsia="仿宋_GB2312" w:cs="仿宋_GB2312"/>
        </w:rPr>
        <w:t>普查任务分工清单见附件2。</w:t>
      </w:r>
    </w:p>
    <w:p>
      <w:pPr>
        <w:ind w:firstLine="627" w:firstLineChars="196"/>
        <w:rPr>
          <w:rFonts w:ascii="黑体" w:hAnsi="黑体" w:eastAsia="黑体"/>
        </w:rPr>
      </w:pPr>
      <w:r>
        <w:rPr>
          <w:rFonts w:hint="eastAsia" w:ascii="黑体" w:hAnsi="黑体" w:eastAsia="黑体"/>
        </w:rPr>
        <w:t>四、实施计划</w:t>
      </w:r>
    </w:p>
    <w:p>
      <w:pPr>
        <w:ind w:firstLine="640"/>
        <w:rPr>
          <w:rFonts w:ascii="仿宋_GB2312" w:hAnsi="仿宋_GB2312" w:eastAsia="仿宋_GB2312" w:cs="仿宋_GB2312"/>
        </w:rPr>
      </w:pPr>
      <w:r>
        <w:rPr>
          <w:rFonts w:hint="eastAsia" w:ascii="仿宋_GB2312" w:hAnsi="仿宋_GB2312" w:eastAsia="仿宋_GB2312" w:cs="仿宋_GB2312"/>
        </w:rPr>
        <w:t>按照省普查办印发的《第一次全国自然灾害综合风险普查实施方案》（皖灾险普办发〔2021〕10号）的进度安排，市、区全面调查任务于2021年底前完成。为保证普查工作顺利进行，明确全区各项工作时间安排如下：</w:t>
      </w:r>
    </w:p>
    <w:p>
      <w:pPr>
        <w:ind w:firstLine="640"/>
        <w:rPr>
          <w:rFonts w:ascii="仿宋_GB2312" w:hAnsi="仿宋_GB2312" w:eastAsia="仿宋_GB2312" w:cs="仿宋_GB2312"/>
        </w:rPr>
      </w:pPr>
      <w:r>
        <w:rPr>
          <w:rFonts w:hint="eastAsia" w:ascii="仿宋_GB2312" w:hAnsi="仿宋_GB2312" w:eastAsia="仿宋_GB2312" w:cs="仿宋_GB2312"/>
        </w:rPr>
        <w:t>（1）准备阶段。2021年8月，主要任务：建立组织机构和联络员机制；区政府召开工作动员会；组织新闻宣传，组织相关业务培训；编制相关普查工作方案，编制落实普查经费预算；开展第三方招标、组建技术团队工作。</w:t>
      </w:r>
    </w:p>
    <w:p>
      <w:pPr>
        <w:ind w:firstLine="640"/>
        <w:rPr>
          <w:rFonts w:ascii="仿宋_GB2312" w:hAnsi="仿宋_GB2312" w:eastAsia="仿宋_GB2312" w:cs="仿宋_GB2312"/>
        </w:rPr>
      </w:pPr>
      <w:r>
        <w:rPr>
          <w:rFonts w:hint="eastAsia" w:ascii="仿宋_GB2312" w:hAnsi="仿宋_GB2312" w:eastAsia="仿宋_GB2312" w:cs="仿宋_GB2312"/>
        </w:rPr>
        <w:t>（2）调查阶段。2021年8-10月，主要任务：区各成员单位和镇（街道）按照工作方案的相关要求，结合本地区、本部门实际，编制普查相关技术文件。通过档案查阅、数据处理、现场调查和实地勘察等内外业结合的方法获取普查数据，完成各项具体调查任务，形成调查成果。</w:t>
      </w:r>
    </w:p>
    <w:p>
      <w:pPr>
        <w:ind w:firstLine="640"/>
        <w:rPr>
          <w:rFonts w:ascii="仿宋_GB2312" w:hAnsi="仿宋_GB2312" w:eastAsia="仿宋_GB2312" w:cs="仿宋_GB2312"/>
        </w:rPr>
      </w:pPr>
      <w:r>
        <w:rPr>
          <w:rFonts w:hint="eastAsia" w:ascii="仿宋_GB2312" w:hAnsi="仿宋_GB2312" w:eastAsia="仿宋_GB2312" w:cs="仿宋_GB2312"/>
        </w:rPr>
        <w:t>（3）数据验收阶段。2021年11-12月，主要任务：依据《第一次全国自然灾害综合风险普查数年据与成果汇交和质量审核办法（试行）》，开展全区普查数据成果质检、核查、汇交、审核、验收等工作。</w:t>
      </w:r>
    </w:p>
    <w:p>
      <w:pPr>
        <w:ind w:firstLine="640"/>
        <w:rPr>
          <w:rFonts w:ascii="仿宋_GB2312" w:hAnsi="仿宋_GB2312" w:eastAsia="仿宋_GB2312" w:cs="仿宋_GB2312"/>
        </w:rPr>
      </w:pPr>
      <w:r>
        <w:rPr>
          <w:rFonts w:hint="eastAsia" w:ascii="仿宋_GB2312" w:hAnsi="仿宋_GB2312" w:eastAsia="仿宋_GB2312" w:cs="仿宋_GB2312"/>
        </w:rPr>
        <w:t>（4）省级评估区划阶段。2022年1-6月，主要任务：配合省级行业部门完成单灾种、单要素评估与区划工作；配合省普查办完成省、市、区三级综合隐患评估，综合风险评估与区划工作。</w:t>
      </w:r>
    </w:p>
    <w:p>
      <w:pPr>
        <w:ind w:firstLine="640"/>
        <w:rPr>
          <w:rFonts w:ascii="仿宋_GB2312" w:hAnsi="仿宋_GB2312" w:eastAsia="仿宋_GB2312" w:cs="仿宋_GB2312"/>
        </w:rPr>
      </w:pPr>
      <w:r>
        <w:rPr>
          <w:rFonts w:hint="eastAsia" w:ascii="仿宋_GB2312" w:hAnsi="仿宋_GB2312" w:eastAsia="仿宋_GB2312" w:cs="仿宋_GB2312"/>
        </w:rPr>
        <w:t>（5）普查工作总结。2022年5-8月，按照省级统一部署安排，开展工作总结和表彰奖励等工作。</w:t>
      </w:r>
    </w:p>
    <w:p>
      <w:pPr>
        <w:ind w:firstLine="627" w:firstLineChars="196"/>
        <w:rPr>
          <w:rFonts w:ascii="黑体" w:hAnsi="黑体" w:eastAsia="黑体"/>
        </w:rPr>
      </w:pPr>
      <w:r>
        <w:rPr>
          <w:rFonts w:hint="eastAsia" w:ascii="黑体" w:hAnsi="黑体" w:eastAsia="黑体"/>
        </w:rPr>
        <w:t>五、成果汇交</w:t>
      </w:r>
    </w:p>
    <w:p>
      <w:pPr>
        <w:ind w:firstLine="627" w:firstLineChars="196"/>
        <w:rPr>
          <w:rFonts w:ascii="楷体" w:hAnsi="楷体" w:eastAsia="楷体"/>
          <w:b/>
        </w:rPr>
      </w:pPr>
      <w:r>
        <w:rPr>
          <w:rFonts w:hint="eastAsia" w:ascii="楷体" w:hAnsi="楷体" w:eastAsia="楷体"/>
          <w:b/>
        </w:rPr>
        <w:t>（一）主要成果</w:t>
      </w:r>
    </w:p>
    <w:p>
      <w:pPr>
        <w:ind w:firstLine="640"/>
        <w:rPr>
          <w:rFonts w:ascii="仿宋_GB2312" w:hAnsi="仿宋_GB2312" w:eastAsia="仿宋_GB2312" w:cs="仿宋_GB2312"/>
        </w:rPr>
      </w:pPr>
      <w:r>
        <w:rPr>
          <w:rFonts w:hint="eastAsia" w:ascii="仿宋_GB2312" w:hAnsi="仿宋_GB2312" w:eastAsia="仿宋_GB2312" w:cs="仿宋_GB2312"/>
        </w:rPr>
        <w:t>1、数据成果。主要包括地质灾害、水旱灾害、森林火灾、气象灾害、地震灾害等主要自然灾害风险要素调查数据、主要承灾体调查数据、历史灾害灾情调查数据、综合减灾能力调查数据，主要自然灾害重点隐患数据等，形成自然灾害综合风险与减灾能力数据库，涵盖各类空间数据和统计数据。</w:t>
      </w:r>
    </w:p>
    <w:p>
      <w:pPr>
        <w:ind w:firstLine="640"/>
        <w:rPr>
          <w:rFonts w:ascii="仿宋_GB2312" w:hAnsi="仿宋_GB2312" w:eastAsia="仿宋_GB2312" w:cs="仿宋_GB2312"/>
        </w:rPr>
      </w:pPr>
      <w:r>
        <w:rPr>
          <w:rFonts w:hint="eastAsia" w:ascii="仿宋_GB2312" w:hAnsi="仿宋_GB2312" w:eastAsia="仿宋_GB2312" w:cs="仿宋_GB2312"/>
        </w:rPr>
        <w:t>2、图件成果。主要包括区、镇（街道）各级地质灾害、水旱灾害、森林火灾、气象灾害、地震灾害等主要自然灾害致灾孕灾要素分布与危险性评估图谱，主要承灾体空间分布图，历史灾害灾情调查与评估图谱，综合减灾能力调查与评估图谱，主要自然灾害重点隐患分布图谱，综合风险评估与综合防治区划图谱，形成自然灾害风险评估与区划图谱数据库。</w:t>
      </w:r>
    </w:p>
    <w:p>
      <w:pPr>
        <w:ind w:firstLine="640"/>
        <w:rPr>
          <w:rFonts w:ascii="仿宋_GB2312" w:hAnsi="仿宋_GB2312" w:eastAsia="仿宋_GB2312" w:cs="仿宋_GB2312"/>
        </w:rPr>
      </w:pPr>
      <w:r>
        <w:rPr>
          <w:rFonts w:hint="eastAsia" w:ascii="仿宋_GB2312" w:hAnsi="仿宋_GB2312" w:eastAsia="仿宋_GB2312" w:cs="仿宋_GB2312"/>
        </w:rPr>
        <w:t>3、文字报告类成果。主要包括三种类型的文字报告，包括各类、各级风险评估报告，数据成果、图件成果、风险评估报告等各类成果分析报告，普查过程中各个阶段、各专题及综合类工作和技术总结报告。</w:t>
      </w:r>
    </w:p>
    <w:p>
      <w:pPr>
        <w:ind w:firstLine="627" w:firstLineChars="196"/>
        <w:rPr>
          <w:rFonts w:ascii="楷体" w:hAnsi="楷体" w:eastAsia="楷体"/>
          <w:b/>
        </w:rPr>
      </w:pPr>
      <w:r>
        <w:rPr>
          <w:rFonts w:hint="eastAsia" w:ascii="楷体" w:hAnsi="楷体" w:eastAsia="楷体"/>
          <w:b/>
        </w:rPr>
        <w:t>（二）成果汇交</w:t>
      </w:r>
    </w:p>
    <w:p>
      <w:pPr>
        <w:ind w:firstLine="640"/>
        <w:rPr>
          <w:rFonts w:ascii="仿宋_GB2312" w:hAnsi="仿宋_GB2312" w:eastAsia="仿宋_GB2312" w:cs="仿宋_GB2312"/>
        </w:rPr>
      </w:pPr>
      <w:r>
        <w:rPr>
          <w:rFonts w:hint="eastAsia" w:ascii="仿宋_GB2312" w:hAnsi="仿宋_GB2312" w:eastAsia="仿宋_GB2312" w:cs="仿宋_GB2312"/>
        </w:rPr>
        <w:t>成果汇交内容主要包括调查数据类成果、评估与区划图件类成果、文字报告类成果。参照国家相关标准及要求，普查各项任务的负责部门依据国家和省级要求制定各类成果汇交的细则。区级各部门按照成果汇交要求开展成果汇交工作，各行业成果的汇交由具体负责部门组织汇交；按照普查工作实施进度安排，分类型分阶段进行汇交，保障相关后续工作的开展；区应急管理局组织汇交各行业成果形成综合成果，成果汇交工作依托普查软件系统开展。</w:t>
      </w:r>
    </w:p>
    <w:p>
      <w:pPr>
        <w:ind w:firstLine="627" w:firstLineChars="196"/>
        <w:rPr>
          <w:rFonts w:ascii="黑体" w:hAnsi="黑体" w:eastAsia="黑体"/>
        </w:rPr>
      </w:pPr>
      <w:r>
        <w:rPr>
          <w:rFonts w:hint="eastAsia" w:ascii="黑体" w:hAnsi="黑体" w:eastAsia="黑体"/>
        </w:rPr>
        <w:t>六、保障措施</w:t>
      </w:r>
    </w:p>
    <w:p>
      <w:pPr>
        <w:ind w:firstLine="627" w:firstLineChars="196"/>
      </w:pPr>
      <w:r>
        <w:rPr>
          <w:rFonts w:hint="eastAsia" w:ascii="楷体" w:hAnsi="楷体" w:eastAsia="楷体"/>
          <w:b/>
        </w:rPr>
        <w:t>（一）组织保障。</w:t>
      </w:r>
      <w:r>
        <w:rPr>
          <w:rFonts w:hint="eastAsia" w:ascii="仿宋_GB2312" w:hAnsi="仿宋_GB2312" w:eastAsia="仿宋_GB2312" w:cs="仿宋_GB2312"/>
          <w:bCs/>
        </w:rPr>
        <w:t>区、</w:t>
      </w:r>
      <w:r>
        <w:rPr>
          <w:rFonts w:hint="eastAsia" w:ascii="仿宋_GB2312" w:hAnsi="仿宋_GB2312" w:eastAsia="仿宋_GB2312" w:cs="仿宋_GB2312"/>
        </w:rPr>
        <w:t>镇（街道）各级成立第一次全国自然灾害综合风险普查领导小组及其办公室，领导小组组长由各级政府负责同志担任，成员由相关职能部门人员组成，领导小组办公室设在各级应急管理部门，建立领导小组联络员制度，加强对普查工作的组织领导。区、镇（街道）普查办承担领导小组的日常工作，设立各专项工作小组，负责普查工作的推进、业务指导和监督检查，定期汇总报告普查实施进展。各成员单位负责本行业普查工作的具体业务和日常管理，根据工作职责做好技术指导、业务培训、普查调查、质量审核、信息汇总和分析评估等各项工作。</w:t>
      </w:r>
    </w:p>
    <w:p>
      <w:pPr>
        <w:ind w:firstLine="627" w:firstLineChars="196"/>
        <w:rPr>
          <w:rFonts w:ascii="仿宋_GB2312" w:hAnsi="仿宋_GB2312" w:eastAsia="仿宋_GB2312" w:cs="仿宋_GB2312"/>
        </w:rPr>
      </w:pPr>
      <w:r>
        <w:rPr>
          <w:rFonts w:hint="eastAsia" w:ascii="楷体" w:hAnsi="楷体" w:eastAsia="楷体"/>
          <w:b/>
        </w:rPr>
        <w:t>（二）技术保障。</w:t>
      </w:r>
      <w:r>
        <w:rPr>
          <w:rFonts w:hint="eastAsia" w:ascii="仿宋_GB2312" w:hAnsi="仿宋_GB2312" w:eastAsia="仿宋_GB2312" w:cs="仿宋_GB2312"/>
        </w:rPr>
        <w:t>组建专家和技术团队，综合分析各部门常态化灾害风险调查和隐患调查、风险评估和区划已有成果和业务现状，负责编制符合我区实际情况的实施细则和培训教材等任务，负责综合风险普查技术指导、培训和总结等工作，强化技术支撑。对普查中涉及各部门统计的普查数据、技术性问题，结合当地实际，会同相关部门研究商定相应的调查政策，拟定解决方案或技术处理办法。</w:t>
      </w:r>
    </w:p>
    <w:p>
      <w:pPr>
        <w:ind w:firstLine="627" w:firstLineChars="196"/>
        <w:rPr>
          <w:rFonts w:ascii="仿宋_GB2312" w:hAnsi="仿宋_GB2312" w:eastAsia="仿宋_GB2312" w:cs="仿宋_GB2312"/>
        </w:rPr>
      </w:pPr>
      <w:r>
        <w:rPr>
          <w:rFonts w:hint="eastAsia" w:ascii="楷体" w:hAnsi="楷体" w:eastAsia="楷体"/>
          <w:b/>
        </w:rPr>
        <w:t>（三）质量保障。</w:t>
      </w:r>
      <w:r>
        <w:rPr>
          <w:rFonts w:hint="eastAsia" w:ascii="仿宋_GB2312" w:hAnsi="仿宋_GB2312" w:eastAsia="仿宋_GB2312" w:cs="仿宋_GB2312"/>
        </w:rPr>
        <w:t>为保障普查成果的科学性、客观性、完整性，全面加强质量控制工作，建立普查过程质量控制、分类分级质量控制、质量管理督查和抽查机制，明确各级各部门开展专项成果和综合成果的质量管理职责、任务和办法。要严格执行第一次全国自然灾害综合风险普查技术规范，如实填报数据，确保数据完整、真实。</w:t>
      </w:r>
    </w:p>
    <w:p>
      <w:pPr>
        <w:ind w:firstLine="643"/>
        <w:rPr>
          <w:rFonts w:ascii="仿宋_GB2312" w:hAnsi="仿宋_GB2312" w:eastAsia="仿宋_GB2312" w:cs="仿宋_GB2312"/>
        </w:rPr>
      </w:pPr>
      <w:r>
        <w:rPr>
          <w:rFonts w:hint="eastAsia" w:ascii="楷体" w:hAnsi="楷体" w:eastAsia="楷体"/>
          <w:b/>
        </w:rPr>
        <w:t>(四)经费保障。</w:t>
      </w:r>
      <w:r>
        <w:rPr>
          <w:rFonts w:hint="eastAsia" w:ascii="仿宋_GB2312" w:hAnsi="仿宋_GB2312" w:eastAsia="仿宋_GB2312" w:cs="仿宋_GB2312"/>
        </w:rPr>
        <w:t>自然灾害综合风险普查工作经费实行地方政府保障。区财政部门要确保普查经费按时落实到位，保障工作顺利开展。区级财政负责区本级相关支出，区普查办（区应急管理局）普查经费由区应急局申请；承担牵头责任的各成员单位，依据区本级承担的任务量向区财政申请。镇（街道）普查经费保障依托本级财政解决落实，由本级政府决定统分保障方式。</w:t>
      </w:r>
    </w:p>
    <w:p>
      <w:pPr>
        <w:ind w:firstLine="643"/>
        <w:rPr>
          <w:rFonts w:ascii="仿宋_GB2312" w:hAnsi="仿宋_GB2312" w:eastAsia="仿宋_GB2312" w:cs="仿宋_GB2312"/>
        </w:rPr>
      </w:pPr>
      <w:r>
        <w:rPr>
          <w:rFonts w:hint="eastAsia" w:ascii="楷体" w:hAnsi="楷体" w:eastAsia="楷体"/>
          <w:b/>
        </w:rPr>
        <w:t>（五）服务保障。</w:t>
      </w:r>
      <w:r>
        <w:rPr>
          <w:rFonts w:hint="eastAsia" w:ascii="仿宋_GB2312" w:hAnsi="仿宋_GB2312" w:eastAsia="仿宋_GB2312" w:cs="仿宋_GB2312"/>
        </w:rPr>
        <w:t>区级牵头责任单位根据任务量和经费保障情况，自行确定是否采取购买第三方服务形式落实普查任务并组织实施。同时，要依据《政府采购法》和政府购买服务相关要求，按照“公平、公正、公开”原则，公开招标、择优选择有资质、技术强、信誉好、服务质量高的第三方技术服务单位参与普查工作。镇（街道）依据规定自行确定是否采取购买第三方服务形式落实普查任务并组织实施。</w:t>
      </w:r>
    </w:p>
    <w:p>
      <w:pPr>
        <w:ind w:firstLine="643"/>
        <w:rPr>
          <w:rFonts w:ascii="仿宋_GB2312" w:hAnsi="仿宋_GB2312" w:eastAsia="仿宋_GB2312" w:cs="仿宋_GB2312"/>
        </w:rPr>
      </w:pPr>
      <w:r>
        <w:rPr>
          <w:rFonts w:hint="eastAsia" w:ascii="楷体" w:hAnsi="楷体" w:eastAsia="楷体"/>
          <w:b/>
        </w:rPr>
        <w:t>（六）安全保障。</w:t>
      </w:r>
      <w:r>
        <w:rPr>
          <w:rFonts w:hint="eastAsia" w:ascii="仿宋_GB2312" w:hAnsi="仿宋_GB2312" w:eastAsia="仿宋_GB2312" w:cs="仿宋_GB2312"/>
        </w:rPr>
        <w:t>为确保普查成果数据安全，防止发生失泄密问题，各级普查机构及工作人员要提高保密意识，严格遵守保密规定，熟悉数据录入调取使用的各项保密和安全管理要求，按规定开展各项数据管理工作，确保不发生任何问题。</w:t>
      </w:r>
    </w:p>
    <w:p>
      <w:pPr>
        <w:ind w:firstLine="640"/>
        <w:rPr>
          <w:rFonts w:ascii="仿宋_GB2312" w:hAnsi="仿宋_GB2312" w:eastAsia="仿宋_GB2312" w:cs="仿宋_GB2312"/>
        </w:rPr>
      </w:pPr>
    </w:p>
    <w:p>
      <w:pPr>
        <w:ind w:firstLine="640"/>
        <w:rPr>
          <w:rFonts w:ascii="仿宋_GB2312" w:hAnsi="仿宋_GB2312" w:eastAsia="仿宋_GB2312" w:cs="仿宋_GB2312"/>
        </w:rPr>
      </w:pPr>
      <w:r>
        <w:rPr>
          <w:rFonts w:hint="eastAsia" w:ascii="仿宋_GB2312" w:hAnsi="仿宋_GB2312" w:eastAsia="仿宋_GB2312" w:cs="仿宋_GB2312"/>
        </w:rPr>
        <w:t>附件1：《第一次全国自然灾害综合风险普查内容》；</w:t>
      </w:r>
    </w:p>
    <w:p>
      <w:pPr>
        <w:ind w:firstLine="640"/>
        <w:rPr>
          <w:rFonts w:ascii="仿宋_GB2312" w:hAnsi="仿宋_GB2312" w:eastAsia="仿宋_GB2312" w:cs="仿宋_GB2312"/>
        </w:rPr>
      </w:pPr>
      <w:r>
        <w:rPr>
          <w:rFonts w:hint="eastAsia" w:ascii="仿宋_GB2312" w:hAnsi="仿宋_GB2312" w:eastAsia="仿宋_GB2312" w:cs="仿宋_GB2312"/>
        </w:rPr>
        <w:t xml:space="preserve">     2：《八公山区普查任务区级层面分工清单》；</w:t>
      </w:r>
    </w:p>
    <w:p>
      <w:pPr>
        <w:ind w:firstLine="640"/>
      </w:pPr>
      <w:r>
        <w:rPr>
          <w:rFonts w:hint="eastAsia" w:ascii="仿宋_GB2312" w:hAnsi="仿宋_GB2312" w:eastAsia="仿宋_GB2312" w:cs="仿宋_GB2312"/>
        </w:rPr>
        <w:t xml:space="preserve">     3：《全区普查工作实施计划表》。</w:t>
      </w:r>
    </w:p>
    <w:p>
      <w:pPr>
        <w:ind w:firstLine="627" w:firstLineChars="196"/>
      </w:pPr>
    </w:p>
    <w:p>
      <w:pPr>
        <w:ind w:firstLine="627" w:firstLineChars="196"/>
      </w:pPr>
    </w:p>
    <w:p>
      <w:pPr>
        <w:ind w:firstLine="627" w:firstLineChars="196"/>
      </w:pPr>
    </w:p>
    <w:p>
      <w:pPr>
        <w:ind w:firstLine="627" w:firstLineChars="196"/>
      </w:pPr>
    </w:p>
    <w:p>
      <w:pPr>
        <w:ind w:firstLine="627" w:firstLineChars="196"/>
      </w:pPr>
    </w:p>
    <w:p>
      <w:pPr>
        <w:ind w:firstLine="627" w:firstLineChars="196"/>
      </w:pPr>
    </w:p>
    <w:p>
      <w:pPr>
        <w:ind w:firstLine="627" w:firstLineChars="196"/>
      </w:pPr>
    </w:p>
    <w:p>
      <w:pPr>
        <w:ind w:firstLine="627" w:firstLineChars="196"/>
      </w:pPr>
    </w:p>
    <w:p>
      <w:pPr>
        <w:ind w:firstLine="627" w:firstLineChars="196"/>
      </w:pPr>
    </w:p>
    <w:p>
      <w:pPr>
        <w:ind w:firstLine="627" w:firstLineChars="196"/>
      </w:pPr>
    </w:p>
    <w:p>
      <w:pPr>
        <w:ind w:firstLine="627" w:firstLineChars="196"/>
      </w:pPr>
    </w:p>
    <w:p>
      <w:pPr>
        <w:ind w:firstLine="627" w:firstLineChars="196"/>
      </w:pPr>
    </w:p>
    <w:p>
      <w:pPr>
        <w:ind w:firstLine="0" w:firstLineChars="0"/>
      </w:pPr>
      <w:r>
        <w:rPr>
          <w:rFonts w:hint="eastAsia"/>
        </w:rPr>
        <w:t>附件1：</w:t>
      </w:r>
    </w:p>
    <w:p>
      <w:pPr>
        <w:ind w:firstLine="0" w:firstLineChars="0"/>
      </w:pPr>
    </w:p>
    <w:p>
      <w:pPr>
        <w:ind w:firstLine="0" w:firstLineChars="0"/>
        <w:jc w:val="center"/>
        <w:rPr>
          <w:rFonts w:ascii="方正大标宋简体" w:eastAsia="方正大标宋简体"/>
          <w:sz w:val="36"/>
          <w:szCs w:val="36"/>
        </w:rPr>
      </w:pPr>
      <w:r>
        <w:rPr>
          <w:rFonts w:hint="eastAsia" w:ascii="方正大标宋简体" w:eastAsia="方正大标宋简体"/>
          <w:sz w:val="36"/>
          <w:szCs w:val="36"/>
        </w:rPr>
        <w:t>第一次全国自然灾害综合风险普查内容</w:t>
      </w:r>
    </w:p>
    <w:p>
      <w:pPr>
        <w:ind w:firstLine="0" w:firstLineChars="0"/>
      </w:pPr>
    </w:p>
    <w:p>
      <w:pPr>
        <w:ind w:firstLine="640"/>
        <w:jc w:val="both"/>
        <w:rPr>
          <w:rFonts w:ascii="仿宋_GB2312" w:hAnsi="仿宋_GB2312" w:eastAsia="仿宋_GB2312" w:cs="仿宋_GB2312"/>
        </w:rPr>
      </w:pPr>
      <w:r>
        <w:rPr>
          <w:rFonts w:hint="eastAsia" w:ascii="仿宋_GB2312" w:hAnsi="仿宋_GB2312" w:eastAsia="仿宋_GB2312" w:cs="仿宋_GB2312"/>
        </w:rPr>
        <w:t>内容包括主要灾害致灾调查与评估、承灾体调查与评估、历史灾害调查与评估、综合减灾资源（能力）调查与评估、重点隐患调查与评估、主要灾害风险评估与区划、灾害综合风险评估与区划等7大类工作任务。其中前5类调查任务以</w:t>
      </w:r>
      <w:r>
        <w:rPr>
          <w:rFonts w:hint="eastAsia"/>
        </w:rPr>
        <w:t>市县</w:t>
      </w:r>
      <w:r>
        <w:rPr>
          <w:rFonts w:hint="eastAsia" w:ascii="仿宋_GB2312" w:hAnsi="仿宋_GB2312" w:eastAsia="仿宋_GB2312" w:cs="仿宋_GB2312"/>
        </w:rPr>
        <w:t>为主体完成；后2类评估区划任务省以上为主体完成，</w:t>
      </w:r>
      <w:r>
        <w:rPr>
          <w:rFonts w:hint="eastAsia"/>
        </w:rPr>
        <w:t>市县</w:t>
      </w:r>
      <w:r>
        <w:rPr>
          <w:rFonts w:hint="eastAsia" w:ascii="仿宋_GB2312" w:hAnsi="仿宋_GB2312" w:eastAsia="仿宋_GB2312" w:cs="仿宋_GB2312"/>
        </w:rPr>
        <w:t>配合。</w:t>
      </w:r>
    </w:p>
    <w:p>
      <w:pPr>
        <w:ind w:firstLine="640"/>
        <w:jc w:val="both"/>
        <w:rPr>
          <w:rFonts w:ascii="黑体" w:hAnsi="黑体" w:eastAsia="黑体"/>
        </w:rPr>
      </w:pPr>
      <w:r>
        <w:rPr>
          <w:rFonts w:hint="eastAsia" w:ascii="黑体" w:hAnsi="黑体" w:eastAsia="黑体"/>
        </w:rPr>
        <w:t>一、主要自然灾害致灾因子调查与评估</w:t>
      </w:r>
    </w:p>
    <w:p>
      <w:pPr>
        <w:ind w:firstLine="643"/>
        <w:jc w:val="both"/>
        <w:rPr>
          <w:rFonts w:ascii="仿宋_GB2312" w:hAnsi="仿宋_GB2312" w:eastAsia="仿宋_GB2312" w:cs="仿宋_GB2312"/>
        </w:rPr>
      </w:pPr>
      <w:r>
        <w:rPr>
          <w:rFonts w:hint="eastAsia" w:ascii="楷体" w:hAnsi="楷体" w:eastAsia="楷体"/>
          <w:b/>
        </w:rPr>
        <w:t>（一）地质灾害。</w:t>
      </w:r>
      <w:r>
        <w:rPr>
          <w:rFonts w:hint="eastAsia" w:ascii="仿宋_GB2312" w:hAnsi="仿宋_GB2312" w:eastAsia="仿宋_GB2312" w:cs="仿宋_GB2312"/>
        </w:rPr>
        <w:t>主要开展地质灾害遥感普查、中高易发区1:5万地质灾害调查和精细化的调（勘）查工作，获得地质灾害致灾因子隐患点空间分布、基本灾害特征信息、稳定性现状、孕灾地质背景条件属性等信息，建立全省多级动态更新的地质灾害危险性调查与评估数据库。</w:t>
      </w:r>
    </w:p>
    <w:p>
      <w:pPr>
        <w:ind w:firstLine="643"/>
        <w:jc w:val="both"/>
      </w:pPr>
      <w:r>
        <w:rPr>
          <w:rFonts w:hint="eastAsia" w:ascii="楷体" w:hAnsi="楷体" w:eastAsia="楷体"/>
          <w:b/>
        </w:rPr>
        <w:t>（二）水旱灾害。</w:t>
      </w:r>
      <w:r>
        <w:rPr>
          <w:rFonts w:hint="eastAsia" w:ascii="仿宋_GB2312" w:hAnsi="仿宋_GB2312" w:eastAsia="仿宋_GB2312" w:cs="仿宋_GB2312"/>
        </w:rPr>
        <w:t>开展山丘区中小河流洪水频率分析，更新全省大江大河主要控制断面洪水特征值图表。以</w:t>
      </w:r>
      <w:r>
        <w:rPr>
          <w:rFonts w:hint="eastAsia"/>
        </w:rPr>
        <w:t>县</w:t>
      </w:r>
      <w:r>
        <w:rPr>
          <w:rFonts w:hint="eastAsia" w:ascii="仿宋_GB2312" w:hAnsi="仿宋_GB2312" w:eastAsia="仿宋_GB2312" w:cs="仿宋_GB2312"/>
        </w:rPr>
        <w:t>级行政区为基本统计单元，收集整理供用水、抗旱工程及非工程能力、城镇水源情况等相关基础资料，以及旱情及旱灾损失等灾害事件资料，建立多级动态更新的干旱灾害危险性调查与评估数据库，开展干旱危险性分析评估、干旱灾害危险性分布图绘制。</w:t>
      </w:r>
    </w:p>
    <w:p>
      <w:pPr>
        <w:ind w:firstLine="643"/>
        <w:jc w:val="both"/>
        <w:rPr>
          <w:rFonts w:ascii="仿宋_GB2312" w:hAnsi="仿宋_GB2312" w:eastAsia="仿宋_GB2312" w:cs="仿宋_GB2312"/>
        </w:rPr>
      </w:pPr>
      <w:r>
        <w:rPr>
          <w:rFonts w:hint="eastAsia" w:ascii="楷体" w:hAnsi="楷体" w:eastAsia="楷体"/>
          <w:b/>
        </w:rPr>
        <w:t>（三）森林火灾。</w:t>
      </w:r>
      <w:r>
        <w:rPr>
          <w:rFonts w:hint="eastAsia" w:ascii="仿宋_GB2312" w:hAnsi="仿宋_GB2312" w:eastAsia="仿宋_GB2312" w:cs="仿宋_GB2312"/>
        </w:rPr>
        <w:t>开展森林可燃物调查、野外火源调查和气象条件调查（2000年以来），建立多级动态更新的森林火灾危险性调查与评估数据库。综合森林可燃物、燃烧性因子、立地类型、野外火源以及气象条件等情况，结合已有资源数据、调查数据、多源遥感数据，进行森林火灾危险性综合研判与分析，开展森林火灾危险性评估，编制省级1:25万、区级1：5万的森林火灾危险性分级分布图。</w:t>
      </w:r>
    </w:p>
    <w:p>
      <w:pPr>
        <w:ind w:firstLine="643"/>
        <w:jc w:val="both"/>
        <w:rPr>
          <w:rFonts w:ascii="仿宋_GB2312" w:hAnsi="仿宋_GB2312" w:eastAsia="仿宋_GB2312" w:cs="仿宋_GB2312"/>
        </w:rPr>
      </w:pPr>
      <w:r>
        <w:rPr>
          <w:rFonts w:hint="eastAsia" w:ascii="楷体" w:hAnsi="楷体" w:eastAsia="楷体"/>
          <w:b/>
        </w:rPr>
        <w:t>（四）气象灾害。</w:t>
      </w:r>
      <w:r>
        <w:rPr>
          <w:rFonts w:hint="eastAsia" w:ascii="仿宋_GB2312" w:hAnsi="仿宋_GB2312" w:eastAsia="仿宋_GB2312" w:cs="仿宋_GB2312"/>
        </w:rPr>
        <w:t>以区级行政区为基本单元，开展气象灾害的特征调查和致灾孕灾要素分析，针对主要气象灾害引发的人口死亡、农作物受灾、直接经济损失、房屋倒塌、基础设施损坏等影响，全面获取主要气象灾害的致灾因子信息、孕灾环境信息，评估主要气象灾害的致灾因子危险性等级，建立多级动态更新的主要气象灾害危险性调查与评估基础数据库。编制省级1:25万、镇（街道）级1:5万或1:10万主要气象灾害危险性评价图件。</w:t>
      </w:r>
    </w:p>
    <w:p>
      <w:pPr>
        <w:ind w:firstLine="643"/>
        <w:jc w:val="both"/>
        <w:rPr>
          <w:rFonts w:ascii="仿宋_GB2312" w:hAnsi="仿宋_GB2312" w:eastAsia="仿宋_GB2312" w:cs="仿宋_GB2312"/>
        </w:rPr>
      </w:pPr>
      <w:r>
        <w:rPr>
          <w:rFonts w:hint="eastAsia" w:ascii="楷体" w:hAnsi="楷体" w:eastAsia="楷体"/>
          <w:b/>
        </w:rPr>
        <w:t>（五）地震灾害。</w:t>
      </w:r>
      <w:r>
        <w:rPr>
          <w:rFonts w:hint="eastAsia" w:ascii="仿宋_GB2312" w:hAnsi="仿宋_GB2312" w:eastAsia="仿宋_GB2312" w:cs="仿宋_GB2312"/>
        </w:rPr>
        <w:t>调查与汇集已开展相关工作成果，建立全区多级动态更新的地震灾害危险性调查与评估数据库，编制省级1:25万区域地震构造图和部分区级1:5万活动断层分布图，编制完成省区级1:25万地震危险性图。</w:t>
      </w:r>
    </w:p>
    <w:p>
      <w:pPr>
        <w:ind w:firstLine="640"/>
        <w:jc w:val="both"/>
        <w:rPr>
          <w:rFonts w:ascii="黑体" w:hAnsi="黑体" w:eastAsia="黑体"/>
        </w:rPr>
      </w:pPr>
      <w:r>
        <w:rPr>
          <w:rFonts w:hint="eastAsia" w:ascii="黑体" w:hAnsi="黑体" w:eastAsia="黑体"/>
        </w:rPr>
        <w:t>二、承灾体调查</w:t>
      </w:r>
    </w:p>
    <w:p>
      <w:pPr>
        <w:ind w:firstLine="640"/>
        <w:jc w:val="both"/>
        <w:rPr>
          <w:rFonts w:ascii="仿宋_GB2312" w:hAnsi="仿宋_GB2312" w:eastAsia="仿宋_GB2312" w:cs="仿宋_GB2312"/>
        </w:rPr>
      </w:pPr>
      <w:r>
        <w:rPr>
          <w:rFonts w:hint="eastAsia" w:ascii="仿宋_GB2312" w:hAnsi="仿宋_GB2312" w:eastAsia="仿宋_GB2312" w:cs="仿宋_GB2312"/>
        </w:rPr>
        <w:t>统筹利用各类承灾体已有基础数据，开展承灾体单体信息和区域性特征调查，重点对区域经济社会重要统计数据、人口数据，以及房屋、基础设施（交通运输设施、通信设施、能源设施、市政设施、水利设施等）、民用核设施、危化品企业、公共服务系统、三次产业、资源和环境等重要承灾体，人口、GDP、农作物（含小麦、玉米、水稻等）、企业固定资产等重要统计数据，土地利用、地形等重要孕灾环境的空间位置信息和自然灾害灾情属性信息进行调查。</w:t>
      </w:r>
    </w:p>
    <w:p>
      <w:pPr>
        <w:ind w:firstLine="643"/>
        <w:jc w:val="both"/>
        <w:rPr>
          <w:rFonts w:ascii="仿宋_GB2312" w:hAnsi="仿宋_GB2312" w:eastAsia="仿宋_GB2312" w:cs="仿宋_GB2312"/>
        </w:rPr>
      </w:pPr>
      <w:r>
        <w:rPr>
          <w:rFonts w:hint="eastAsia" w:ascii="楷体" w:hAnsi="楷体" w:eastAsia="楷体"/>
          <w:b/>
        </w:rPr>
        <w:t>（一）房屋建筑调查。</w:t>
      </w:r>
      <w:r>
        <w:rPr>
          <w:rFonts w:hint="eastAsia" w:ascii="仿宋_GB2312" w:hAnsi="仿宋_GB2312" w:eastAsia="仿宋_GB2312" w:cs="仿宋_GB2312"/>
        </w:rPr>
        <w:t>内业提取城镇和农村住宅、非住宅房屋建筑单栋轮廓，掌握房屋建筑的地理位置、占地面积信息；在房屋建筑单体轮廓底图基础上，外业实地调查并使用APP终端录入单栋房屋建筑的建筑面积、结构、建设年代、用途、层数、使用状况、设防水平等信息。</w:t>
      </w:r>
    </w:p>
    <w:p>
      <w:pPr>
        <w:ind w:firstLine="643"/>
        <w:jc w:val="both"/>
        <w:rPr>
          <w:rFonts w:ascii="仿宋_GB2312" w:hAnsi="仿宋_GB2312" w:eastAsia="仿宋_GB2312" w:cs="仿宋_GB2312"/>
        </w:rPr>
      </w:pPr>
      <w:r>
        <w:rPr>
          <w:rFonts w:hint="eastAsia" w:ascii="楷体" w:hAnsi="楷体" w:eastAsia="楷体"/>
          <w:b/>
        </w:rPr>
        <w:t>（二）公共服务系统调查。</w:t>
      </w:r>
      <w:r>
        <w:rPr>
          <w:rFonts w:hint="eastAsia" w:ascii="仿宋_GB2312" w:hAnsi="仿宋_GB2312" w:eastAsia="仿宋_GB2312" w:cs="仿宋_GB2312"/>
        </w:rPr>
        <w:t>针对教育、卫生、社会福利等重点公共服务系统，结合房屋建筑调查，调查学校、医院和福利院等公共服务机构的人员服务情况、应急保障能力等信息。</w:t>
      </w:r>
    </w:p>
    <w:p>
      <w:pPr>
        <w:ind w:firstLine="643"/>
        <w:jc w:val="both"/>
        <w:rPr>
          <w:rFonts w:ascii="仿宋_GB2312" w:hAnsi="仿宋_GB2312" w:eastAsia="仿宋_GB2312" w:cs="仿宋_GB2312"/>
        </w:rPr>
      </w:pPr>
      <w:r>
        <w:rPr>
          <w:rFonts w:hint="eastAsia" w:ascii="楷体" w:hAnsi="楷体" w:eastAsia="楷体"/>
          <w:b/>
        </w:rPr>
        <w:t>（三）人口与经济普查等统计数据整理。</w:t>
      </w:r>
      <w:r>
        <w:rPr>
          <w:rFonts w:hint="eastAsia" w:ascii="仿宋_GB2312" w:hAnsi="仿宋_GB2312" w:eastAsia="仿宋_GB2312" w:cs="仿宋_GB2312"/>
        </w:rPr>
        <w:t>充分利用最新人口普查、经济普查及各级政府统计局年度统计资料，共享整理行政单元人口、GDP、农作物（含小麦、玉米、水稻等）等统计数据，制作人口和GDP格网分布图。</w:t>
      </w:r>
    </w:p>
    <w:p>
      <w:pPr>
        <w:ind w:firstLine="643"/>
        <w:jc w:val="both"/>
        <w:rPr>
          <w:rFonts w:ascii="仿宋_GB2312" w:hAnsi="仿宋_GB2312" w:eastAsia="仿宋_GB2312" w:cs="仿宋_GB2312"/>
        </w:rPr>
      </w:pPr>
      <w:r>
        <w:rPr>
          <w:rFonts w:hint="eastAsia" w:ascii="楷体" w:hAnsi="楷体" w:eastAsia="楷体"/>
          <w:b/>
        </w:rPr>
        <w:t>（四）基础设施调查。</w:t>
      </w:r>
      <w:r>
        <w:rPr>
          <w:rFonts w:hint="eastAsia" w:ascii="仿宋_GB2312" w:hAnsi="仿宋_GB2312" w:eastAsia="仿宋_GB2312" w:cs="仿宋_GB2312"/>
        </w:rPr>
        <w:t>针对交通、能源、通信、市政、水利等重要基础设施，共享整合各类基础设施分布和部分属性数据库，通过外业补充性调查设施的空间分布和属性数据。设施基础和灾害属性信息主要包括设施类型、数量、价值、服务能力和设防水平等内容。</w:t>
      </w:r>
    </w:p>
    <w:p>
      <w:pPr>
        <w:ind w:firstLine="643"/>
        <w:jc w:val="both"/>
        <w:rPr>
          <w:rFonts w:ascii="仿宋_GB2312" w:hAnsi="仿宋_GB2312" w:eastAsia="仿宋_GB2312" w:cs="仿宋_GB2312"/>
        </w:rPr>
      </w:pPr>
      <w:r>
        <w:rPr>
          <w:rFonts w:hint="eastAsia" w:ascii="楷体" w:hAnsi="楷体" w:eastAsia="楷体"/>
          <w:b/>
        </w:rPr>
        <w:t>（五）民用核设施调查。</w:t>
      </w:r>
      <w:r>
        <w:rPr>
          <w:rFonts w:hint="eastAsia" w:ascii="仿宋_GB2312" w:hAnsi="仿宋_GB2312" w:eastAsia="仿宋_GB2312" w:cs="仿宋_GB2312"/>
        </w:rPr>
        <w:t>核查民用核设施的抗震设防标准、洪水设防标准、台风防护等主要自然灾害防护要求执行情况，调查和统计民用核设施自然灾害防护达标情况。</w:t>
      </w:r>
    </w:p>
    <w:p>
      <w:pPr>
        <w:ind w:firstLine="643"/>
        <w:jc w:val="both"/>
        <w:rPr>
          <w:rFonts w:ascii="仿宋_GB2312" w:hAnsi="仿宋_GB2312" w:eastAsia="仿宋_GB2312" w:cs="仿宋_GB2312"/>
        </w:rPr>
      </w:pPr>
      <w:r>
        <w:rPr>
          <w:rFonts w:hint="eastAsia" w:ascii="楷体" w:hAnsi="楷体" w:eastAsia="楷体"/>
          <w:b/>
        </w:rPr>
        <w:t>（六）危化品企业（经营，下同）调查。</w:t>
      </w:r>
      <w:r>
        <w:rPr>
          <w:rFonts w:hint="eastAsia" w:ascii="仿宋_GB2312" w:hAnsi="仿宋_GB2312" w:eastAsia="仿宋_GB2312" w:cs="仿宋_GB2312"/>
        </w:rPr>
        <w:t>调查危化品企业空间位置和设防情况等信息；核查危化品产业园的抗震设防标准、洪水设防标准、台风防护、地质灾害防护等主要自然灾害防护要求执行情况；调查和统计危化品自然灾害防护达标情况。</w:t>
      </w:r>
    </w:p>
    <w:p>
      <w:pPr>
        <w:ind w:firstLine="643"/>
        <w:jc w:val="both"/>
        <w:rPr>
          <w:rFonts w:ascii="仿宋_GB2312" w:hAnsi="仿宋_GB2312" w:eastAsia="仿宋_GB2312" w:cs="仿宋_GB2312"/>
        </w:rPr>
      </w:pPr>
      <w:r>
        <w:rPr>
          <w:rFonts w:hint="eastAsia" w:ascii="楷体" w:hAnsi="楷体" w:eastAsia="楷体"/>
          <w:b/>
        </w:rPr>
        <w:t>（七）三次产业要素调查。</w:t>
      </w:r>
      <w:r>
        <w:rPr>
          <w:rFonts w:hint="eastAsia" w:ascii="仿宋_GB2312" w:hAnsi="仿宋_GB2312" w:eastAsia="仿宋_GB2312" w:cs="仿宋_GB2312"/>
        </w:rPr>
        <w:t>共享利用农业普查、经济普查、地理国情普查等相关成果，掌握行政单元二三产业固定资产价值信息，调查第三产业中大型商场和超区等对象的空间位置、人员流动、服务能力等信息。</w:t>
      </w:r>
    </w:p>
    <w:p>
      <w:pPr>
        <w:ind w:firstLine="643"/>
        <w:jc w:val="both"/>
      </w:pPr>
      <w:r>
        <w:rPr>
          <w:rFonts w:hint="eastAsia" w:ascii="楷体" w:hAnsi="楷体" w:eastAsia="楷体"/>
          <w:b/>
        </w:rPr>
        <w:t>（八）资源与环境要素调查。</w:t>
      </w:r>
      <w:r>
        <w:rPr>
          <w:rFonts w:hint="eastAsia" w:ascii="仿宋_GB2312" w:hAnsi="仿宋_GB2312" w:eastAsia="仿宋_GB2312" w:cs="仿宋_GB2312"/>
        </w:rPr>
        <w:t>共享天地图系统、整理其所含地形信息，共享整理第三次国土调查形成的土地利用现状分布图及相关资料；共享整理最新森林等资源普查的本地数据。</w:t>
      </w:r>
    </w:p>
    <w:p>
      <w:pPr>
        <w:ind w:firstLine="640"/>
        <w:jc w:val="both"/>
        <w:rPr>
          <w:rFonts w:ascii="黑体" w:hAnsi="黑体" w:eastAsia="黑体"/>
        </w:rPr>
      </w:pPr>
      <w:r>
        <w:rPr>
          <w:rFonts w:hint="eastAsia" w:ascii="黑体" w:hAnsi="黑体" w:eastAsia="黑体"/>
        </w:rPr>
        <w:t>三、历史灾害灾情调查与评估</w:t>
      </w:r>
    </w:p>
    <w:p>
      <w:pPr>
        <w:ind w:firstLine="640"/>
        <w:jc w:val="both"/>
        <w:rPr>
          <w:rFonts w:ascii="仿宋_GB2312" w:hAnsi="仿宋_GB2312" w:eastAsia="仿宋_GB2312" w:cs="仿宋_GB2312"/>
        </w:rPr>
      </w:pPr>
      <w:r>
        <w:rPr>
          <w:rFonts w:hint="eastAsia" w:ascii="仿宋_GB2312" w:hAnsi="仿宋_GB2312" w:eastAsia="仿宋_GB2312" w:cs="仿宋_GB2312"/>
        </w:rPr>
        <w:t>全面调查、整理、汇总1978年以来各区级行政区年度自然灾害、历史自然灾害事件以及1949年以来重大自然灾害事件，建立要素完整、内容详实、数据规范的长时间序列历史自然灾害数据集。</w:t>
      </w:r>
    </w:p>
    <w:p>
      <w:pPr>
        <w:ind w:firstLine="643"/>
        <w:jc w:val="both"/>
      </w:pPr>
      <w:r>
        <w:rPr>
          <w:rFonts w:hint="eastAsia" w:ascii="楷体" w:hAnsi="楷体" w:eastAsia="楷体"/>
          <w:b/>
        </w:rPr>
        <w:t>（一）历史年度自然灾害灾情调查。</w:t>
      </w:r>
      <w:r>
        <w:rPr>
          <w:rFonts w:hint="eastAsia" w:ascii="仿宋_GB2312" w:hAnsi="仿宋_GB2312" w:eastAsia="仿宋_GB2312" w:cs="仿宋_GB2312"/>
        </w:rPr>
        <w:t>调查1978-2020年各区级行政区逐年各类自然灾害的年度灾害信息，主要包括自然灾害基本信息、损失信息、救灾工作信息、社会经济信息等。</w:t>
      </w:r>
    </w:p>
    <w:p>
      <w:pPr>
        <w:ind w:firstLine="643"/>
        <w:jc w:val="both"/>
        <w:rPr>
          <w:rFonts w:ascii="仿宋_GB2312" w:hAnsi="仿宋_GB2312" w:eastAsia="仿宋_GB2312" w:cs="仿宋_GB2312"/>
        </w:rPr>
      </w:pPr>
      <w:r>
        <w:rPr>
          <w:rFonts w:hint="eastAsia" w:ascii="楷体" w:hAnsi="楷体" w:eastAsia="楷体"/>
          <w:b/>
        </w:rPr>
        <w:t>（二）重大历史自然灾害调查。</w:t>
      </w:r>
      <w:r>
        <w:rPr>
          <w:rFonts w:hint="eastAsia" w:ascii="仿宋_GB2312" w:hAnsi="仿宋_GB2312" w:eastAsia="仿宋_GB2312" w:cs="仿宋_GB2312"/>
        </w:rPr>
        <w:t>调查1949-2020年重大自然灾害事件的灾害信息，主要包括自然灾害基本信息、损失信息、救灾工作信息、社会经济信息等。</w:t>
      </w:r>
    </w:p>
    <w:p>
      <w:pPr>
        <w:ind w:firstLine="643"/>
        <w:jc w:val="both"/>
        <w:rPr>
          <w:rFonts w:ascii="仿宋_GB2312" w:hAnsi="仿宋_GB2312" w:eastAsia="仿宋_GB2312" w:cs="仿宋_GB2312"/>
        </w:rPr>
      </w:pPr>
      <w:r>
        <w:rPr>
          <w:rFonts w:hint="eastAsia" w:ascii="楷体" w:hAnsi="楷体" w:eastAsia="楷体"/>
          <w:b/>
        </w:rPr>
        <w:t>（三）历史年度自然灾害灾情评估。</w:t>
      </w:r>
      <w:r>
        <w:rPr>
          <w:rFonts w:hint="eastAsia" w:ascii="仿宋_GB2312" w:hAnsi="仿宋_GB2312" w:eastAsia="仿宋_GB2312" w:cs="仿宋_GB2312"/>
        </w:rPr>
        <w:t>评估1978年至2020年发生的年度自然灾害灾情，包括年度每十万人受灾人口、年度每十万人死亡人口、年度直接经济损失、年度直接经济损失占GDP比重。</w:t>
      </w:r>
    </w:p>
    <w:p>
      <w:pPr>
        <w:ind w:firstLine="640"/>
        <w:jc w:val="both"/>
        <w:rPr>
          <w:rFonts w:ascii="黑体" w:hAnsi="黑体" w:eastAsia="黑体"/>
        </w:rPr>
      </w:pPr>
      <w:r>
        <w:rPr>
          <w:rFonts w:hint="eastAsia" w:ascii="黑体" w:hAnsi="黑体" w:eastAsia="黑体"/>
        </w:rPr>
        <w:t>四、综合减灾能力调查与评估</w:t>
      </w:r>
    </w:p>
    <w:p>
      <w:pPr>
        <w:ind w:firstLine="640"/>
        <w:jc w:val="both"/>
        <w:rPr>
          <w:rFonts w:ascii="仿宋_GB2312" w:hAnsi="仿宋_GB2312" w:eastAsia="仿宋_GB2312" w:cs="仿宋_GB2312"/>
        </w:rPr>
      </w:pPr>
      <w:r>
        <w:rPr>
          <w:rFonts w:hint="eastAsia" w:ascii="仿宋_GB2312" w:hAnsi="仿宋_GB2312" w:eastAsia="仿宋_GB2312" w:cs="仿宋_GB2312"/>
        </w:rPr>
        <w:t>以区级行政区为基本调查单元，兼顾区、乡镇级单位，全面调查与评估政府、社会力量和企业、基层在减灾备灾、应急救援救助和恢复重建过程中各种资源或能力的现状水平。</w:t>
      </w:r>
    </w:p>
    <w:p>
      <w:pPr>
        <w:ind w:firstLine="643"/>
        <w:jc w:val="both"/>
        <w:rPr>
          <w:rFonts w:ascii="仿宋_GB2312" w:hAnsi="仿宋_GB2312" w:eastAsia="仿宋_GB2312" w:cs="仿宋_GB2312"/>
        </w:rPr>
      </w:pPr>
      <w:r>
        <w:rPr>
          <w:rFonts w:hint="eastAsia" w:ascii="楷体" w:hAnsi="楷体" w:eastAsia="楷体"/>
          <w:b/>
        </w:rPr>
        <w:t>（一）政府减灾能力调查。</w:t>
      </w:r>
      <w:r>
        <w:rPr>
          <w:rFonts w:hint="eastAsia" w:ascii="仿宋_GB2312" w:hAnsi="仿宋_GB2312" w:eastAsia="仿宋_GB2312" w:cs="仿宋_GB2312"/>
        </w:rPr>
        <w:t>主要调查区、镇（街道）、社区三级政府涉灾管理部门、各类专业救援救助队伍、救灾物资储备库（点）、灾害避难场所、地震灾害监测站点、地质灾害监测站点和防治工程、气象灾害监测站点和防治工程、水文站点与水旱灾害防治工程、森林火灾监测预警站点和防治工程等的基本情况、人员队伍情况、资金投入情况、装备设备和物资储备情况，建立政府减灾能力数据库。</w:t>
      </w:r>
    </w:p>
    <w:p>
      <w:pPr>
        <w:ind w:firstLine="643"/>
        <w:jc w:val="both"/>
        <w:rPr>
          <w:rFonts w:ascii="仿宋_GB2312" w:hAnsi="仿宋_GB2312" w:eastAsia="仿宋_GB2312" w:cs="仿宋_GB2312"/>
        </w:rPr>
      </w:pPr>
      <w:r>
        <w:rPr>
          <w:rFonts w:hint="eastAsia" w:ascii="楷体" w:hAnsi="楷体" w:eastAsia="楷体"/>
          <w:b/>
        </w:rPr>
        <w:t>（二）企业与社会组织减灾能力调查。</w:t>
      </w:r>
      <w:r>
        <w:rPr>
          <w:rFonts w:hint="eastAsia" w:ascii="仿宋_GB2312" w:hAnsi="仿宋_GB2312" w:eastAsia="仿宋_GB2312" w:cs="仿宋_GB2312"/>
        </w:rPr>
        <w:t>主要调查有关企业救援装备资源、保险与再保险企业减灾能力和社会组织减灾能力，建立企业与社会组织减灾能力数据库。</w:t>
      </w:r>
    </w:p>
    <w:p>
      <w:pPr>
        <w:ind w:firstLine="643"/>
        <w:jc w:val="both"/>
        <w:rPr>
          <w:rFonts w:ascii="仿宋_GB2312" w:hAnsi="仿宋_GB2312" w:eastAsia="仿宋_GB2312" w:cs="仿宋_GB2312"/>
        </w:rPr>
      </w:pPr>
      <w:r>
        <w:rPr>
          <w:rFonts w:hint="eastAsia" w:ascii="楷体" w:hAnsi="楷体" w:eastAsia="楷体"/>
          <w:b/>
        </w:rPr>
        <w:t>（三）乡镇和社区减灾能力调查。</w:t>
      </w:r>
      <w:r>
        <w:rPr>
          <w:rFonts w:hint="eastAsia" w:ascii="仿宋_GB2312" w:hAnsi="仿宋_GB2312" w:eastAsia="仿宋_GB2312" w:cs="仿宋_GB2312"/>
        </w:rPr>
        <w:t>主要调查乡镇（街道）和行政村（社区）基本情况、人员队伍情况、应急救援装备和物资储备情况、预案建设和风险隐患掌握情况等内容，建立乡镇和社区减灾能力调查数据库。</w:t>
      </w:r>
    </w:p>
    <w:p>
      <w:pPr>
        <w:ind w:firstLine="643"/>
        <w:jc w:val="both"/>
      </w:pPr>
      <w:r>
        <w:rPr>
          <w:rFonts w:hint="eastAsia" w:ascii="楷体" w:hAnsi="楷体" w:eastAsia="楷体"/>
          <w:b/>
        </w:rPr>
        <w:t>（四）家庭减灾能力调查。</w:t>
      </w:r>
      <w:r>
        <w:rPr>
          <w:rFonts w:hint="eastAsia" w:ascii="仿宋_GB2312" w:hAnsi="仿宋_GB2312" w:eastAsia="仿宋_GB2312" w:cs="仿宋_GB2312"/>
        </w:rPr>
        <w:t>抽样调查家庭居民的风险和灾害识别能力、自救和互救能力等，建立家庭减灾能力数据库。</w:t>
      </w:r>
    </w:p>
    <w:p>
      <w:pPr>
        <w:ind w:firstLine="643"/>
        <w:jc w:val="both"/>
        <w:rPr>
          <w:rFonts w:ascii="仿宋_GB2312" w:hAnsi="仿宋_GB2312" w:eastAsia="仿宋_GB2312" w:cs="仿宋_GB2312"/>
        </w:rPr>
      </w:pPr>
      <w:r>
        <w:rPr>
          <w:rFonts w:hint="eastAsia" w:ascii="楷体" w:hAnsi="楷体" w:eastAsia="楷体"/>
          <w:b/>
        </w:rPr>
        <w:t>（五）综合减灾能力评估与制图。</w:t>
      </w:r>
      <w:r>
        <w:rPr>
          <w:rFonts w:hint="eastAsia" w:ascii="仿宋_GB2312" w:hAnsi="仿宋_GB2312" w:eastAsia="仿宋_GB2312" w:cs="仿宋_GB2312"/>
        </w:rPr>
        <w:t>主要开展区、镇（街道）、社区三级行政单元政府减灾能力评估，企业与社会组织减灾能力评估，乡镇（街道）和抽样社区与家庭四个层面的减灾能力评估，建立综合减灾能力数据库，编制综合减灾能力调查结果图与减灾能力评估结果图。</w:t>
      </w:r>
    </w:p>
    <w:p>
      <w:pPr>
        <w:ind w:firstLine="640"/>
        <w:jc w:val="both"/>
        <w:rPr>
          <w:rFonts w:ascii="黑体" w:hAnsi="黑体" w:eastAsia="黑体"/>
        </w:rPr>
      </w:pPr>
      <w:r>
        <w:rPr>
          <w:rFonts w:hint="eastAsia" w:ascii="黑体" w:hAnsi="黑体" w:eastAsia="黑体"/>
        </w:rPr>
        <w:t>五、自然灾害重点隐患调查与评估</w:t>
      </w:r>
    </w:p>
    <w:p>
      <w:pPr>
        <w:ind w:firstLine="640"/>
        <w:jc w:val="both"/>
      </w:pPr>
      <w:r>
        <w:rPr>
          <w:rFonts w:hint="eastAsia" w:ascii="仿宋_GB2312" w:hAnsi="仿宋_GB2312" w:eastAsia="仿宋_GB2312" w:cs="仿宋_GB2312"/>
        </w:rPr>
        <w:t>开展主要自然灾害致灾和设防重点隐患调查评估；开展主要自然灾害重点隐患要素综合分析和统计评估。</w:t>
      </w:r>
    </w:p>
    <w:p>
      <w:pPr>
        <w:ind w:firstLine="643"/>
        <w:jc w:val="both"/>
        <w:rPr>
          <w:rFonts w:ascii="仿宋_GB2312" w:hAnsi="仿宋_GB2312" w:eastAsia="仿宋_GB2312" w:cs="仿宋_GB2312"/>
        </w:rPr>
      </w:pPr>
      <w:r>
        <w:rPr>
          <w:rFonts w:hint="eastAsia" w:ascii="楷体" w:hAnsi="楷体" w:eastAsia="楷体"/>
          <w:b/>
        </w:rPr>
        <w:t>（一）主要自然灾害隐患调查与评估。</w:t>
      </w:r>
      <w:r>
        <w:rPr>
          <w:rFonts w:hint="eastAsia" w:ascii="仿宋_GB2312" w:hAnsi="仿宋_GB2312" w:eastAsia="仿宋_GB2312" w:cs="仿宋_GB2312"/>
        </w:rPr>
        <w:t>地质灾害，基于地质灾害隐患点现场调查情况，根据其活动性和危害性，对地质灾害隐患点风险进行定性评价和等级划分，掌握地质灾害隐患及威胁对象的动态变化情况，更新地质灾害数据库。洪水灾害，重点调查水库工程、堤防工程、蓄滞洪区的现状防洪能力、防洪工程达标情况、安全运行状态。森林火灾，针对林区范围内的房屋建筑、防火设施等重要承灾体开展承灾体隐患评估，针对设防工程达标情况、减灾能力建设情况等开展减灾能力隐患评估，结合致灾孕灾危险性等级和减灾能力薄弱隐患等级，开展综合隐患评估，确定各类隐患等级。地震灾害，重点调查其可能引发重大人员伤亡、严重次生灾害或阻碍社会运行的承灾体，按照可能造成的影响（损失）水平建立地震灾害隐患分级标准，确定主要承灾体的隐患等级。</w:t>
      </w:r>
    </w:p>
    <w:p>
      <w:pPr>
        <w:ind w:firstLine="643"/>
        <w:jc w:val="both"/>
        <w:rPr>
          <w:rFonts w:ascii="仿宋_GB2312" w:hAnsi="仿宋_GB2312" w:eastAsia="仿宋_GB2312" w:cs="仿宋_GB2312"/>
        </w:rPr>
      </w:pPr>
      <w:r>
        <w:rPr>
          <w:rFonts w:hint="eastAsia" w:ascii="楷体" w:hAnsi="楷体" w:eastAsia="楷体"/>
          <w:b/>
        </w:rPr>
        <w:t>（二）重点隐患要素综合分析与统计评估。</w:t>
      </w:r>
      <w:r>
        <w:rPr>
          <w:rFonts w:hint="eastAsia" w:ascii="仿宋_GB2312" w:hAnsi="仿宋_GB2312" w:eastAsia="仿宋_GB2312" w:cs="仿宋_GB2312"/>
        </w:rPr>
        <w:t>集成各部门自然灾害致灾危险性及承灾体隐患调查与评估数据，形成重点隐患综合评估基础数据集。针对地震灾害、地质灾害、台风灾害、洪水灾害、森林火灾，基于致灾隐患属性特征数据，利用空间聚类等方法开展多灾种致灾隐患分区分类分级。基于建筑物、重要基础设施及重大工程等主要承灾体重点隐患属性特征，开展区域承灾体隐患统计评估和分类分区。</w:t>
      </w:r>
    </w:p>
    <w:p>
      <w:pPr>
        <w:ind w:firstLine="640"/>
        <w:jc w:val="both"/>
        <w:rPr>
          <w:rFonts w:ascii="黑体" w:hAnsi="黑体" w:eastAsia="黑体"/>
        </w:rPr>
      </w:pPr>
      <w:r>
        <w:rPr>
          <w:rFonts w:hint="eastAsia" w:ascii="黑体" w:hAnsi="黑体" w:eastAsia="黑体"/>
        </w:rPr>
        <w:t>六、配合完成主要自然灾害风险评估与区划</w:t>
      </w:r>
    </w:p>
    <w:p>
      <w:pPr>
        <w:ind w:firstLine="643"/>
        <w:jc w:val="both"/>
      </w:pPr>
      <w:r>
        <w:rPr>
          <w:rFonts w:hint="eastAsia" w:ascii="楷体" w:hAnsi="楷体" w:eastAsia="楷体"/>
          <w:b/>
        </w:rPr>
        <w:t>（一）地质灾害。</w:t>
      </w:r>
      <w:r>
        <w:rPr>
          <w:rFonts w:hint="eastAsia" w:ascii="仿宋_GB2312" w:hAnsi="仿宋_GB2312" w:eastAsia="仿宋_GB2312" w:cs="仿宋_GB2312"/>
        </w:rPr>
        <w:t>针对崩塌、滑坡、泥石流等地质灾害，开展中、高易发区地质灾害风险评价，判定风险区划级别，编制地质灾害区域风险和防治区划；根据地质灾害类型、规模、稳定性程度、灾害风险等级等因素，编制地质灾害防治区划方案。</w:t>
      </w:r>
    </w:p>
    <w:p>
      <w:pPr>
        <w:ind w:firstLine="643"/>
        <w:jc w:val="both"/>
      </w:pPr>
      <w:r>
        <w:rPr>
          <w:rFonts w:hint="eastAsia" w:ascii="楷体" w:hAnsi="楷体" w:eastAsia="楷体"/>
          <w:b/>
        </w:rPr>
        <w:t>（二）水旱灾害。</w:t>
      </w:r>
      <w:r>
        <w:rPr>
          <w:rFonts w:hint="eastAsia" w:ascii="仿宋_GB2312" w:hAnsi="仿宋_GB2312" w:eastAsia="仿宋_GB2312" w:cs="仿宋_GB2312"/>
        </w:rPr>
        <w:t>开展全省洪水灾害风险区划、全省洪水灾害防治区划。以区级行政区为评估单元，开展干旱频率分析、旱灾影响分析等，评估干旱灾害风险。开展干旱灾害风险区划和干旱灾害防治区划。</w:t>
      </w:r>
    </w:p>
    <w:p>
      <w:pPr>
        <w:ind w:firstLine="643"/>
        <w:jc w:val="both"/>
        <w:rPr>
          <w:rFonts w:ascii="仿宋_GB2312" w:hAnsi="仿宋_GB2312" w:eastAsia="仿宋_GB2312" w:cs="仿宋_GB2312"/>
        </w:rPr>
      </w:pPr>
      <w:r>
        <w:rPr>
          <w:rFonts w:hint="eastAsia" w:ascii="楷体" w:hAnsi="楷体" w:eastAsia="楷体"/>
          <w:b/>
        </w:rPr>
        <w:t>（三）森林火灾。</w:t>
      </w:r>
      <w:r>
        <w:rPr>
          <w:rFonts w:hint="eastAsia" w:ascii="仿宋_GB2312" w:hAnsi="仿宋_GB2312" w:eastAsia="仿宋_GB2312" w:cs="仿宋_GB2312"/>
        </w:rPr>
        <w:t>依据国家相关森林火灾风险评估方法体系和标准，针对森林火灾可能造成的森林资源、建筑物、人口、经济等承灾体损失的大小及不确定性，开展森林火灾综合风险评估，编制森林火灾风险要素图和风险评估专题图。综合考虑重点隐患分级分布情况、经济社会发展状况和综合减灾防治措施等因素，开展森林火灾防治区划，编制各级森林火灾风险评估与防治区划图。</w:t>
      </w:r>
    </w:p>
    <w:p>
      <w:pPr>
        <w:ind w:firstLine="643"/>
        <w:jc w:val="both"/>
        <w:rPr>
          <w:rFonts w:ascii="仿宋_GB2312" w:hAnsi="仿宋_GB2312" w:eastAsia="仿宋_GB2312" w:cs="仿宋_GB2312"/>
        </w:rPr>
      </w:pPr>
      <w:r>
        <w:rPr>
          <w:rFonts w:hint="eastAsia" w:ascii="楷体" w:hAnsi="楷体" w:eastAsia="楷体"/>
          <w:b/>
        </w:rPr>
        <w:t>（四）气象灾害。</w:t>
      </w:r>
      <w:r>
        <w:rPr>
          <w:rFonts w:hint="eastAsia" w:ascii="仿宋_GB2312" w:hAnsi="仿宋_GB2312" w:eastAsia="仿宋_GB2312" w:cs="仿宋_GB2312"/>
        </w:rPr>
        <w:t>针对干旱、暴雨、高温、台风、低温、大风、冰雹、雪灾和雷电灾害，评估气象灾害人口、经济产值、居民建筑、基础设施等主要承灾体脆弱性；评估区、镇（街道）、社区三级各类承灾体遭受主要气象灾害的风险水平，编制省级1:25万气象灾害人口、经济风险（GDP）区划图。</w:t>
      </w:r>
    </w:p>
    <w:p>
      <w:pPr>
        <w:ind w:firstLine="643"/>
        <w:jc w:val="both"/>
        <w:rPr>
          <w:rFonts w:ascii="仿宋_GB2312" w:hAnsi="仿宋_GB2312" w:eastAsia="仿宋_GB2312" w:cs="仿宋_GB2312"/>
        </w:rPr>
      </w:pPr>
      <w:r>
        <w:rPr>
          <w:rFonts w:hint="eastAsia" w:ascii="楷体" w:hAnsi="楷体" w:eastAsia="楷体"/>
          <w:b/>
        </w:rPr>
        <w:t>（五）地震灾害。</w:t>
      </w:r>
      <w:r>
        <w:rPr>
          <w:rFonts w:hint="eastAsia" w:ascii="仿宋_GB2312" w:hAnsi="仿宋_GB2312" w:eastAsia="仿宋_GB2312" w:cs="仿宋_GB2312"/>
        </w:rPr>
        <w:t>建立典型房屋建筑、生命线工程及生命地震易损性数据库，结合地震危险性评价成果和房屋建筑普查成果，评估房屋建筑地震破坏直接经济损失与人员伤亡风险，给出不同概率地震灾害风险评估结果，编制地震灾害风险区划图和地震灾害防治区划图。</w:t>
      </w:r>
    </w:p>
    <w:p>
      <w:pPr>
        <w:ind w:firstLine="640"/>
        <w:jc w:val="both"/>
        <w:rPr>
          <w:rFonts w:ascii="黑体" w:hAnsi="黑体" w:eastAsia="黑体"/>
        </w:rPr>
      </w:pPr>
      <w:r>
        <w:rPr>
          <w:rFonts w:hint="eastAsia" w:ascii="黑体" w:hAnsi="黑体" w:eastAsia="黑体"/>
        </w:rPr>
        <w:t>七、配合完成自然灾害综合风险评估与区划</w:t>
      </w:r>
    </w:p>
    <w:p>
      <w:pPr>
        <w:ind w:firstLine="643"/>
        <w:jc w:val="both"/>
        <w:rPr>
          <w:rFonts w:ascii="仿宋_GB2312" w:hAnsi="仿宋_GB2312" w:eastAsia="仿宋_GB2312" w:cs="仿宋_GB2312"/>
        </w:rPr>
      </w:pPr>
      <w:r>
        <w:rPr>
          <w:rFonts w:hint="eastAsia" w:ascii="楷体" w:hAnsi="楷体" w:eastAsia="楷体"/>
          <w:b/>
        </w:rPr>
        <w:t>（一）自然灾害综合风险评估。</w:t>
      </w:r>
      <w:r>
        <w:rPr>
          <w:rFonts w:hint="eastAsia" w:ascii="仿宋_GB2312" w:hAnsi="仿宋_GB2312" w:eastAsia="仿宋_GB2312" w:cs="仿宋_GB2312"/>
        </w:rPr>
        <w:t>在全省范围内，基于主要灾害风险调查、评估与区划以及承灾体调查成果，采用风险等级和定量风险结合的方法，评估地质、水旱、森林火灾、气象、地震灾害等主要灾种影响下的主要承灾体（人口、农作物（小麦、玉米、水稻）、房屋、公路和经济（GDP））的多灾种综合风险，厘清多灾种、多尺度多承灾体风险格局。</w:t>
      </w:r>
    </w:p>
    <w:p>
      <w:pPr>
        <w:ind w:firstLine="643"/>
        <w:jc w:val="both"/>
        <w:rPr>
          <w:rFonts w:ascii="仿宋_GB2312" w:hAnsi="仿宋_GB2312" w:eastAsia="仿宋_GB2312" w:cs="仿宋_GB2312"/>
        </w:rPr>
      </w:pPr>
      <w:r>
        <w:rPr>
          <w:rFonts w:hint="eastAsia" w:ascii="楷体" w:hAnsi="楷体" w:eastAsia="楷体"/>
          <w:b/>
        </w:rPr>
        <w:t>（二）自然灾害综合风险和防治区划。</w:t>
      </w:r>
      <w:r>
        <w:rPr>
          <w:rFonts w:hint="eastAsia" w:ascii="仿宋_GB2312" w:hAnsi="仿宋_GB2312" w:eastAsia="仿宋_GB2312" w:cs="仿宋_GB2312"/>
        </w:rPr>
        <w:t>基于多灾种综合风险评估成果，综合考虑孕灾环境、致灾因子和承灾体的差异性，通过定量区划方法进行区域划分，形成以主要自然灾害历史灾情、危险性和主要承灾体综合风险评估成果为依据、具有区域特征的区、镇（街道）、社区（村）三级和重点区域综合风险区划；依据减灾能力评估、综合隐患评估和单灾种防治区划，在自然灾害综合风险基础上，综合考虑不同致灾因子对不同承灾体影响的预防和治理特色，认识区域灾害防治分异特征，进行综合防治区域划分，结合我省实际情况，制定区、镇（街道）、社区（村）级综合防治区划。</w:t>
      </w:r>
    </w:p>
    <w:p>
      <w:pPr>
        <w:ind w:firstLine="643"/>
        <w:jc w:val="both"/>
        <w:rPr>
          <w:rFonts w:ascii="仿宋_GB2312" w:hAnsi="仿宋_GB2312" w:eastAsia="仿宋_GB2312" w:cs="仿宋_GB2312"/>
        </w:rPr>
      </w:pPr>
      <w:r>
        <w:rPr>
          <w:rFonts w:hint="eastAsia" w:ascii="楷体" w:hAnsi="楷体" w:eastAsia="楷体"/>
          <w:b/>
        </w:rPr>
        <w:t>（三）成果库建设。</w:t>
      </w:r>
      <w:r>
        <w:rPr>
          <w:rFonts w:hint="eastAsia" w:ascii="仿宋_GB2312" w:hAnsi="仿宋_GB2312" w:eastAsia="仿宋_GB2312" w:cs="仿宋_GB2312"/>
        </w:rPr>
        <w:t>以数据、文字、表格和图形等形式对区、镇（街道）、社区（村）级自然灾害综合风险评估和区划成果汇总整编，建立省级1:25万、镇（街道）级1：5万或1:10万和重点区域灾害综合风险图、综合风险区划图、综合防治区划图和综合防治对策报告成果库。</w:t>
      </w:r>
    </w:p>
    <w:p>
      <w:pPr>
        <w:ind w:firstLine="640"/>
      </w:pPr>
    </w:p>
    <w:p>
      <w:pPr>
        <w:ind w:firstLine="640"/>
      </w:pPr>
    </w:p>
    <w:p>
      <w:pPr>
        <w:ind w:firstLine="640"/>
        <w:sectPr>
          <w:headerReference r:id="rId7" w:type="first"/>
          <w:footerReference r:id="rId10" w:type="first"/>
          <w:headerReference r:id="rId5" w:type="default"/>
          <w:footerReference r:id="rId8" w:type="default"/>
          <w:headerReference r:id="rId6" w:type="even"/>
          <w:footerReference r:id="rId9" w:type="even"/>
          <w:pgSz w:w="11906" w:h="16838"/>
          <w:pgMar w:top="1701" w:right="1361" w:bottom="1474" w:left="1474" w:header="851" w:footer="992" w:gutter="0"/>
          <w:cols w:space="425" w:num="1"/>
          <w:titlePg/>
          <w:docGrid w:type="linesAndChars" w:linePitch="312" w:charSpace="0"/>
        </w:sectPr>
      </w:pPr>
    </w:p>
    <w:p>
      <w:pPr>
        <w:ind w:firstLine="0" w:firstLineChars="0"/>
      </w:pPr>
      <w:r>
        <w:rPr>
          <w:rFonts w:hint="eastAsia"/>
        </w:rPr>
        <w:t>附件2：</w:t>
      </w:r>
    </w:p>
    <w:p>
      <w:pPr>
        <w:ind w:firstLine="0" w:firstLineChars="0"/>
        <w:jc w:val="center"/>
        <w:rPr>
          <w:rFonts w:ascii="方正大标宋简体" w:hAnsi="黑体" w:eastAsia="方正大标宋简体"/>
          <w:sz w:val="36"/>
          <w:szCs w:val="36"/>
        </w:rPr>
      </w:pPr>
      <w:r>
        <w:rPr>
          <w:rFonts w:hint="eastAsia" w:ascii="方正大标宋简体" w:hAnsi="黑体" w:eastAsia="方正大标宋简体"/>
          <w:bCs/>
          <w:sz w:val="36"/>
          <w:szCs w:val="36"/>
        </w:rPr>
        <w:t>八公山区普查任务区级层面分工清单</w:t>
      </w:r>
    </w:p>
    <w:tbl>
      <w:tblPr>
        <w:tblStyle w:val="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4"/>
        <w:gridCol w:w="1425"/>
        <w:gridCol w:w="1405"/>
        <w:gridCol w:w="1986"/>
        <w:gridCol w:w="4860"/>
        <w:gridCol w:w="1217"/>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序号</w:t>
            </w:r>
          </w:p>
        </w:tc>
        <w:tc>
          <w:tcPr>
            <w:tcW w:w="513"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主要任务</w:t>
            </w:r>
          </w:p>
        </w:tc>
        <w:tc>
          <w:tcPr>
            <w:tcW w:w="506"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调查类别</w:t>
            </w: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调查对象</w:t>
            </w:r>
          </w:p>
        </w:tc>
        <w:tc>
          <w:tcPr>
            <w:tcW w:w="1750"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主要内容及成果</w:t>
            </w:r>
          </w:p>
        </w:tc>
        <w:tc>
          <w:tcPr>
            <w:tcW w:w="438"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牵头部门</w:t>
            </w:r>
          </w:p>
        </w:tc>
        <w:tc>
          <w:tcPr>
            <w:tcW w:w="836"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实施部门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1</w:t>
            </w:r>
          </w:p>
        </w:tc>
        <w:tc>
          <w:tcPr>
            <w:tcW w:w="513" w:type="pct"/>
            <w:vMerge w:val="restart"/>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主要灾害致灾调查与评估</w:t>
            </w: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主要灾害致灾调查与评估</w:t>
            </w:r>
          </w:p>
        </w:tc>
        <w:tc>
          <w:tcPr>
            <w:tcW w:w="506"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地质灾害</w:t>
            </w: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中、高易发区地质灾害调查</w:t>
            </w:r>
          </w:p>
        </w:tc>
        <w:tc>
          <w:tcPr>
            <w:tcW w:w="1750"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获得地质灾害各项属性信息，建设多级动态更新的数据库。</w:t>
            </w:r>
          </w:p>
        </w:tc>
        <w:tc>
          <w:tcPr>
            <w:tcW w:w="438"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八公山自然资源和规划分局</w:t>
            </w:r>
          </w:p>
        </w:tc>
        <w:tc>
          <w:tcPr>
            <w:tcW w:w="836"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八公山自然资源和规划分局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0"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2</w:t>
            </w:r>
          </w:p>
        </w:tc>
        <w:tc>
          <w:tcPr>
            <w:tcW w:w="513"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vMerge w:val="restart"/>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水旱灾害</w:t>
            </w: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洪水调查</w:t>
            </w:r>
          </w:p>
        </w:tc>
        <w:tc>
          <w:tcPr>
            <w:tcW w:w="1750"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开展洪水频率分析，更新大江大河主要控制断面洪水特征值图表，编制中小流域洪水频率图。</w:t>
            </w:r>
          </w:p>
        </w:tc>
        <w:tc>
          <w:tcPr>
            <w:tcW w:w="438" w:type="pct"/>
            <w:vMerge w:val="restart"/>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区农水局</w:t>
            </w:r>
          </w:p>
        </w:tc>
        <w:tc>
          <w:tcPr>
            <w:tcW w:w="836" w:type="pct"/>
            <w:vMerge w:val="restart"/>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区农水局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3</w:t>
            </w:r>
          </w:p>
        </w:tc>
        <w:tc>
          <w:tcPr>
            <w:tcW w:w="513"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干旱旱情调查</w:t>
            </w:r>
          </w:p>
        </w:tc>
        <w:tc>
          <w:tcPr>
            <w:tcW w:w="1750"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收集整理旱情资料，建立干旱灾害危险性调查数据库。</w:t>
            </w:r>
          </w:p>
        </w:tc>
        <w:tc>
          <w:tcPr>
            <w:tcW w:w="438"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836"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4</w:t>
            </w:r>
          </w:p>
        </w:tc>
        <w:tc>
          <w:tcPr>
            <w:tcW w:w="513"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干旱灾害危险性评估</w:t>
            </w:r>
          </w:p>
        </w:tc>
        <w:tc>
          <w:tcPr>
            <w:tcW w:w="1750"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分析干旱灾害致灾因素，编制干旱灾害危险性分布图。</w:t>
            </w:r>
          </w:p>
        </w:tc>
        <w:tc>
          <w:tcPr>
            <w:tcW w:w="438"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836"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5</w:t>
            </w:r>
          </w:p>
        </w:tc>
        <w:tc>
          <w:tcPr>
            <w:tcW w:w="513"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vMerge w:val="restart"/>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森林火灾</w:t>
            </w: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可燃物调查</w:t>
            </w:r>
          </w:p>
        </w:tc>
        <w:tc>
          <w:tcPr>
            <w:tcW w:w="1750" w:type="pct"/>
            <w:vMerge w:val="restart"/>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进行森林火灾危险性研判和分析，开展森林危险性评估，建设森林火灾危险性调查和评估数据库，编制森林火灾危险性分布图。</w:t>
            </w:r>
          </w:p>
        </w:tc>
        <w:tc>
          <w:tcPr>
            <w:tcW w:w="438" w:type="pct"/>
            <w:vMerge w:val="restart"/>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八公山自然资源和规划分局</w:t>
            </w:r>
          </w:p>
        </w:tc>
        <w:tc>
          <w:tcPr>
            <w:tcW w:w="836" w:type="pct"/>
            <w:vMerge w:val="restart"/>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八公山自然资源和规划分局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6</w:t>
            </w:r>
          </w:p>
        </w:tc>
        <w:tc>
          <w:tcPr>
            <w:tcW w:w="513"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野外火源调查</w:t>
            </w:r>
          </w:p>
        </w:tc>
        <w:tc>
          <w:tcPr>
            <w:tcW w:w="1750"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438"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836"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7</w:t>
            </w:r>
          </w:p>
        </w:tc>
        <w:tc>
          <w:tcPr>
            <w:tcW w:w="513"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气象条件调查</w:t>
            </w:r>
          </w:p>
        </w:tc>
        <w:tc>
          <w:tcPr>
            <w:tcW w:w="1750"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438"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836"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8</w:t>
            </w:r>
          </w:p>
        </w:tc>
        <w:tc>
          <w:tcPr>
            <w:tcW w:w="513"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森林火灾致灾危险性评估</w:t>
            </w:r>
          </w:p>
        </w:tc>
        <w:tc>
          <w:tcPr>
            <w:tcW w:w="1750"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438"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836"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9</w:t>
            </w:r>
          </w:p>
        </w:tc>
        <w:tc>
          <w:tcPr>
            <w:tcW w:w="513"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vMerge w:val="restart"/>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气象灾害</w:t>
            </w: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气象灾害</w:t>
            </w: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台风</w:t>
            </w:r>
          </w:p>
        </w:tc>
        <w:tc>
          <w:tcPr>
            <w:tcW w:w="1750" w:type="pct"/>
            <w:vMerge w:val="restart"/>
            <w:tcBorders>
              <w:top w:val="nil"/>
              <w:left w:val="nil"/>
              <w:bottom w:val="single" w:color="auto" w:sz="4" w:space="0"/>
              <w:right w:val="single" w:color="auto" w:sz="4" w:space="0"/>
            </w:tcBorders>
            <w:vAlign w:val="center"/>
          </w:tcPr>
          <w:p>
            <w:pPr>
              <w:widowControl/>
              <w:autoSpaceDE w:val="0"/>
              <w:spacing w:line="360" w:lineRule="exact"/>
              <w:ind w:firstLine="0" w:firstLineChars="0"/>
              <w:rPr>
                <w:rFonts w:ascii="宋体" w:eastAsia="宋体"/>
                <w:bCs/>
                <w:color w:val="000000"/>
                <w:sz w:val="21"/>
                <w:szCs w:val="21"/>
              </w:rPr>
            </w:pPr>
            <w:r>
              <w:rPr>
                <w:rFonts w:hint="eastAsia" w:ascii="宋体" w:eastAsia="宋体"/>
                <w:bCs/>
                <w:color w:val="000000"/>
                <w:sz w:val="21"/>
                <w:szCs w:val="21"/>
              </w:rPr>
              <w:t>开展主要灾害特征调查和致灾孕灾要素分析，建立主要气象灾害危险性评估数据库，编制主要气象灾害危险性区划图件。</w:t>
            </w: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rPr>
                <w:rFonts w:ascii="宋体" w:eastAsia="宋体"/>
                <w:bCs/>
                <w:color w:val="000000"/>
                <w:sz w:val="21"/>
                <w:szCs w:val="21"/>
              </w:rPr>
            </w:pPr>
            <w:r>
              <w:rPr>
                <w:rFonts w:hint="eastAsia" w:ascii="宋体" w:eastAsia="宋体"/>
                <w:bCs/>
                <w:color w:val="000000"/>
                <w:sz w:val="21"/>
                <w:szCs w:val="21"/>
              </w:rPr>
              <w:t>开展主要灾害特征调查和致灾孕灾要素分析，建立主要气象灾害危险性评估数据库，编制主要气象灾害危险性区划图件。</w:t>
            </w:r>
          </w:p>
        </w:tc>
        <w:tc>
          <w:tcPr>
            <w:tcW w:w="438" w:type="pct"/>
            <w:vMerge w:val="restart"/>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区应急局</w:t>
            </w: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区应急局</w:t>
            </w:r>
          </w:p>
        </w:tc>
        <w:tc>
          <w:tcPr>
            <w:tcW w:w="836" w:type="pct"/>
            <w:vMerge w:val="restart"/>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区应急局</w:t>
            </w: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区应急局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10</w:t>
            </w:r>
          </w:p>
        </w:tc>
        <w:tc>
          <w:tcPr>
            <w:tcW w:w="513"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暴雨</w:t>
            </w:r>
          </w:p>
        </w:tc>
        <w:tc>
          <w:tcPr>
            <w:tcW w:w="1750"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438"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836"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11</w:t>
            </w:r>
          </w:p>
        </w:tc>
        <w:tc>
          <w:tcPr>
            <w:tcW w:w="513"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干旱</w:t>
            </w:r>
          </w:p>
        </w:tc>
        <w:tc>
          <w:tcPr>
            <w:tcW w:w="1750"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438"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836"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12</w:t>
            </w:r>
          </w:p>
        </w:tc>
        <w:tc>
          <w:tcPr>
            <w:tcW w:w="513"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高温</w:t>
            </w:r>
          </w:p>
        </w:tc>
        <w:tc>
          <w:tcPr>
            <w:tcW w:w="1750"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438"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836"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13</w:t>
            </w:r>
          </w:p>
        </w:tc>
        <w:tc>
          <w:tcPr>
            <w:tcW w:w="513"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低温</w:t>
            </w:r>
          </w:p>
        </w:tc>
        <w:tc>
          <w:tcPr>
            <w:tcW w:w="1750"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438"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836"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14</w:t>
            </w:r>
          </w:p>
        </w:tc>
        <w:tc>
          <w:tcPr>
            <w:tcW w:w="513" w:type="pct"/>
            <w:vMerge w:val="continue"/>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vMerge w:val="continue"/>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大风、冰雹</w:t>
            </w:r>
          </w:p>
        </w:tc>
        <w:tc>
          <w:tcPr>
            <w:tcW w:w="1750" w:type="pct"/>
            <w:vMerge w:val="continue"/>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438" w:type="pct"/>
            <w:vMerge w:val="continue"/>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836" w:type="pct"/>
            <w:vMerge w:val="continue"/>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15</w:t>
            </w:r>
          </w:p>
        </w:tc>
        <w:tc>
          <w:tcPr>
            <w:tcW w:w="513"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雪灾</w:t>
            </w:r>
          </w:p>
        </w:tc>
        <w:tc>
          <w:tcPr>
            <w:tcW w:w="1750"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438"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836"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16</w:t>
            </w:r>
          </w:p>
        </w:tc>
        <w:tc>
          <w:tcPr>
            <w:tcW w:w="513"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雷电</w:t>
            </w:r>
          </w:p>
        </w:tc>
        <w:tc>
          <w:tcPr>
            <w:tcW w:w="1750"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438"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836"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17</w:t>
            </w:r>
          </w:p>
        </w:tc>
        <w:tc>
          <w:tcPr>
            <w:tcW w:w="513"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气象灾害致灾危险性评估</w:t>
            </w:r>
          </w:p>
        </w:tc>
        <w:tc>
          <w:tcPr>
            <w:tcW w:w="1750"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438"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836"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18</w:t>
            </w:r>
          </w:p>
        </w:tc>
        <w:tc>
          <w:tcPr>
            <w:tcW w:w="513"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vMerge w:val="restart"/>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地震灾害</w:t>
            </w: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地震构造调查</w:t>
            </w:r>
          </w:p>
        </w:tc>
        <w:tc>
          <w:tcPr>
            <w:tcW w:w="1750"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编制地震构造图。</w:t>
            </w:r>
          </w:p>
        </w:tc>
        <w:tc>
          <w:tcPr>
            <w:tcW w:w="438" w:type="pct"/>
            <w:vMerge w:val="restart"/>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区应急局</w:t>
            </w:r>
          </w:p>
        </w:tc>
        <w:tc>
          <w:tcPr>
            <w:tcW w:w="836" w:type="pct"/>
            <w:vMerge w:val="restart"/>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区应急局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19</w:t>
            </w:r>
          </w:p>
        </w:tc>
        <w:tc>
          <w:tcPr>
            <w:tcW w:w="513"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活动断层探察</w:t>
            </w:r>
          </w:p>
        </w:tc>
        <w:tc>
          <w:tcPr>
            <w:tcW w:w="1750"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编制活动断层分布图。</w:t>
            </w:r>
          </w:p>
        </w:tc>
        <w:tc>
          <w:tcPr>
            <w:tcW w:w="438"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836"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20</w:t>
            </w:r>
          </w:p>
        </w:tc>
        <w:tc>
          <w:tcPr>
            <w:tcW w:w="513"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地震危险性分析</w:t>
            </w:r>
          </w:p>
        </w:tc>
        <w:tc>
          <w:tcPr>
            <w:tcW w:w="1750"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编制地震危险性图。</w:t>
            </w:r>
          </w:p>
        </w:tc>
        <w:tc>
          <w:tcPr>
            <w:tcW w:w="438"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836"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21</w:t>
            </w:r>
          </w:p>
        </w:tc>
        <w:tc>
          <w:tcPr>
            <w:tcW w:w="513" w:type="pct"/>
            <w:vMerge w:val="restart"/>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承灾体调查</w:t>
            </w: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承灾体调查</w:t>
            </w: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tc>
        <w:tc>
          <w:tcPr>
            <w:tcW w:w="506" w:type="pct"/>
            <w:vMerge w:val="restart"/>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房屋建筑和市政设施调查</w:t>
            </w: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城镇房屋建筑调查</w:t>
            </w:r>
          </w:p>
        </w:tc>
        <w:tc>
          <w:tcPr>
            <w:tcW w:w="1750" w:type="pct"/>
            <w:vMerge w:val="restart"/>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实地调查房屋建筑基本情况、建筑结构和设防情况、使用情况等信息，建立调查成果数据库。</w:t>
            </w:r>
          </w:p>
        </w:tc>
        <w:tc>
          <w:tcPr>
            <w:tcW w:w="438" w:type="pct"/>
            <w:vMerge w:val="restart"/>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区住建局</w:t>
            </w:r>
          </w:p>
        </w:tc>
        <w:tc>
          <w:tcPr>
            <w:tcW w:w="836" w:type="pct"/>
            <w:vMerge w:val="restart"/>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区住建局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22</w:t>
            </w:r>
          </w:p>
        </w:tc>
        <w:tc>
          <w:tcPr>
            <w:tcW w:w="513"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农村房屋建筑调查</w:t>
            </w:r>
          </w:p>
        </w:tc>
        <w:tc>
          <w:tcPr>
            <w:tcW w:w="1750"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438"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836"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23</w:t>
            </w:r>
          </w:p>
        </w:tc>
        <w:tc>
          <w:tcPr>
            <w:tcW w:w="513"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市政设施</w:t>
            </w:r>
          </w:p>
        </w:tc>
        <w:tc>
          <w:tcPr>
            <w:tcW w:w="1750"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调查获取市政道路、桥梁、供水设施的地理位置、物理属性以及设防情况等信息。</w:t>
            </w:r>
          </w:p>
        </w:tc>
        <w:tc>
          <w:tcPr>
            <w:tcW w:w="438"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区住建局</w:t>
            </w:r>
          </w:p>
        </w:tc>
        <w:tc>
          <w:tcPr>
            <w:tcW w:w="836"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区住建局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13"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交通运输设施调查</w:t>
            </w: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公路、水路</w:t>
            </w:r>
          </w:p>
        </w:tc>
        <w:tc>
          <w:tcPr>
            <w:tcW w:w="1750"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调查获取公路水路设施属性信息及遭受的自然灾害信息。</w:t>
            </w:r>
          </w:p>
        </w:tc>
        <w:tc>
          <w:tcPr>
            <w:tcW w:w="438"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八公山交通运输分局</w:t>
            </w:r>
          </w:p>
        </w:tc>
        <w:tc>
          <w:tcPr>
            <w:tcW w:w="836"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八公山交通运输分局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24</w:t>
            </w:r>
          </w:p>
        </w:tc>
        <w:tc>
          <w:tcPr>
            <w:tcW w:w="513"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民用核设施调查</w:t>
            </w: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放射性废物库</w:t>
            </w:r>
          </w:p>
        </w:tc>
        <w:tc>
          <w:tcPr>
            <w:tcW w:w="1750"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收集整理放射性废物库基础数据，开展承灾体数据采集，编制城区放射性废物库自然灾害承灾体评估报告。</w:t>
            </w:r>
          </w:p>
        </w:tc>
        <w:tc>
          <w:tcPr>
            <w:tcW w:w="438"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八公山区生态环境分局</w:t>
            </w:r>
          </w:p>
        </w:tc>
        <w:tc>
          <w:tcPr>
            <w:tcW w:w="836"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八公山区生态环境分局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25</w:t>
            </w:r>
          </w:p>
        </w:tc>
        <w:tc>
          <w:tcPr>
            <w:tcW w:w="513"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vMerge w:val="restart"/>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公共服务系统</w:t>
            </w: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公共服务系统</w:t>
            </w: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学校</w:t>
            </w:r>
          </w:p>
        </w:tc>
        <w:tc>
          <w:tcPr>
            <w:tcW w:w="1750" w:type="pct"/>
            <w:vMerge w:val="restart"/>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调查公共服务机构的人员情况、功能和服务情况、应急保障能力及灾害属性信息。</w:t>
            </w: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调查公共服务机构的人员情况、功能和服务情况、应急保障能力及灾害属性信息。</w:t>
            </w:r>
          </w:p>
        </w:tc>
        <w:tc>
          <w:tcPr>
            <w:tcW w:w="438" w:type="pct"/>
            <w:vMerge w:val="restart"/>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区应急局</w:t>
            </w: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区应急局</w:t>
            </w:r>
          </w:p>
        </w:tc>
        <w:tc>
          <w:tcPr>
            <w:tcW w:w="836"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区教体局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26</w:t>
            </w:r>
          </w:p>
        </w:tc>
        <w:tc>
          <w:tcPr>
            <w:tcW w:w="513"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医疗卫生机构</w:t>
            </w:r>
          </w:p>
        </w:tc>
        <w:tc>
          <w:tcPr>
            <w:tcW w:w="1750"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438"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836"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区卫健委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27</w:t>
            </w:r>
          </w:p>
        </w:tc>
        <w:tc>
          <w:tcPr>
            <w:tcW w:w="513"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提供住宿的社会服务机构</w:t>
            </w:r>
          </w:p>
        </w:tc>
        <w:tc>
          <w:tcPr>
            <w:tcW w:w="1750"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438"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836"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区民政局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28</w:t>
            </w:r>
          </w:p>
        </w:tc>
        <w:tc>
          <w:tcPr>
            <w:tcW w:w="513"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公共文化场所</w:t>
            </w:r>
          </w:p>
        </w:tc>
        <w:tc>
          <w:tcPr>
            <w:tcW w:w="1750"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438"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836"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区文旅局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29</w:t>
            </w:r>
          </w:p>
        </w:tc>
        <w:tc>
          <w:tcPr>
            <w:tcW w:w="513"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旅游景区</w:t>
            </w:r>
          </w:p>
        </w:tc>
        <w:tc>
          <w:tcPr>
            <w:tcW w:w="1750"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438"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836"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区文旅局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30</w:t>
            </w:r>
          </w:p>
        </w:tc>
        <w:tc>
          <w:tcPr>
            <w:tcW w:w="513"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星级饭店</w:t>
            </w:r>
          </w:p>
        </w:tc>
        <w:tc>
          <w:tcPr>
            <w:tcW w:w="1750"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438"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836"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区文旅局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31</w:t>
            </w:r>
          </w:p>
        </w:tc>
        <w:tc>
          <w:tcPr>
            <w:tcW w:w="513" w:type="pct"/>
            <w:vMerge w:val="continue"/>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vMerge w:val="continue"/>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体育场馆</w:t>
            </w:r>
          </w:p>
        </w:tc>
        <w:tc>
          <w:tcPr>
            <w:tcW w:w="1750" w:type="pct"/>
            <w:vMerge w:val="continue"/>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438" w:type="pct"/>
            <w:vMerge w:val="continue"/>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836"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区教体局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32</w:t>
            </w:r>
          </w:p>
        </w:tc>
        <w:tc>
          <w:tcPr>
            <w:tcW w:w="513"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宗教活动场所</w:t>
            </w:r>
          </w:p>
        </w:tc>
        <w:tc>
          <w:tcPr>
            <w:tcW w:w="1750"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438"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836"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区民族宗教局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33</w:t>
            </w:r>
          </w:p>
        </w:tc>
        <w:tc>
          <w:tcPr>
            <w:tcW w:w="513"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大型超区、百货店和亿元以上商品交易区场</w:t>
            </w:r>
          </w:p>
        </w:tc>
        <w:tc>
          <w:tcPr>
            <w:tcW w:w="1750"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438"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836"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区发改委（区商务投资促进局）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34</w:t>
            </w:r>
          </w:p>
        </w:tc>
        <w:tc>
          <w:tcPr>
            <w:tcW w:w="513"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基础指标统计表</w:t>
            </w:r>
          </w:p>
        </w:tc>
        <w:tc>
          <w:tcPr>
            <w:tcW w:w="1750"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各地区所有法人单位和产业活动单位，针对规模以上工业企业主要指标及服务业指标，填写统计表。</w:t>
            </w:r>
          </w:p>
        </w:tc>
        <w:tc>
          <w:tcPr>
            <w:tcW w:w="438"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836"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区统计局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35</w:t>
            </w:r>
          </w:p>
        </w:tc>
        <w:tc>
          <w:tcPr>
            <w:tcW w:w="513"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房屋建筑重置价格</w:t>
            </w:r>
          </w:p>
        </w:tc>
        <w:tc>
          <w:tcPr>
            <w:tcW w:w="1750"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bookmarkStart w:id="0" w:name="RANGE!E36"/>
            <w:r>
              <w:rPr>
                <w:rFonts w:hint="eastAsia" w:ascii="宋体" w:eastAsia="宋体"/>
                <w:bCs/>
                <w:color w:val="000000"/>
                <w:sz w:val="21"/>
                <w:szCs w:val="21"/>
              </w:rPr>
              <w:t>基于已有标准录入住宅、非住宅各类建筑结构类型的房屋建筑重置价格，非调查内容。</w:t>
            </w:r>
            <w:bookmarkEnd w:id="0"/>
          </w:p>
        </w:tc>
        <w:tc>
          <w:tcPr>
            <w:tcW w:w="438"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836"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区住建局、区发改委（区商务投资促进局）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5"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36</w:t>
            </w:r>
          </w:p>
        </w:tc>
        <w:tc>
          <w:tcPr>
            <w:tcW w:w="513"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vMerge w:val="restart"/>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危险化学品经营企业等重点企业调查</w:t>
            </w:r>
          </w:p>
        </w:tc>
        <w:tc>
          <w:tcPr>
            <w:tcW w:w="715" w:type="pct"/>
            <w:vMerge w:val="restart"/>
            <w:tcBorders>
              <w:top w:val="single" w:color="auto" w:sz="4" w:space="0"/>
              <w:left w:val="nil"/>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危险化学经营企业</w:t>
            </w:r>
          </w:p>
        </w:tc>
        <w:tc>
          <w:tcPr>
            <w:tcW w:w="1750" w:type="pct"/>
            <w:vMerge w:val="restart"/>
            <w:tcBorders>
              <w:top w:val="single" w:color="auto" w:sz="4" w:space="0"/>
              <w:left w:val="nil"/>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调查地理空间分布，设防水平等信息，更新企业基础信息、灾害防御能力应急保障能力等灾害属性信息，编制分布图。</w:t>
            </w:r>
          </w:p>
        </w:tc>
        <w:tc>
          <w:tcPr>
            <w:tcW w:w="438" w:type="pct"/>
            <w:vMerge w:val="restart"/>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区应急局</w:t>
            </w:r>
          </w:p>
        </w:tc>
        <w:tc>
          <w:tcPr>
            <w:tcW w:w="836" w:type="pct"/>
            <w:vMerge w:val="restart"/>
            <w:tcBorders>
              <w:top w:val="single" w:color="auto" w:sz="4" w:space="0"/>
              <w:left w:val="nil"/>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八公山自然资源和规划分局、区应急局、区农水局、八公山区生态环境分局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highlight w:val="yellow"/>
              </w:rPr>
            </w:pPr>
            <w:r>
              <w:rPr>
                <w:rFonts w:hint="eastAsia" w:ascii="宋体" w:eastAsia="宋体"/>
                <w:bCs/>
                <w:color w:val="000000"/>
                <w:sz w:val="21"/>
                <w:szCs w:val="21"/>
                <w:highlight w:val="yellow"/>
              </w:rPr>
              <w:t>37</w:t>
            </w:r>
          </w:p>
        </w:tc>
        <w:tc>
          <w:tcPr>
            <w:tcW w:w="513"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715" w:type="pct"/>
            <w:vMerge w:val="continue"/>
            <w:tcBorders>
              <w:left w:val="nil"/>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1750" w:type="pct"/>
            <w:vMerge w:val="continue"/>
            <w:tcBorders>
              <w:left w:val="nil"/>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438"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836" w:type="pct"/>
            <w:vMerge w:val="continue"/>
            <w:tcBorders>
              <w:left w:val="nil"/>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highlight w:val="yellow"/>
              </w:rPr>
            </w:pPr>
            <w:r>
              <w:rPr>
                <w:rFonts w:hint="eastAsia" w:ascii="宋体" w:eastAsia="宋体"/>
                <w:bCs/>
                <w:color w:val="000000"/>
                <w:sz w:val="21"/>
                <w:szCs w:val="21"/>
                <w:highlight w:val="yellow"/>
              </w:rPr>
              <w:t>38</w:t>
            </w:r>
          </w:p>
        </w:tc>
        <w:tc>
          <w:tcPr>
            <w:tcW w:w="513"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715" w:type="pct"/>
            <w:vMerge w:val="continue"/>
            <w:tcBorders>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1750" w:type="pct"/>
            <w:vMerge w:val="continue"/>
            <w:tcBorders>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438"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836" w:type="pct"/>
            <w:vMerge w:val="continue"/>
            <w:tcBorders>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10"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39</w:t>
            </w:r>
          </w:p>
        </w:tc>
        <w:tc>
          <w:tcPr>
            <w:tcW w:w="513" w:type="pct"/>
            <w:vMerge w:val="continue"/>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人口、经济、农作物等数据共享整理</w:t>
            </w: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人口、GDP和农作物、经济、林草资源、土地资源、水利、通信、铁路、航空、能源设施整理</w:t>
            </w:r>
          </w:p>
        </w:tc>
        <w:tc>
          <w:tcPr>
            <w:tcW w:w="1750"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共享整理相关普查和调查成果，获取关键基础设施数据，建设承灾体调查成果数据库。</w:t>
            </w:r>
          </w:p>
        </w:tc>
        <w:tc>
          <w:tcPr>
            <w:tcW w:w="1274" w:type="pct"/>
            <w:gridSpan w:val="2"/>
            <w:vMerge w:val="restar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中央层面统一共享整理</w:t>
            </w: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40</w:t>
            </w:r>
          </w:p>
        </w:tc>
        <w:tc>
          <w:tcPr>
            <w:tcW w:w="513" w:type="pct"/>
            <w:vMerge w:val="continue"/>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固定资产重置成本评估</w:t>
            </w: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不同地区、不同承灾体经济价值、空间化调查</w:t>
            </w:r>
          </w:p>
        </w:tc>
        <w:tc>
          <w:tcPr>
            <w:tcW w:w="1750"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制作固定资产重置成本评估及格网分布图。</w:t>
            </w:r>
          </w:p>
        </w:tc>
        <w:tc>
          <w:tcPr>
            <w:tcW w:w="1274" w:type="pct"/>
            <w:gridSpan w:val="2"/>
            <w:vMerge w:val="continue"/>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5"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41</w:t>
            </w:r>
          </w:p>
        </w:tc>
        <w:tc>
          <w:tcPr>
            <w:tcW w:w="513" w:type="pct"/>
            <w:vMerge w:val="restart"/>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历史自然灾害灾情调查与评估</w:t>
            </w:r>
          </w:p>
        </w:tc>
        <w:tc>
          <w:tcPr>
            <w:tcW w:w="506"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历史年度自然灾害灾情调查</w:t>
            </w: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1978年以来的年度自然灾害灾情调查</w:t>
            </w:r>
          </w:p>
        </w:tc>
        <w:tc>
          <w:tcPr>
            <w:tcW w:w="1750"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调查1978-2020年各区（区）级行政区逐年各类自然灾害的年度灾害信息，主要包括灾害基本信息、灾害损失信息、救灾工作信息、社会经济信息等，形成调查数据集。</w:t>
            </w:r>
          </w:p>
        </w:tc>
        <w:tc>
          <w:tcPr>
            <w:tcW w:w="438" w:type="pct"/>
            <w:vMerge w:val="restart"/>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区应急局</w:t>
            </w:r>
          </w:p>
        </w:tc>
        <w:tc>
          <w:tcPr>
            <w:tcW w:w="836" w:type="pct"/>
            <w:vMerge w:val="restar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区农水局、区应急局、八公山自然资源和规划分局、区住建局、八公山交通运输分局、区科信局、区卫健委、区教体局、区民政局、区统计局等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0"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42</w:t>
            </w:r>
          </w:p>
        </w:tc>
        <w:tc>
          <w:tcPr>
            <w:tcW w:w="513"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重大历史自然灾害调查</w:t>
            </w: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1949年以来的重大历史自然灾害调查</w:t>
            </w:r>
          </w:p>
        </w:tc>
        <w:tc>
          <w:tcPr>
            <w:tcW w:w="1750"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调查1949-2020年重大自然灾害事件的灾害信息，主要包括灾害基本信息、灾害损失信息、救灾工作信息、致灾信息等，形成调查数据集。</w:t>
            </w:r>
          </w:p>
        </w:tc>
        <w:tc>
          <w:tcPr>
            <w:tcW w:w="438"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836" w:type="pct"/>
            <w:vMerge w:val="continue"/>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5"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43</w:t>
            </w:r>
          </w:p>
        </w:tc>
        <w:tc>
          <w:tcPr>
            <w:tcW w:w="513"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历史年度自然灾害灾情评估</w:t>
            </w: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评估1978年以来的年度自然灾害灾情。</w:t>
            </w:r>
          </w:p>
        </w:tc>
        <w:tc>
          <w:tcPr>
            <w:tcW w:w="1750"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开展年度每十万人受灾人口、年度每十万人死亡人口、年度直接经济损失、年度直接经济损失占GDP比重评估，编制历史年度自然灾害灾情评估专题图。</w:t>
            </w:r>
          </w:p>
        </w:tc>
        <w:tc>
          <w:tcPr>
            <w:tcW w:w="438"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836" w:type="pct"/>
            <w:vMerge w:val="continue"/>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9"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44</w:t>
            </w:r>
          </w:p>
        </w:tc>
        <w:tc>
          <w:tcPr>
            <w:tcW w:w="513" w:type="pct"/>
            <w:vMerge w:val="restar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综合减灾能力调查与评估</w:t>
            </w: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综合减灾能力调查与评估</w:t>
            </w: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综合减灾能力调查与评估</w:t>
            </w:r>
          </w:p>
        </w:tc>
        <w:tc>
          <w:tcPr>
            <w:tcW w:w="506" w:type="pct"/>
            <w:vMerge w:val="restar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政府减灾能力调查</w:t>
            </w: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政府减灾能力调查</w:t>
            </w:r>
          </w:p>
        </w:tc>
        <w:tc>
          <w:tcPr>
            <w:tcW w:w="715"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灾害管理能力调查</w:t>
            </w:r>
          </w:p>
        </w:tc>
        <w:tc>
          <w:tcPr>
            <w:tcW w:w="1750" w:type="pct"/>
            <w:vMerge w:val="restar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调查区、镇（街道）、社区（村）级政府涉灾管理部门、各类专业救援救助队伍、救灾物资储备库（点）、灾害避难场所等的基本情况、人员队伍情况、资金投入情况、装备设备和物资储备情况。</w:t>
            </w: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tc>
        <w:tc>
          <w:tcPr>
            <w:tcW w:w="438" w:type="pct"/>
            <w:vMerge w:val="restar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区应急局</w:t>
            </w: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tc>
        <w:tc>
          <w:tcPr>
            <w:tcW w:w="836" w:type="pct"/>
            <w:tcBorders>
              <w:top w:val="single" w:color="auto" w:sz="4" w:space="0"/>
              <w:left w:val="single" w:color="auto" w:sz="4" w:space="0"/>
              <w:bottom w:val="single" w:color="auto" w:sz="4" w:space="0"/>
              <w:right w:val="single" w:color="auto" w:sz="4" w:space="0"/>
            </w:tcBorders>
            <w:vAlign w:val="center"/>
          </w:tcPr>
          <w:p>
            <w:pPr>
              <w:widowControl/>
              <w:autoSpaceDE w:val="0"/>
              <w:spacing w:line="320" w:lineRule="exact"/>
              <w:ind w:firstLine="0" w:firstLineChars="0"/>
              <w:jc w:val="center"/>
              <w:rPr>
                <w:rFonts w:ascii="宋体" w:eastAsia="宋体"/>
                <w:bCs/>
                <w:color w:val="000000"/>
                <w:sz w:val="21"/>
                <w:szCs w:val="21"/>
              </w:rPr>
            </w:pPr>
            <w:r>
              <w:rPr>
                <w:rFonts w:hint="eastAsia" w:ascii="宋体" w:eastAsia="宋体"/>
                <w:bCs/>
                <w:color w:val="000000"/>
                <w:sz w:val="21"/>
                <w:szCs w:val="21"/>
              </w:rPr>
              <w:t>区应急局、区发改委（区商务投资促进局）、区农水局、八公山自然资源和规划分局、八公山交通运输分局、区住建局、区科信局、区民政局、区统计局、区教体局等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45</w:t>
            </w:r>
          </w:p>
        </w:tc>
        <w:tc>
          <w:tcPr>
            <w:tcW w:w="513" w:type="pct"/>
            <w:vMerge w:val="continue"/>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vMerge w:val="continue"/>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715"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行业专业队伍调查</w:t>
            </w:r>
          </w:p>
        </w:tc>
        <w:tc>
          <w:tcPr>
            <w:tcW w:w="1750" w:type="pct"/>
            <w:vMerge w:val="continue"/>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438" w:type="pct"/>
            <w:vMerge w:val="continue"/>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836"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区应急管理局、区消防救援大队、八公山自然资源和规划分局、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0"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46</w:t>
            </w:r>
          </w:p>
        </w:tc>
        <w:tc>
          <w:tcPr>
            <w:tcW w:w="513" w:type="pct"/>
            <w:vMerge w:val="continue"/>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vMerge w:val="continue"/>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715"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救灾物资储备基地调查</w:t>
            </w:r>
          </w:p>
        </w:tc>
        <w:tc>
          <w:tcPr>
            <w:tcW w:w="1750" w:type="pct"/>
            <w:vMerge w:val="continue"/>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438" w:type="pct"/>
            <w:vMerge w:val="continue"/>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836"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区应急局、区民政局、区农水局、区发改委（区商务投资促进局）、八公山粮食和物资储备分局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3"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47</w:t>
            </w:r>
          </w:p>
        </w:tc>
        <w:tc>
          <w:tcPr>
            <w:tcW w:w="513" w:type="pct"/>
            <w:vMerge w:val="continue"/>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vMerge w:val="continue"/>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715"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应急避难场所调查</w:t>
            </w:r>
          </w:p>
        </w:tc>
        <w:tc>
          <w:tcPr>
            <w:tcW w:w="1750" w:type="pct"/>
            <w:vMerge w:val="continue"/>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438" w:type="pct"/>
            <w:vMerge w:val="continue"/>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836"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区应急局、区住建局、区农水局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48</w:t>
            </w:r>
          </w:p>
        </w:tc>
        <w:tc>
          <w:tcPr>
            <w:tcW w:w="513" w:type="pct"/>
            <w:vMerge w:val="continue"/>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vMerge w:val="continue"/>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715"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灾害监测预警能力调查</w:t>
            </w:r>
          </w:p>
        </w:tc>
        <w:tc>
          <w:tcPr>
            <w:tcW w:w="1750" w:type="pct"/>
            <w:vMerge w:val="continue"/>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438" w:type="pct"/>
            <w:vMerge w:val="continue"/>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836"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八公山自然资源和规划分局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49</w:t>
            </w:r>
          </w:p>
        </w:tc>
        <w:tc>
          <w:tcPr>
            <w:tcW w:w="513" w:type="pct"/>
            <w:vMerge w:val="continue"/>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vMerge w:val="continue"/>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715"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灾害工程防治能力调查</w:t>
            </w:r>
          </w:p>
        </w:tc>
        <w:tc>
          <w:tcPr>
            <w:tcW w:w="1750" w:type="pct"/>
            <w:vMerge w:val="continue"/>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438" w:type="pct"/>
            <w:vMerge w:val="continue"/>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836"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八公山自然资源和规划分局、区农水局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50</w:t>
            </w:r>
          </w:p>
        </w:tc>
        <w:tc>
          <w:tcPr>
            <w:tcW w:w="513" w:type="pct"/>
            <w:vMerge w:val="continue"/>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vMerge w:val="continue"/>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715"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行业部门共享数据</w:t>
            </w:r>
          </w:p>
        </w:tc>
        <w:tc>
          <w:tcPr>
            <w:tcW w:w="1750"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地震监测站点、气象站、国家水文测站、应急通信能力数据共享。</w:t>
            </w:r>
          </w:p>
        </w:tc>
        <w:tc>
          <w:tcPr>
            <w:tcW w:w="1274" w:type="pct"/>
            <w:gridSpan w:val="2"/>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中央完成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8"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51</w:t>
            </w:r>
          </w:p>
        </w:tc>
        <w:tc>
          <w:tcPr>
            <w:tcW w:w="513" w:type="pct"/>
            <w:vMerge w:val="continue"/>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vMerge w:val="restar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企业与社会组织减灾能力调查</w:t>
            </w: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大型企业救援装备调查</w:t>
            </w:r>
          </w:p>
        </w:tc>
        <w:tc>
          <w:tcPr>
            <w:tcW w:w="1750"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调查生产大型救援设备的生产企业；从事土木工程、建筑工程等大型施工活动的中央、省级大型企业；从事矿业开采的国有、省级大型企业。</w:t>
            </w:r>
          </w:p>
        </w:tc>
        <w:tc>
          <w:tcPr>
            <w:tcW w:w="438" w:type="pct"/>
            <w:vMerge w:val="restar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区应急局</w:t>
            </w: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jc w:val="center"/>
              <w:rPr>
                <w:rFonts w:ascii="宋体" w:eastAsia="宋体"/>
                <w:bCs/>
                <w:color w:val="000000"/>
                <w:sz w:val="21"/>
                <w:szCs w:val="21"/>
              </w:rPr>
            </w:pPr>
          </w:p>
          <w:p>
            <w:pPr>
              <w:widowControl/>
              <w:autoSpaceDE w:val="0"/>
              <w:spacing w:line="360" w:lineRule="exact"/>
              <w:ind w:firstLine="0" w:firstLineChars="0"/>
              <w:rPr>
                <w:rFonts w:ascii="宋体" w:eastAsia="宋体"/>
                <w:bCs/>
                <w:color w:val="000000"/>
                <w:sz w:val="21"/>
                <w:szCs w:val="21"/>
              </w:rPr>
            </w:pPr>
          </w:p>
        </w:tc>
        <w:tc>
          <w:tcPr>
            <w:tcW w:w="836"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区应急局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5"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52</w:t>
            </w:r>
          </w:p>
        </w:tc>
        <w:tc>
          <w:tcPr>
            <w:tcW w:w="513" w:type="pct"/>
            <w:vMerge w:val="continue"/>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vMerge w:val="continue"/>
            <w:tcBorders>
              <w:top w:val="nil"/>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保险和再保险企业</w:t>
            </w:r>
          </w:p>
        </w:tc>
        <w:tc>
          <w:tcPr>
            <w:tcW w:w="1750"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调查经保险监管部门批准设立，依法登记注册的各类商业保险公司（保险+再保险），以及保险公司申请设立，依法经营保险业务的总公司与省级总公司。</w:t>
            </w:r>
          </w:p>
        </w:tc>
        <w:tc>
          <w:tcPr>
            <w:tcW w:w="438" w:type="pct"/>
            <w:vMerge w:val="continue"/>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836"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区财政局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53</w:t>
            </w:r>
          </w:p>
        </w:tc>
        <w:tc>
          <w:tcPr>
            <w:tcW w:w="513" w:type="pct"/>
            <w:vMerge w:val="continue"/>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vMerge w:val="continue"/>
            <w:tcBorders>
              <w:top w:val="nil"/>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社会组织</w:t>
            </w:r>
          </w:p>
        </w:tc>
        <w:tc>
          <w:tcPr>
            <w:tcW w:w="1750"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调查在各级民政部门登记管理、主要开展防灾减灾救灾和应急救援业务的社会组织，以及各级红十字会组织。</w:t>
            </w:r>
          </w:p>
        </w:tc>
        <w:tc>
          <w:tcPr>
            <w:tcW w:w="438" w:type="pct"/>
            <w:vMerge w:val="continue"/>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836"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区应急局、区民政局、区卫健委（区红十字会）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54</w:t>
            </w:r>
          </w:p>
        </w:tc>
        <w:tc>
          <w:tcPr>
            <w:tcW w:w="513" w:type="pct"/>
            <w:vMerge w:val="continue"/>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vMerge w:val="restart"/>
            <w:tcBorders>
              <w:top w:val="nil"/>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乡镇与社区减灾能力调查</w:t>
            </w: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乡镇、街道</w:t>
            </w:r>
          </w:p>
        </w:tc>
        <w:tc>
          <w:tcPr>
            <w:tcW w:w="1750" w:type="pct"/>
            <w:vMerge w:val="restart"/>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主要调查乡镇（街道）和行政村（社区）基本情况、人员队伍情况、应急救灾装备和物资储备情况、预案建设和风险隐患掌握情况等内容。</w:t>
            </w:r>
          </w:p>
        </w:tc>
        <w:tc>
          <w:tcPr>
            <w:tcW w:w="438" w:type="pct"/>
            <w:vMerge w:val="continue"/>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836" w:type="pct"/>
            <w:vMerge w:val="restart"/>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各乡镇（街道）政府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55</w:t>
            </w:r>
          </w:p>
        </w:tc>
        <w:tc>
          <w:tcPr>
            <w:tcW w:w="513" w:type="pct"/>
            <w:vMerge w:val="continue"/>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vMerge w:val="continue"/>
            <w:tcBorders>
              <w:top w:val="nil"/>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社区、行政村</w:t>
            </w:r>
          </w:p>
        </w:tc>
        <w:tc>
          <w:tcPr>
            <w:tcW w:w="1750"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438" w:type="pct"/>
            <w:vMerge w:val="continue"/>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836"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56</w:t>
            </w:r>
          </w:p>
        </w:tc>
        <w:tc>
          <w:tcPr>
            <w:tcW w:w="513" w:type="pct"/>
            <w:vMerge w:val="continue"/>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家庭减灾能力调查</w:t>
            </w: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家庭</w:t>
            </w:r>
          </w:p>
        </w:tc>
        <w:tc>
          <w:tcPr>
            <w:tcW w:w="1750"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抽样调查家庭居民的风险和灾害识别能力、自救和互救能力等。</w:t>
            </w:r>
          </w:p>
        </w:tc>
        <w:tc>
          <w:tcPr>
            <w:tcW w:w="438" w:type="pct"/>
            <w:vMerge w:val="continue"/>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836"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区普查办、区应急局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0"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57</w:t>
            </w:r>
          </w:p>
        </w:tc>
        <w:tc>
          <w:tcPr>
            <w:tcW w:w="513" w:type="pct"/>
            <w:vMerge w:val="continue"/>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综合减灾能力评估</w:t>
            </w: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综合政府减灾能力评估，社会力量和企业参与资源能力评估，乡镇（街道）和行政村（社区）、家庭乡镇和社区减灾能力调查评估</w:t>
            </w:r>
          </w:p>
        </w:tc>
        <w:tc>
          <w:tcPr>
            <w:tcW w:w="1750"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根据综合减灾能力调查，编制综合减灾资源分布图与综合减灾能力图，建立综合减灾能力数据库，编制减灾能力评估图。</w:t>
            </w:r>
          </w:p>
        </w:tc>
        <w:tc>
          <w:tcPr>
            <w:tcW w:w="438" w:type="pct"/>
            <w:vMerge w:val="continue"/>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836"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区应急局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58</w:t>
            </w:r>
          </w:p>
        </w:tc>
        <w:tc>
          <w:tcPr>
            <w:tcW w:w="513" w:type="pct"/>
            <w:vMerge w:val="restar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重点隐患调查与评估</w:t>
            </w:r>
          </w:p>
        </w:tc>
        <w:tc>
          <w:tcPr>
            <w:tcW w:w="506" w:type="pct"/>
            <w:vMerge w:val="restart"/>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主要灾害隐患调查与评估</w:t>
            </w: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洪水灾害重点隐患调查</w:t>
            </w:r>
          </w:p>
        </w:tc>
        <w:tc>
          <w:tcPr>
            <w:tcW w:w="1750"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重点调查堤防水闸、水库工程、蓄滞洪区的现状防洪能力、防洪工程达标情况、安全运行状态。</w:t>
            </w:r>
          </w:p>
        </w:tc>
        <w:tc>
          <w:tcPr>
            <w:tcW w:w="438"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区农水局</w:t>
            </w:r>
          </w:p>
        </w:tc>
        <w:tc>
          <w:tcPr>
            <w:tcW w:w="836"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区农水局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0"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59</w:t>
            </w:r>
          </w:p>
        </w:tc>
        <w:tc>
          <w:tcPr>
            <w:tcW w:w="513"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森林火灾重点隐患调查与评估</w:t>
            </w:r>
          </w:p>
        </w:tc>
        <w:tc>
          <w:tcPr>
            <w:tcW w:w="1750"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收集处理房屋建筑物、防火设施等承灾体分布数据、减灾资源能力分布数据，开展承灾体隐患评估、减灾能力薄弱隐患评估，以及综合隐患评估。</w:t>
            </w:r>
          </w:p>
        </w:tc>
        <w:tc>
          <w:tcPr>
            <w:tcW w:w="438"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八公山自然资源和规划分局</w:t>
            </w:r>
          </w:p>
        </w:tc>
        <w:tc>
          <w:tcPr>
            <w:tcW w:w="836"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八公山自然资源和规划分局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0"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60</w:t>
            </w:r>
          </w:p>
        </w:tc>
        <w:tc>
          <w:tcPr>
            <w:tcW w:w="513"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地震灾害重点隐患评估</w:t>
            </w:r>
          </w:p>
        </w:tc>
        <w:tc>
          <w:tcPr>
            <w:tcW w:w="1750"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基于房屋和市政设施普查成果，抽取关键数据，建立地震灾害重点隐患数据库，确定隐患等级，编制隐患分布图。</w:t>
            </w:r>
          </w:p>
        </w:tc>
        <w:tc>
          <w:tcPr>
            <w:tcW w:w="438"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省地震局</w:t>
            </w:r>
          </w:p>
        </w:tc>
        <w:tc>
          <w:tcPr>
            <w:tcW w:w="836"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省地震局、县区配合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0"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61</w:t>
            </w:r>
          </w:p>
        </w:tc>
        <w:tc>
          <w:tcPr>
            <w:tcW w:w="513"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vMerge w:val="restart"/>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重点隐患分区分类分级综合评估</w:t>
            </w: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重点隐患基础数据集成</w:t>
            </w:r>
          </w:p>
        </w:tc>
        <w:tc>
          <w:tcPr>
            <w:tcW w:w="1750"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集成自然灾害致灾危险性调查评估数据、承灾体调查评估数据，建设多灾种多承灾体重点隐患综合集成数据库。</w:t>
            </w:r>
          </w:p>
        </w:tc>
        <w:tc>
          <w:tcPr>
            <w:tcW w:w="438" w:type="pct"/>
            <w:vMerge w:val="restart"/>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区应急局</w:t>
            </w:r>
          </w:p>
        </w:tc>
        <w:tc>
          <w:tcPr>
            <w:tcW w:w="836" w:type="pct"/>
            <w:vMerge w:val="restart"/>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区应急局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8"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62</w:t>
            </w:r>
          </w:p>
        </w:tc>
        <w:tc>
          <w:tcPr>
            <w:tcW w:w="513"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506"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多灾种致灾隐患综合评估</w:t>
            </w:r>
          </w:p>
        </w:tc>
        <w:tc>
          <w:tcPr>
            <w:tcW w:w="1750"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开展致灾隐患灾种类型组合和综合致灾隐患等级评估，形成隐患分区，分析隐患综合等级，编制多灾种致灾隐患综合评估成果图。</w:t>
            </w:r>
          </w:p>
        </w:tc>
        <w:tc>
          <w:tcPr>
            <w:tcW w:w="438"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836"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0"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20" w:lineRule="exact"/>
              <w:ind w:firstLine="0" w:firstLineChars="0"/>
              <w:jc w:val="center"/>
              <w:rPr>
                <w:rFonts w:ascii="宋体" w:eastAsia="宋体"/>
                <w:bCs/>
                <w:color w:val="000000"/>
                <w:sz w:val="21"/>
                <w:szCs w:val="21"/>
              </w:rPr>
            </w:pPr>
            <w:r>
              <w:rPr>
                <w:rFonts w:hint="eastAsia" w:ascii="宋体" w:eastAsia="宋体"/>
                <w:bCs/>
                <w:color w:val="000000"/>
                <w:sz w:val="21"/>
                <w:szCs w:val="21"/>
              </w:rPr>
              <w:t>63</w:t>
            </w:r>
          </w:p>
        </w:tc>
        <w:tc>
          <w:tcPr>
            <w:tcW w:w="513" w:type="pct"/>
            <w:vMerge w:val="restart"/>
            <w:tcBorders>
              <w:top w:val="single" w:color="auto" w:sz="4" w:space="0"/>
              <w:left w:val="single" w:color="auto" w:sz="4" w:space="0"/>
              <w:right w:val="single" w:color="auto" w:sz="4" w:space="0"/>
            </w:tcBorders>
            <w:vAlign w:val="center"/>
          </w:tcPr>
          <w:p>
            <w:pPr>
              <w:widowControl/>
              <w:autoSpaceDE w:val="0"/>
              <w:spacing w:line="320" w:lineRule="exact"/>
              <w:ind w:firstLine="0" w:firstLineChars="0"/>
              <w:jc w:val="center"/>
              <w:rPr>
                <w:rFonts w:ascii="宋体" w:eastAsia="宋体"/>
                <w:bCs/>
                <w:color w:val="000000"/>
                <w:sz w:val="21"/>
                <w:szCs w:val="21"/>
              </w:rPr>
            </w:pPr>
          </w:p>
          <w:p>
            <w:pPr>
              <w:widowControl/>
              <w:autoSpaceDE w:val="0"/>
              <w:spacing w:line="320" w:lineRule="exact"/>
              <w:ind w:firstLine="0" w:firstLineChars="0"/>
              <w:jc w:val="center"/>
              <w:rPr>
                <w:rFonts w:ascii="宋体" w:eastAsia="宋体"/>
                <w:bCs/>
                <w:color w:val="000000"/>
                <w:sz w:val="21"/>
                <w:szCs w:val="21"/>
              </w:rPr>
            </w:pPr>
          </w:p>
          <w:p>
            <w:pPr>
              <w:widowControl/>
              <w:autoSpaceDE w:val="0"/>
              <w:spacing w:line="320" w:lineRule="exact"/>
              <w:ind w:firstLine="0" w:firstLineChars="0"/>
              <w:jc w:val="center"/>
              <w:rPr>
                <w:rFonts w:ascii="宋体" w:eastAsia="宋体"/>
                <w:bCs/>
                <w:color w:val="000000"/>
                <w:sz w:val="21"/>
                <w:szCs w:val="21"/>
              </w:rPr>
            </w:pPr>
          </w:p>
          <w:p>
            <w:pPr>
              <w:widowControl/>
              <w:autoSpaceDE w:val="0"/>
              <w:spacing w:line="320" w:lineRule="exact"/>
              <w:ind w:firstLine="0" w:firstLineChars="0"/>
              <w:jc w:val="center"/>
              <w:rPr>
                <w:rFonts w:ascii="宋体" w:eastAsia="宋体"/>
                <w:bCs/>
                <w:color w:val="000000"/>
                <w:sz w:val="21"/>
                <w:szCs w:val="21"/>
              </w:rPr>
            </w:pPr>
          </w:p>
          <w:p>
            <w:pPr>
              <w:widowControl/>
              <w:autoSpaceDE w:val="0"/>
              <w:spacing w:line="320" w:lineRule="exact"/>
              <w:ind w:firstLine="0" w:firstLineChars="0"/>
              <w:jc w:val="center"/>
              <w:rPr>
                <w:rFonts w:ascii="宋体" w:eastAsia="宋体"/>
                <w:bCs/>
                <w:color w:val="000000"/>
                <w:sz w:val="21"/>
                <w:szCs w:val="21"/>
              </w:rPr>
            </w:pPr>
          </w:p>
          <w:p>
            <w:pPr>
              <w:widowControl/>
              <w:autoSpaceDE w:val="0"/>
              <w:spacing w:line="320" w:lineRule="exact"/>
              <w:ind w:firstLine="0" w:firstLineChars="0"/>
              <w:jc w:val="center"/>
              <w:rPr>
                <w:rFonts w:ascii="宋体" w:eastAsia="宋体"/>
                <w:bCs/>
                <w:color w:val="000000"/>
                <w:sz w:val="21"/>
                <w:szCs w:val="21"/>
              </w:rPr>
            </w:pPr>
          </w:p>
          <w:p>
            <w:pPr>
              <w:widowControl/>
              <w:autoSpaceDE w:val="0"/>
              <w:spacing w:line="320" w:lineRule="exact"/>
              <w:ind w:firstLine="0" w:firstLineChars="0"/>
              <w:jc w:val="center"/>
              <w:rPr>
                <w:rFonts w:ascii="宋体" w:eastAsia="宋体"/>
                <w:bCs/>
                <w:color w:val="000000"/>
                <w:sz w:val="21"/>
                <w:szCs w:val="21"/>
              </w:rPr>
            </w:pPr>
          </w:p>
          <w:p>
            <w:pPr>
              <w:widowControl/>
              <w:autoSpaceDE w:val="0"/>
              <w:spacing w:line="320" w:lineRule="exact"/>
              <w:ind w:firstLine="0" w:firstLineChars="0"/>
              <w:jc w:val="center"/>
              <w:rPr>
                <w:rFonts w:ascii="宋体" w:eastAsia="宋体"/>
                <w:bCs/>
                <w:color w:val="000000"/>
                <w:sz w:val="21"/>
                <w:szCs w:val="21"/>
              </w:rPr>
            </w:pPr>
          </w:p>
          <w:p>
            <w:pPr>
              <w:widowControl/>
              <w:autoSpaceDE w:val="0"/>
              <w:spacing w:line="320" w:lineRule="exact"/>
              <w:ind w:firstLine="0" w:firstLineChars="0"/>
              <w:jc w:val="center"/>
              <w:rPr>
                <w:rFonts w:ascii="宋体" w:eastAsia="宋体"/>
                <w:bCs/>
                <w:color w:val="000000"/>
                <w:sz w:val="21"/>
                <w:szCs w:val="21"/>
              </w:rPr>
            </w:pPr>
          </w:p>
          <w:p>
            <w:pPr>
              <w:widowControl/>
              <w:autoSpaceDE w:val="0"/>
              <w:spacing w:line="320" w:lineRule="exact"/>
              <w:ind w:firstLine="0" w:firstLineChars="0"/>
              <w:jc w:val="center"/>
              <w:rPr>
                <w:rFonts w:ascii="宋体" w:eastAsia="宋体"/>
                <w:bCs/>
                <w:color w:val="000000"/>
                <w:sz w:val="21"/>
                <w:szCs w:val="21"/>
              </w:rPr>
            </w:pPr>
          </w:p>
          <w:p>
            <w:pPr>
              <w:widowControl/>
              <w:autoSpaceDE w:val="0"/>
              <w:spacing w:line="320" w:lineRule="exact"/>
              <w:ind w:firstLine="0" w:firstLineChars="0"/>
              <w:jc w:val="center"/>
              <w:rPr>
                <w:rFonts w:ascii="宋体" w:eastAsia="宋体"/>
                <w:bCs/>
                <w:color w:val="000000"/>
                <w:sz w:val="21"/>
                <w:szCs w:val="21"/>
              </w:rPr>
            </w:pPr>
            <w:r>
              <w:rPr>
                <w:rFonts w:hint="eastAsia" w:ascii="宋体" w:eastAsia="宋体"/>
                <w:bCs/>
                <w:color w:val="000000"/>
                <w:sz w:val="21"/>
                <w:szCs w:val="21"/>
              </w:rPr>
              <w:t>主要灾害风险评估与区划</w:t>
            </w:r>
          </w:p>
          <w:p>
            <w:pPr>
              <w:widowControl/>
              <w:autoSpaceDE w:val="0"/>
              <w:spacing w:line="320" w:lineRule="exact"/>
              <w:ind w:firstLine="0" w:firstLineChars="0"/>
              <w:jc w:val="center"/>
              <w:rPr>
                <w:rFonts w:ascii="宋体" w:eastAsia="宋体"/>
                <w:bCs/>
                <w:color w:val="000000"/>
                <w:sz w:val="21"/>
                <w:szCs w:val="21"/>
              </w:rPr>
            </w:pPr>
          </w:p>
          <w:p>
            <w:pPr>
              <w:widowControl/>
              <w:autoSpaceDE w:val="0"/>
              <w:spacing w:line="320" w:lineRule="exact"/>
              <w:ind w:firstLine="0" w:firstLineChars="0"/>
              <w:jc w:val="center"/>
              <w:rPr>
                <w:rFonts w:ascii="宋体" w:eastAsia="宋体"/>
                <w:bCs/>
                <w:color w:val="000000"/>
                <w:sz w:val="21"/>
                <w:szCs w:val="21"/>
              </w:rPr>
            </w:pPr>
          </w:p>
          <w:p>
            <w:pPr>
              <w:widowControl/>
              <w:autoSpaceDE w:val="0"/>
              <w:spacing w:line="320" w:lineRule="exact"/>
              <w:ind w:firstLine="0" w:firstLineChars="0"/>
              <w:jc w:val="center"/>
              <w:rPr>
                <w:rFonts w:ascii="宋体" w:eastAsia="宋体"/>
                <w:bCs/>
                <w:color w:val="000000"/>
                <w:sz w:val="21"/>
                <w:szCs w:val="21"/>
              </w:rPr>
            </w:pPr>
          </w:p>
          <w:p>
            <w:pPr>
              <w:widowControl/>
              <w:autoSpaceDE w:val="0"/>
              <w:spacing w:line="320" w:lineRule="exact"/>
              <w:ind w:firstLine="0" w:firstLineChars="0"/>
              <w:jc w:val="center"/>
              <w:rPr>
                <w:rFonts w:ascii="宋体" w:eastAsia="宋体"/>
                <w:bCs/>
                <w:color w:val="000000"/>
                <w:sz w:val="21"/>
                <w:szCs w:val="21"/>
              </w:rPr>
            </w:pPr>
          </w:p>
          <w:p>
            <w:pPr>
              <w:widowControl/>
              <w:autoSpaceDE w:val="0"/>
              <w:spacing w:line="320" w:lineRule="exact"/>
              <w:ind w:firstLine="0" w:firstLineChars="0"/>
              <w:jc w:val="center"/>
              <w:rPr>
                <w:rFonts w:ascii="宋体" w:eastAsia="宋体"/>
                <w:bCs/>
                <w:color w:val="000000"/>
                <w:sz w:val="21"/>
                <w:szCs w:val="21"/>
              </w:rPr>
            </w:pPr>
          </w:p>
          <w:p>
            <w:pPr>
              <w:widowControl/>
              <w:autoSpaceDE w:val="0"/>
              <w:spacing w:line="320" w:lineRule="exact"/>
              <w:ind w:firstLine="0" w:firstLineChars="0"/>
              <w:jc w:val="center"/>
              <w:rPr>
                <w:rFonts w:ascii="宋体" w:eastAsia="宋体"/>
                <w:bCs/>
                <w:color w:val="000000"/>
                <w:sz w:val="21"/>
                <w:szCs w:val="21"/>
              </w:rPr>
            </w:pPr>
          </w:p>
          <w:p>
            <w:pPr>
              <w:widowControl/>
              <w:autoSpaceDE w:val="0"/>
              <w:spacing w:line="320" w:lineRule="exact"/>
              <w:ind w:firstLine="0" w:firstLineChars="0"/>
              <w:jc w:val="center"/>
              <w:rPr>
                <w:rFonts w:ascii="宋体" w:eastAsia="宋体"/>
                <w:bCs/>
                <w:color w:val="000000"/>
                <w:sz w:val="21"/>
                <w:szCs w:val="21"/>
              </w:rPr>
            </w:pPr>
          </w:p>
          <w:p>
            <w:pPr>
              <w:widowControl/>
              <w:autoSpaceDE w:val="0"/>
              <w:spacing w:line="320" w:lineRule="exact"/>
              <w:ind w:firstLine="0" w:firstLineChars="0"/>
              <w:jc w:val="center"/>
              <w:rPr>
                <w:rFonts w:ascii="宋体" w:eastAsia="宋体"/>
                <w:bCs/>
                <w:color w:val="000000"/>
                <w:sz w:val="21"/>
                <w:szCs w:val="21"/>
              </w:rPr>
            </w:pPr>
          </w:p>
          <w:p>
            <w:pPr>
              <w:widowControl/>
              <w:autoSpaceDE w:val="0"/>
              <w:spacing w:line="320" w:lineRule="exact"/>
              <w:ind w:firstLine="0" w:firstLineChars="0"/>
              <w:jc w:val="center"/>
              <w:rPr>
                <w:rFonts w:ascii="宋体" w:eastAsia="宋体"/>
                <w:bCs/>
                <w:color w:val="000000"/>
                <w:sz w:val="21"/>
                <w:szCs w:val="21"/>
              </w:rPr>
            </w:pPr>
          </w:p>
          <w:p>
            <w:pPr>
              <w:widowControl/>
              <w:autoSpaceDE w:val="0"/>
              <w:spacing w:line="320" w:lineRule="exact"/>
              <w:ind w:firstLine="0" w:firstLineChars="0"/>
              <w:jc w:val="center"/>
              <w:rPr>
                <w:rFonts w:ascii="宋体" w:eastAsia="宋体"/>
                <w:bCs/>
                <w:color w:val="000000"/>
                <w:sz w:val="21"/>
                <w:szCs w:val="21"/>
              </w:rPr>
            </w:pPr>
          </w:p>
          <w:p>
            <w:pPr>
              <w:widowControl/>
              <w:autoSpaceDE w:val="0"/>
              <w:spacing w:line="320" w:lineRule="exact"/>
              <w:ind w:firstLine="0" w:firstLineChars="0"/>
              <w:jc w:val="center"/>
              <w:rPr>
                <w:rFonts w:ascii="宋体" w:eastAsia="宋体"/>
                <w:bCs/>
                <w:color w:val="000000"/>
                <w:sz w:val="21"/>
                <w:szCs w:val="21"/>
              </w:rPr>
            </w:pPr>
          </w:p>
          <w:p>
            <w:pPr>
              <w:widowControl/>
              <w:autoSpaceDE w:val="0"/>
              <w:spacing w:line="320" w:lineRule="exact"/>
              <w:ind w:firstLine="0" w:firstLineChars="0"/>
              <w:jc w:val="center"/>
              <w:rPr>
                <w:rFonts w:ascii="宋体" w:eastAsia="宋体"/>
                <w:bCs/>
                <w:color w:val="000000"/>
                <w:sz w:val="21"/>
                <w:szCs w:val="21"/>
              </w:rPr>
            </w:pPr>
          </w:p>
          <w:p>
            <w:pPr>
              <w:widowControl/>
              <w:autoSpaceDE w:val="0"/>
              <w:spacing w:line="320" w:lineRule="exact"/>
              <w:ind w:firstLine="0" w:firstLineChars="0"/>
              <w:jc w:val="center"/>
              <w:rPr>
                <w:rFonts w:ascii="宋体" w:eastAsia="宋体"/>
                <w:bCs/>
                <w:color w:val="000000"/>
                <w:sz w:val="21"/>
                <w:szCs w:val="21"/>
              </w:rPr>
            </w:pPr>
            <w:r>
              <w:rPr>
                <w:rFonts w:hint="eastAsia" w:ascii="宋体" w:eastAsia="宋体"/>
                <w:bCs/>
                <w:color w:val="000000"/>
                <w:sz w:val="21"/>
                <w:szCs w:val="21"/>
              </w:rPr>
              <w:t>主要灾害风险评估与区划</w:t>
            </w:r>
          </w:p>
        </w:tc>
        <w:tc>
          <w:tcPr>
            <w:tcW w:w="506" w:type="pct"/>
            <w:tcBorders>
              <w:top w:val="single" w:color="auto" w:sz="4" w:space="0"/>
              <w:left w:val="single" w:color="auto" w:sz="4" w:space="0"/>
              <w:bottom w:val="single" w:color="auto" w:sz="4" w:space="0"/>
              <w:right w:val="single" w:color="auto" w:sz="4" w:space="0"/>
            </w:tcBorders>
            <w:vAlign w:val="center"/>
          </w:tcPr>
          <w:p>
            <w:pPr>
              <w:widowControl/>
              <w:autoSpaceDE w:val="0"/>
              <w:spacing w:line="320" w:lineRule="exact"/>
              <w:ind w:firstLine="0" w:firstLineChars="0"/>
              <w:jc w:val="center"/>
              <w:rPr>
                <w:rFonts w:ascii="宋体" w:eastAsia="宋体"/>
                <w:bCs/>
                <w:color w:val="000000"/>
                <w:sz w:val="21"/>
                <w:szCs w:val="21"/>
              </w:rPr>
            </w:pPr>
            <w:r>
              <w:rPr>
                <w:rFonts w:hint="eastAsia" w:ascii="宋体" w:eastAsia="宋体"/>
                <w:bCs/>
                <w:color w:val="000000"/>
                <w:sz w:val="21"/>
                <w:szCs w:val="21"/>
              </w:rPr>
              <w:t>地质灾害</w:t>
            </w: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20" w:lineRule="exact"/>
              <w:ind w:firstLine="0" w:firstLineChars="0"/>
              <w:jc w:val="center"/>
              <w:rPr>
                <w:rFonts w:ascii="宋体" w:eastAsia="宋体"/>
                <w:bCs/>
                <w:color w:val="000000"/>
                <w:sz w:val="21"/>
                <w:szCs w:val="21"/>
              </w:rPr>
            </w:pPr>
            <w:r>
              <w:rPr>
                <w:rFonts w:hint="eastAsia" w:ascii="宋体" w:eastAsia="宋体"/>
                <w:bCs/>
                <w:color w:val="000000"/>
                <w:sz w:val="21"/>
                <w:szCs w:val="21"/>
              </w:rPr>
              <w:t>地质灾害风险评估与区划</w:t>
            </w:r>
          </w:p>
        </w:tc>
        <w:tc>
          <w:tcPr>
            <w:tcW w:w="1750" w:type="pct"/>
            <w:tcBorders>
              <w:top w:val="single" w:color="auto" w:sz="4" w:space="0"/>
              <w:left w:val="nil"/>
              <w:bottom w:val="single" w:color="auto" w:sz="4" w:space="0"/>
              <w:right w:val="single" w:color="auto" w:sz="4" w:space="0"/>
            </w:tcBorders>
            <w:vAlign w:val="center"/>
          </w:tcPr>
          <w:p>
            <w:pPr>
              <w:widowControl/>
              <w:autoSpaceDE w:val="0"/>
              <w:spacing w:line="320" w:lineRule="exact"/>
              <w:ind w:firstLine="0" w:firstLineChars="0"/>
              <w:jc w:val="center"/>
              <w:rPr>
                <w:rFonts w:ascii="宋体" w:eastAsia="宋体"/>
                <w:bCs/>
                <w:color w:val="000000"/>
                <w:sz w:val="21"/>
                <w:szCs w:val="21"/>
              </w:rPr>
            </w:pPr>
            <w:r>
              <w:rPr>
                <w:rFonts w:hint="eastAsia" w:ascii="宋体" w:eastAsia="宋体"/>
                <w:bCs/>
                <w:color w:val="000000"/>
                <w:sz w:val="21"/>
                <w:szCs w:val="21"/>
              </w:rPr>
              <w:t>基于地质灾害及隐患调查数据和地形起伏度、地貌、地质等灾害控制因素数据基础，开展风险评估、风险区划和防治区划。</w:t>
            </w:r>
          </w:p>
        </w:tc>
        <w:tc>
          <w:tcPr>
            <w:tcW w:w="438"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省自然资源厅</w:t>
            </w:r>
          </w:p>
        </w:tc>
        <w:tc>
          <w:tcPr>
            <w:tcW w:w="836"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自然资源厅、县区配合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5"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20" w:lineRule="exact"/>
              <w:ind w:firstLine="0" w:firstLineChars="0"/>
              <w:jc w:val="center"/>
              <w:rPr>
                <w:rFonts w:ascii="宋体" w:eastAsia="宋体"/>
                <w:bCs/>
                <w:color w:val="000000"/>
                <w:sz w:val="21"/>
                <w:szCs w:val="21"/>
              </w:rPr>
            </w:pPr>
            <w:r>
              <w:rPr>
                <w:rFonts w:hint="eastAsia" w:ascii="宋体" w:eastAsia="宋体"/>
                <w:bCs/>
                <w:color w:val="000000"/>
                <w:sz w:val="21"/>
                <w:szCs w:val="21"/>
              </w:rPr>
              <w:t>64</w:t>
            </w:r>
          </w:p>
        </w:tc>
        <w:tc>
          <w:tcPr>
            <w:tcW w:w="513" w:type="pct"/>
            <w:vMerge w:val="continue"/>
            <w:tcBorders>
              <w:left w:val="single" w:color="auto" w:sz="4" w:space="0"/>
              <w:right w:val="single" w:color="auto" w:sz="4" w:space="0"/>
            </w:tcBorders>
            <w:vAlign w:val="center"/>
          </w:tcPr>
          <w:p>
            <w:pPr>
              <w:widowControl/>
              <w:autoSpaceDE w:val="0"/>
              <w:spacing w:line="320" w:lineRule="exact"/>
              <w:ind w:firstLine="0" w:firstLineChars="0"/>
              <w:jc w:val="center"/>
              <w:rPr>
                <w:rFonts w:ascii="宋体" w:eastAsia="宋体"/>
                <w:bCs/>
                <w:color w:val="000000"/>
                <w:sz w:val="21"/>
                <w:szCs w:val="21"/>
              </w:rPr>
            </w:pPr>
          </w:p>
        </w:tc>
        <w:tc>
          <w:tcPr>
            <w:tcW w:w="506" w:type="pct"/>
            <w:tcBorders>
              <w:top w:val="single" w:color="auto" w:sz="4" w:space="0"/>
              <w:left w:val="single" w:color="auto" w:sz="4" w:space="0"/>
              <w:bottom w:val="single" w:color="auto" w:sz="4" w:space="0"/>
              <w:right w:val="single" w:color="auto" w:sz="4" w:space="0"/>
            </w:tcBorders>
            <w:vAlign w:val="center"/>
          </w:tcPr>
          <w:p>
            <w:pPr>
              <w:widowControl/>
              <w:autoSpaceDE w:val="0"/>
              <w:spacing w:line="320" w:lineRule="exact"/>
              <w:ind w:firstLine="0" w:firstLineChars="0"/>
              <w:jc w:val="center"/>
              <w:rPr>
                <w:rFonts w:ascii="宋体" w:eastAsia="宋体"/>
                <w:bCs/>
                <w:color w:val="000000"/>
                <w:sz w:val="21"/>
                <w:szCs w:val="21"/>
              </w:rPr>
            </w:pPr>
            <w:r>
              <w:rPr>
                <w:rFonts w:hint="eastAsia" w:ascii="宋体" w:eastAsia="宋体"/>
                <w:bCs/>
                <w:color w:val="000000"/>
                <w:sz w:val="21"/>
                <w:szCs w:val="21"/>
              </w:rPr>
              <w:t>水旱灾害</w:t>
            </w: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20" w:lineRule="exact"/>
              <w:ind w:firstLine="0" w:firstLineChars="0"/>
              <w:jc w:val="center"/>
              <w:rPr>
                <w:rFonts w:ascii="宋体" w:eastAsia="宋体"/>
                <w:bCs/>
                <w:color w:val="000000"/>
                <w:sz w:val="21"/>
                <w:szCs w:val="21"/>
              </w:rPr>
            </w:pPr>
            <w:r>
              <w:rPr>
                <w:rFonts w:hint="eastAsia" w:ascii="宋体" w:eastAsia="宋体"/>
                <w:bCs/>
                <w:color w:val="000000"/>
                <w:sz w:val="21"/>
                <w:szCs w:val="21"/>
              </w:rPr>
              <w:t>水旱灾害风险评估与区划</w:t>
            </w:r>
          </w:p>
        </w:tc>
        <w:tc>
          <w:tcPr>
            <w:tcW w:w="1750" w:type="pct"/>
            <w:tcBorders>
              <w:top w:val="single" w:color="auto" w:sz="4" w:space="0"/>
              <w:left w:val="nil"/>
              <w:bottom w:val="single" w:color="auto" w:sz="4" w:space="0"/>
              <w:right w:val="single" w:color="auto" w:sz="4" w:space="0"/>
            </w:tcBorders>
            <w:vAlign w:val="center"/>
          </w:tcPr>
          <w:p>
            <w:pPr>
              <w:widowControl/>
              <w:autoSpaceDE w:val="0"/>
              <w:spacing w:line="320" w:lineRule="exact"/>
              <w:ind w:firstLine="0" w:firstLineChars="0"/>
              <w:jc w:val="center"/>
              <w:rPr>
                <w:rFonts w:ascii="宋体" w:eastAsia="宋体"/>
                <w:bCs/>
                <w:color w:val="000000"/>
                <w:sz w:val="21"/>
                <w:szCs w:val="21"/>
              </w:rPr>
            </w:pPr>
            <w:r>
              <w:rPr>
                <w:rFonts w:hint="eastAsia" w:ascii="宋体" w:eastAsia="宋体"/>
                <w:bCs/>
                <w:color w:val="000000"/>
                <w:sz w:val="21"/>
                <w:szCs w:val="21"/>
              </w:rPr>
              <w:t>针对重点防洪区和本级山丘区小流域，评估不同重现期洪水淹没范围内人口、GDP、耕地、资产、道路等基础设施暴露情况和直接经济损失风险。编制不同尺度流域、行政区的洪水风险区划方案。编制本级主要江河防洪区、山洪灾害威胁区和局地洪水威胁区的宏观洪水灾害防治区划方案。分析本级区域水平干旱频率和旱灾损失，绘制旱灾危险性分布图和风险图。建立三级旱灾分区体系，编制旱灾风险区划方案。评估抗旱减灾能力，编制本级干旱灾害防治区划方案。</w:t>
            </w:r>
          </w:p>
        </w:tc>
        <w:tc>
          <w:tcPr>
            <w:tcW w:w="438"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省水利厅</w:t>
            </w:r>
          </w:p>
        </w:tc>
        <w:tc>
          <w:tcPr>
            <w:tcW w:w="836"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省水利厅、县区配合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5"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20" w:lineRule="exact"/>
              <w:ind w:firstLine="0" w:firstLineChars="0"/>
              <w:jc w:val="center"/>
              <w:rPr>
                <w:rFonts w:ascii="宋体" w:eastAsia="宋体"/>
                <w:bCs/>
                <w:color w:val="000000"/>
                <w:sz w:val="21"/>
                <w:szCs w:val="21"/>
              </w:rPr>
            </w:pPr>
            <w:r>
              <w:rPr>
                <w:rFonts w:hint="eastAsia" w:ascii="宋体" w:eastAsia="宋体"/>
                <w:bCs/>
                <w:color w:val="000000"/>
                <w:sz w:val="21"/>
                <w:szCs w:val="21"/>
              </w:rPr>
              <w:t>65</w:t>
            </w:r>
          </w:p>
        </w:tc>
        <w:tc>
          <w:tcPr>
            <w:tcW w:w="513" w:type="pct"/>
            <w:vMerge w:val="continue"/>
            <w:tcBorders>
              <w:left w:val="single" w:color="auto" w:sz="4" w:space="0"/>
              <w:right w:val="single" w:color="auto" w:sz="4" w:space="0"/>
            </w:tcBorders>
            <w:vAlign w:val="center"/>
          </w:tcPr>
          <w:p>
            <w:pPr>
              <w:widowControl/>
              <w:autoSpaceDE w:val="0"/>
              <w:spacing w:line="320" w:lineRule="exact"/>
              <w:ind w:firstLine="0" w:firstLineChars="0"/>
              <w:jc w:val="center"/>
              <w:rPr>
                <w:rFonts w:ascii="宋体" w:eastAsia="宋体"/>
                <w:bCs/>
                <w:color w:val="000000"/>
                <w:sz w:val="21"/>
                <w:szCs w:val="21"/>
              </w:rPr>
            </w:pPr>
          </w:p>
        </w:tc>
        <w:tc>
          <w:tcPr>
            <w:tcW w:w="506" w:type="pct"/>
            <w:tcBorders>
              <w:top w:val="single" w:color="auto" w:sz="4" w:space="0"/>
              <w:left w:val="single" w:color="auto" w:sz="4" w:space="0"/>
              <w:bottom w:val="single" w:color="auto" w:sz="4" w:space="0"/>
              <w:right w:val="single" w:color="auto" w:sz="4" w:space="0"/>
            </w:tcBorders>
            <w:vAlign w:val="center"/>
          </w:tcPr>
          <w:p>
            <w:pPr>
              <w:widowControl/>
              <w:autoSpaceDE w:val="0"/>
              <w:spacing w:line="320" w:lineRule="exact"/>
              <w:ind w:firstLine="0" w:firstLineChars="0"/>
              <w:jc w:val="center"/>
              <w:rPr>
                <w:rFonts w:ascii="宋体" w:eastAsia="宋体"/>
                <w:bCs/>
                <w:color w:val="000000"/>
                <w:sz w:val="21"/>
                <w:szCs w:val="21"/>
              </w:rPr>
            </w:pPr>
            <w:r>
              <w:rPr>
                <w:rFonts w:hint="eastAsia" w:ascii="宋体" w:eastAsia="宋体"/>
                <w:bCs/>
                <w:color w:val="000000"/>
                <w:sz w:val="21"/>
                <w:szCs w:val="21"/>
              </w:rPr>
              <w:t>森林火灾</w:t>
            </w: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20" w:lineRule="exact"/>
              <w:ind w:firstLine="0" w:firstLineChars="0"/>
              <w:jc w:val="center"/>
              <w:rPr>
                <w:rFonts w:ascii="宋体" w:eastAsia="宋体"/>
                <w:bCs/>
                <w:color w:val="000000"/>
                <w:sz w:val="21"/>
                <w:szCs w:val="21"/>
              </w:rPr>
            </w:pPr>
            <w:r>
              <w:rPr>
                <w:rFonts w:hint="eastAsia" w:ascii="宋体" w:eastAsia="宋体"/>
                <w:bCs/>
                <w:color w:val="000000"/>
                <w:sz w:val="21"/>
                <w:szCs w:val="21"/>
              </w:rPr>
              <w:t>森林火灾风险评估与区划</w:t>
            </w:r>
          </w:p>
        </w:tc>
        <w:tc>
          <w:tcPr>
            <w:tcW w:w="1750" w:type="pct"/>
            <w:tcBorders>
              <w:top w:val="single" w:color="auto" w:sz="4" w:space="0"/>
              <w:left w:val="nil"/>
              <w:bottom w:val="single" w:color="auto" w:sz="4" w:space="0"/>
              <w:right w:val="single" w:color="auto" w:sz="4" w:space="0"/>
            </w:tcBorders>
            <w:vAlign w:val="center"/>
          </w:tcPr>
          <w:p>
            <w:pPr>
              <w:widowControl/>
              <w:autoSpaceDE w:val="0"/>
              <w:spacing w:line="320" w:lineRule="exact"/>
              <w:ind w:firstLine="0" w:firstLineChars="0"/>
              <w:jc w:val="center"/>
              <w:rPr>
                <w:rFonts w:ascii="宋体" w:eastAsia="宋体"/>
                <w:bCs/>
                <w:color w:val="000000"/>
                <w:sz w:val="21"/>
                <w:szCs w:val="21"/>
              </w:rPr>
            </w:pPr>
            <w:r>
              <w:rPr>
                <w:rFonts w:hint="eastAsia" w:ascii="宋体" w:eastAsia="宋体"/>
                <w:bCs/>
                <w:color w:val="000000"/>
                <w:sz w:val="21"/>
                <w:szCs w:val="21"/>
              </w:rPr>
              <w:t>立森林火灾风险评估方法体系和标准，评估森林火灾影响人口、直接经济损失、自然资源与环境损失的风险。编制森林火险区划方案。融合承灾体空间分布特征与经济社会发展总体布局，确定森林火灾防治区划等级标准，完成本级森林火灾防治区划。</w:t>
            </w:r>
          </w:p>
        </w:tc>
        <w:tc>
          <w:tcPr>
            <w:tcW w:w="438"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省林业局</w:t>
            </w:r>
          </w:p>
        </w:tc>
        <w:tc>
          <w:tcPr>
            <w:tcW w:w="836"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省林业局、县区配合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0"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20" w:lineRule="exact"/>
              <w:ind w:firstLine="0" w:firstLineChars="0"/>
              <w:jc w:val="center"/>
              <w:rPr>
                <w:rFonts w:ascii="宋体" w:eastAsia="宋体"/>
                <w:bCs/>
                <w:color w:val="000000"/>
                <w:sz w:val="21"/>
                <w:szCs w:val="21"/>
              </w:rPr>
            </w:pPr>
            <w:r>
              <w:rPr>
                <w:rFonts w:hint="eastAsia" w:ascii="宋体" w:eastAsia="宋体"/>
                <w:bCs/>
                <w:color w:val="000000"/>
                <w:sz w:val="21"/>
                <w:szCs w:val="21"/>
              </w:rPr>
              <w:t>66</w:t>
            </w:r>
          </w:p>
        </w:tc>
        <w:tc>
          <w:tcPr>
            <w:tcW w:w="513" w:type="pct"/>
            <w:vMerge w:val="continue"/>
            <w:tcBorders>
              <w:left w:val="single" w:color="auto" w:sz="4" w:space="0"/>
              <w:right w:val="single" w:color="auto" w:sz="4" w:space="0"/>
            </w:tcBorders>
            <w:vAlign w:val="center"/>
          </w:tcPr>
          <w:p>
            <w:pPr>
              <w:widowControl/>
              <w:autoSpaceDE w:val="0"/>
              <w:spacing w:line="320" w:lineRule="exact"/>
              <w:ind w:firstLine="0" w:firstLineChars="0"/>
              <w:jc w:val="center"/>
              <w:rPr>
                <w:rFonts w:ascii="宋体" w:eastAsia="宋体"/>
                <w:bCs/>
                <w:color w:val="000000"/>
                <w:sz w:val="21"/>
                <w:szCs w:val="21"/>
              </w:rPr>
            </w:pPr>
          </w:p>
        </w:tc>
        <w:tc>
          <w:tcPr>
            <w:tcW w:w="506" w:type="pct"/>
            <w:tcBorders>
              <w:top w:val="single" w:color="auto" w:sz="4" w:space="0"/>
              <w:left w:val="single" w:color="auto" w:sz="4" w:space="0"/>
              <w:bottom w:val="single" w:color="auto" w:sz="4" w:space="0"/>
              <w:right w:val="single" w:color="auto" w:sz="4" w:space="0"/>
            </w:tcBorders>
            <w:vAlign w:val="center"/>
          </w:tcPr>
          <w:p>
            <w:pPr>
              <w:widowControl/>
              <w:autoSpaceDE w:val="0"/>
              <w:spacing w:line="320" w:lineRule="exact"/>
              <w:ind w:firstLine="0" w:firstLineChars="0"/>
              <w:jc w:val="center"/>
              <w:rPr>
                <w:rFonts w:ascii="宋体" w:eastAsia="宋体"/>
                <w:bCs/>
                <w:color w:val="000000"/>
                <w:sz w:val="21"/>
                <w:szCs w:val="21"/>
              </w:rPr>
            </w:pPr>
            <w:r>
              <w:rPr>
                <w:rFonts w:hint="eastAsia" w:ascii="宋体" w:eastAsia="宋体"/>
                <w:bCs/>
                <w:color w:val="000000"/>
                <w:sz w:val="21"/>
                <w:szCs w:val="21"/>
              </w:rPr>
              <w:t>气象灾害</w:t>
            </w: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20" w:lineRule="exact"/>
              <w:ind w:firstLine="0" w:firstLineChars="0"/>
              <w:jc w:val="center"/>
              <w:rPr>
                <w:rFonts w:ascii="宋体" w:eastAsia="宋体"/>
                <w:bCs/>
                <w:color w:val="000000"/>
                <w:sz w:val="21"/>
                <w:szCs w:val="21"/>
              </w:rPr>
            </w:pPr>
            <w:r>
              <w:rPr>
                <w:rFonts w:hint="eastAsia" w:ascii="宋体" w:eastAsia="宋体"/>
                <w:bCs/>
                <w:color w:val="000000"/>
                <w:sz w:val="21"/>
                <w:szCs w:val="21"/>
              </w:rPr>
              <w:t>气象灾害风险评估与区划</w:t>
            </w:r>
          </w:p>
        </w:tc>
        <w:tc>
          <w:tcPr>
            <w:tcW w:w="1750" w:type="pct"/>
            <w:tcBorders>
              <w:top w:val="single" w:color="auto" w:sz="4" w:space="0"/>
              <w:left w:val="nil"/>
              <w:bottom w:val="single" w:color="auto" w:sz="4" w:space="0"/>
              <w:right w:val="single" w:color="auto" w:sz="4" w:space="0"/>
            </w:tcBorders>
            <w:vAlign w:val="center"/>
          </w:tcPr>
          <w:p>
            <w:pPr>
              <w:widowControl/>
              <w:autoSpaceDE w:val="0"/>
              <w:spacing w:line="320" w:lineRule="exact"/>
              <w:ind w:firstLine="0" w:firstLineChars="0"/>
              <w:jc w:val="center"/>
              <w:rPr>
                <w:rFonts w:ascii="宋体" w:eastAsia="宋体"/>
                <w:bCs/>
                <w:color w:val="000000"/>
                <w:sz w:val="21"/>
                <w:szCs w:val="21"/>
              </w:rPr>
            </w:pPr>
            <w:r>
              <w:rPr>
                <w:rFonts w:hint="eastAsia" w:ascii="宋体" w:eastAsia="宋体"/>
                <w:bCs/>
                <w:color w:val="000000"/>
                <w:sz w:val="21"/>
                <w:szCs w:val="21"/>
              </w:rPr>
              <w:t>针对台风、干旱、暴雨、高温、低温、大风、冰雹、雪灾和雷电灾害，评估气象灾害人口、经济产值、居民建筑、基础设施等主要承灾体脆弱性；评估本级各类承灾体遭受主要气象灾害的风险水平，编制各类气象灾害的风险区划方案。</w:t>
            </w:r>
          </w:p>
        </w:tc>
        <w:tc>
          <w:tcPr>
            <w:tcW w:w="438"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省气象局</w:t>
            </w:r>
          </w:p>
        </w:tc>
        <w:tc>
          <w:tcPr>
            <w:tcW w:w="836"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省气象局、县区配合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20" w:hRule="atLeast"/>
          <w:jc w:val="center"/>
        </w:trPr>
        <w:tc>
          <w:tcPr>
            <w:tcW w:w="239" w:type="pct"/>
            <w:vMerge w:val="restart"/>
            <w:tcBorders>
              <w:top w:val="single" w:color="auto" w:sz="4" w:space="0"/>
              <w:left w:val="single" w:color="auto" w:sz="4" w:space="0"/>
              <w:right w:val="single" w:color="auto" w:sz="4" w:space="0"/>
            </w:tcBorders>
            <w:vAlign w:val="center"/>
          </w:tcPr>
          <w:p>
            <w:pPr>
              <w:widowControl/>
              <w:autoSpaceDE w:val="0"/>
              <w:spacing w:line="320" w:lineRule="exact"/>
              <w:ind w:firstLine="0" w:firstLineChars="0"/>
              <w:jc w:val="center"/>
              <w:rPr>
                <w:rFonts w:ascii="宋体" w:eastAsia="宋体"/>
                <w:bCs/>
                <w:color w:val="000000"/>
                <w:sz w:val="21"/>
                <w:szCs w:val="21"/>
              </w:rPr>
            </w:pPr>
            <w:r>
              <w:rPr>
                <w:rFonts w:hint="eastAsia" w:ascii="宋体" w:eastAsia="宋体"/>
                <w:bCs/>
                <w:color w:val="000000"/>
                <w:sz w:val="21"/>
                <w:szCs w:val="21"/>
              </w:rPr>
              <w:t>67</w:t>
            </w:r>
          </w:p>
        </w:tc>
        <w:tc>
          <w:tcPr>
            <w:tcW w:w="513" w:type="pct"/>
            <w:vMerge w:val="continue"/>
            <w:tcBorders>
              <w:left w:val="single" w:color="auto" w:sz="4" w:space="0"/>
              <w:right w:val="single" w:color="auto" w:sz="4" w:space="0"/>
            </w:tcBorders>
            <w:vAlign w:val="center"/>
          </w:tcPr>
          <w:p>
            <w:pPr>
              <w:widowControl/>
              <w:autoSpaceDE w:val="0"/>
              <w:spacing w:line="320" w:lineRule="exact"/>
              <w:ind w:firstLine="0" w:firstLineChars="0"/>
              <w:jc w:val="center"/>
              <w:rPr>
                <w:rFonts w:ascii="宋体" w:eastAsia="宋体"/>
                <w:bCs/>
                <w:color w:val="000000"/>
                <w:sz w:val="21"/>
                <w:szCs w:val="21"/>
              </w:rPr>
            </w:pPr>
          </w:p>
        </w:tc>
        <w:tc>
          <w:tcPr>
            <w:tcW w:w="506" w:type="pct"/>
            <w:vMerge w:val="restart"/>
            <w:tcBorders>
              <w:top w:val="single" w:color="auto" w:sz="4" w:space="0"/>
              <w:left w:val="single" w:color="auto" w:sz="4" w:space="0"/>
              <w:right w:val="single" w:color="auto" w:sz="4" w:space="0"/>
            </w:tcBorders>
            <w:vAlign w:val="center"/>
          </w:tcPr>
          <w:p>
            <w:pPr>
              <w:widowControl/>
              <w:autoSpaceDE w:val="0"/>
              <w:spacing w:line="320" w:lineRule="exact"/>
              <w:ind w:firstLine="0" w:firstLineChars="0"/>
              <w:jc w:val="center"/>
              <w:rPr>
                <w:rFonts w:ascii="宋体" w:eastAsia="宋体"/>
                <w:bCs/>
                <w:color w:val="000000"/>
                <w:sz w:val="21"/>
                <w:szCs w:val="21"/>
              </w:rPr>
            </w:pPr>
            <w:r>
              <w:rPr>
                <w:rFonts w:hint="eastAsia" w:ascii="宋体" w:eastAsia="宋体"/>
                <w:bCs/>
                <w:color w:val="000000"/>
                <w:sz w:val="21"/>
                <w:szCs w:val="21"/>
              </w:rPr>
              <w:t>地震灾害</w:t>
            </w:r>
          </w:p>
        </w:tc>
        <w:tc>
          <w:tcPr>
            <w:tcW w:w="715" w:type="pct"/>
            <w:vMerge w:val="restart"/>
            <w:tcBorders>
              <w:top w:val="single" w:color="auto" w:sz="4" w:space="0"/>
              <w:left w:val="nil"/>
              <w:right w:val="single" w:color="auto" w:sz="4" w:space="0"/>
            </w:tcBorders>
            <w:vAlign w:val="center"/>
          </w:tcPr>
          <w:p>
            <w:pPr>
              <w:widowControl/>
              <w:autoSpaceDE w:val="0"/>
              <w:spacing w:line="320" w:lineRule="exact"/>
              <w:ind w:firstLine="0" w:firstLineChars="0"/>
              <w:jc w:val="center"/>
              <w:rPr>
                <w:rFonts w:ascii="宋体" w:eastAsia="宋体"/>
                <w:bCs/>
                <w:color w:val="000000"/>
                <w:sz w:val="21"/>
                <w:szCs w:val="21"/>
              </w:rPr>
            </w:pPr>
            <w:r>
              <w:rPr>
                <w:rFonts w:hint="eastAsia" w:ascii="宋体" w:eastAsia="宋体"/>
                <w:bCs/>
                <w:color w:val="000000"/>
                <w:sz w:val="21"/>
                <w:szCs w:val="21"/>
              </w:rPr>
              <w:t>地震灾害风险评估与区划</w:t>
            </w:r>
          </w:p>
        </w:tc>
        <w:tc>
          <w:tcPr>
            <w:tcW w:w="1750" w:type="pct"/>
            <w:tcBorders>
              <w:top w:val="single" w:color="auto" w:sz="4" w:space="0"/>
              <w:left w:val="nil"/>
              <w:bottom w:val="single" w:color="auto" w:sz="4" w:space="0"/>
              <w:right w:val="single" w:color="auto" w:sz="4" w:space="0"/>
            </w:tcBorders>
            <w:vAlign w:val="center"/>
          </w:tcPr>
          <w:p>
            <w:pPr>
              <w:widowControl/>
              <w:autoSpaceDE w:val="0"/>
              <w:spacing w:line="320" w:lineRule="exact"/>
              <w:ind w:firstLine="0" w:firstLineChars="0"/>
              <w:jc w:val="center"/>
              <w:rPr>
                <w:rFonts w:ascii="宋体" w:eastAsia="宋体"/>
                <w:bCs/>
                <w:color w:val="000000"/>
                <w:sz w:val="21"/>
                <w:szCs w:val="21"/>
              </w:rPr>
            </w:pPr>
            <w:r>
              <w:rPr>
                <w:rFonts w:hint="eastAsia" w:ascii="宋体" w:eastAsia="宋体"/>
                <w:bCs/>
                <w:color w:val="000000"/>
                <w:sz w:val="21"/>
                <w:szCs w:val="21"/>
              </w:rPr>
              <w:t>建立分区分类的建筑结构、生命地震易损性数据库，评估地震灾害工程结构直接经济损失与人员伤亡风险，给出不同时间尺度地震灾害风险概率评估和确定性评估结果。编制不同时间尺度、不同概率水平、不同范围的概率性和确定性地震灾害风险区划图；</w:t>
            </w:r>
          </w:p>
        </w:tc>
        <w:tc>
          <w:tcPr>
            <w:tcW w:w="438" w:type="pct"/>
            <w:vMerge w:val="restart"/>
            <w:tcBorders>
              <w:top w:val="single" w:color="auto" w:sz="4" w:space="0"/>
              <w:left w:val="nil"/>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区应急局</w:t>
            </w:r>
          </w:p>
        </w:tc>
        <w:tc>
          <w:tcPr>
            <w:tcW w:w="836"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区应急局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8" w:hRule="atLeast"/>
          <w:jc w:val="center"/>
        </w:trPr>
        <w:tc>
          <w:tcPr>
            <w:tcW w:w="239" w:type="pct"/>
            <w:vMerge w:val="continue"/>
            <w:tcBorders>
              <w:left w:val="single" w:color="auto" w:sz="4" w:space="0"/>
              <w:bottom w:val="single" w:color="auto" w:sz="4" w:space="0"/>
              <w:right w:val="single" w:color="auto" w:sz="4" w:space="0"/>
            </w:tcBorders>
            <w:vAlign w:val="center"/>
          </w:tcPr>
          <w:p>
            <w:pPr>
              <w:widowControl/>
              <w:autoSpaceDE w:val="0"/>
              <w:spacing w:line="320" w:lineRule="exact"/>
              <w:ind w:firstLine="0" w:firstLineChars="0"/>
              <w:jc w:val="center"/>
              <w:rPr>
                <w:rFonts w:ascii="宋体" w:eastAsia="宋体"/>
                <w:bCs/>
                <w:color w:val="000000"/>
                <w:sz w:val="21"/>
                <w:szCs w:val="21"/>
              </w:rPr>
            </w:pPr>
          </w:p>
        </w:tc>
        <w:tc>
          <w:tcPr>
            <w:tcW w:w="513" w:type="pct"/>
            <w:vMerge w:val="continue"/>
            <w:tcBorders>
              <w:left w:val="single" w:color="auto" w:sz="4" w:space="0"/>
              <w:bottom w:val="single" w:color="auto" w:sz="4" w:space="0"/>
              <w:right w:val="single" w:color="auto" w:sz="4" w:space="0"/>
            </w:tcBorders>
            <w:vAlign w:val="center"/>
          </w:tcPr>
          <w:p>
            <w:pPr>
              <w:widowControl/>
              <w:autoSpaceDE w:val="0"/>
              <w:spacing w:line="320" w:lineRule="exact"/>
              <w:ind w:firstLine="0" w:firstLineChars="0"/>
              <w:jc w:val="center"/>
              <w:rPr>
                <w:rFonts w:ascii="宋体" w:eastAsia="宋体"/>
                <w:bCs/>
                <w:color w:val="000000"/>
                <w:sz w:val="21"/>
                <w:szCs w:val="21"/>
              </w:rPr>
            </w:pPr>
          </w:p>
        </w:tc>
        <w:tc>
          <w:tcPr>
            <w:tcW w:w="506" w:type="pct"/>
            <w:vMerge w:val="continue"/>
            <w:tcBorders>
              <w:left w:val="single" w:color="auto" w:sz="4" w:space="0"/>
              <w:bottom w:val="single" w:color="auto" w:sz="4" w:space="0"/>
              <w:right w:val="single" w:color="auto" w:sz="4" w:space="0"/>
            </w:tcBorders>
            <w:vAlign w:val="center"/>
          </w:tcPr>
          <w:p>
            <w:pPr>
              <w:widowControl/>
              <w:autoSpaceDE w:val="0"/>
              <w:spacing w:line="320" w:lineRule="exact"/>
              <w:ind w:firstLine="0" w:firstLineChars="0"/>
              <w:jc w:val="center"/>
              <w:rPr>
                <w:rFonts w:ascii="宋体" w:eastAsia="宋体"/>
                <w:bCs/>
                <w:color w:val="000000"/>
                <w:sz w:val="21"/>
                <w:szCs w:val="21"/>
              </w:rPr>
            </w:pPr>
          </w:p>
        </w:tc>
        <w:tc>
          <w:tcPr>
            <w:tcW w:w="715" w:type="pct"/>
            <w:vMerge w:val="continue"/>
            <w:tcBorders>
              <w:left w:val="nil"/>
              <w:bottom w:val="single" w:color="auto" w:sz="4" w:space="0"/>
              <w:right w:val="single" w:color="auto" w:sz="4" w:space="0"/>
            </w:tcBorders>
            <w:vAlign w:val="center"/>
          </w:tcPr>
          <w:p>
            <w:pPr>
              <w:widowControl/>
              <w:autoSpaceDE w:val="0"/>
              <w:spacing w:line="320" w:lineRule="exact"/>
              <w:ind w:firstLine="0" w:firstLineChars="0"/>
              <w:jc w:val="center"/>
              <w:rPr>
                <w:rFonts w:ascii="宋体" w:eastAsia="宋体"/>
                <w:bCs/>
                <w:color w:val="000000"/>
                <w:sz w:val="21"/>
                <w:szCs w:val="21"/>
              </w:rPr>
            </w:pPr>
          </w:p>
        </w:tc>
        <w:tc>
          <w:tcPr>
            <w:tcW w:w="1750" w:type="pct"/>
            <w:tcBorders>
              <w:top w:val="single" w:color="auto" w:sz="4" w:space="0"/>
              <w:left w:val="nil"/>
              <w:bottom w:val="single" w:color="auto" w:sz="4" w:space="0"/>
              <w:right w:val="single" w:color="auto" w:sz="4" w:space="0"/>
            </w:tcBorders>
            <w:vAlign w:val="center"/>
          </w:tcPr>
          <w:p>
            <w:pPr>
              <w:widowControl/>
              <w:autoSpaceDE w:val="0"/>
              <w:spacing w:line="320" w:lineRule="exact"/>
              <w:ind w:firstLine="0" w:firstLineChars="0"/>
              <w:jc w:val="center"/>
              <w:rPr>
                <w:rFonts w:ascii="宋体" w:eastAsia="宋体"/>
                <w:bCs/>
                <w:color w:val="000000"/>
                <w:sz w:val="21"/>
                <w:szCs w:val="21"/>
              </w:rPr>
            </w:pPr>
            <w:r>
              <w:rPr>
                <w:rFonts w:hint="eastAsia" w:ascii="宋体" w:eastAsia="宋体"/>
                <w:bCs/>
                <w:color w:val="000000"/>
                <w:sz w:val="21"/>
                <w:szCs w:val="21"/>
              </w:rPr>
              <w:t>编制本级地震灾害防治区划图。</w:t>
            </w:r>
          </w:p>
        </w:tc>
        <w:tc>
          <w:tcPr>
            <w:tcW w:w="438" w:type="pct"/>
            <w:vMerge w:val="continue"/>
            <w:tcBorders>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836" w:type="pct"/>
            <w:tcBorders>
              <w:top w:val="single" w:color="auto" w:sz="4" w:space="0"/>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我区无此项任务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5"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20" w:lineRule="exact"/>
              <w:ind w:firstLine="0" w:firstLineChars="0"/>
              <w:jc w:val="center"/>
              <w:rPr>
                <w:rFonts w:ascii="宋体" w:eastAsia="宋体"/>
                <w:bCs/>
                <w:color w:val="000000"/>
                <w:sz w:val="21"/>
                <w:szCs w:val="21"/>
              </w:rPr>
            </w:pPr>
            <w:r>
              <w:rPr>
                <w:rFonts w:hint="eastAsia" w:ascii="宋体" w:eastAsia="宋体"/>
                <w:bCs/>
                <w:color w:val="000000"/>
                <w:sz w:val="21"/>
                <w:szCs w:val="21"/>
              </w:rPr>
              <w:t>68</w:t>
            </w:r>
          </w:p>
        </w:tc>
        <w:tc>
          <w:tcPr>
            <w:tcW w:w="513" w:type="pct"/>
            <w:vMerge w:val="restart"/>
            <w:tcBorders>
              <w:top w:val="single" w:color="auto" w:sz="4" w:space="0"/>
              <w:left w:val="nil"/>
              <w:bottom w:val="single" w:color="auto" w:sz="4" w:space="0"/>
              <w:right w:val="single" w:color="auto" w:sz="4" w:space="0"/>
            </w:tcBorders>
            <w:vAlign w:val="center"/>
          </w:tcPr>
          <w:p>
            <w:pPr>
              <w:widowControl/>
              <w:autoSpaceDE w:val="0"/>
              <w:spacing w:line="320" w:lineRule="exact"/>
              <w:ind w:firstLine="0" w:firstLineChars="0"/>
              <w:jc w:val="center"/>
              <w:rPr>
                <w:rFonts w:ascii="宋体" w:eastAsia="宋体"/>
                <w:bCs/>
                <w:color w:val="000000"/>
                <w:sz w:val="21"/>
                <w:szCs w:val="21"/>
              </w:rPr>
            </w:pPr>
            <w:r>
              <w:rPr>
                <w:rFonts w:hint="eastAsia" w:ascii="宋体" w:eastAsia="宋体"/>
                <w:bCs/>
                <w:color w:val="000000"/>
                <w:sz w:val="21"/>
                <w:szCs w:val="21"/>
              </w:rPr>
              <w:t>灾害综合风险评估与区划</w:t>
            </w:r>
          </w:p>
        </w:tc>
        <w:tc>
          <w:tcPr>
            <w:tcW w:w="506" w:type="pct"/>
            <w:vMerge w:val="restart"/>
            <w:tcBorders>
              <w:top w:val="nil"/>
              <w:left w:val="nil"/>
              <w:bottom w:val="single" w:color="auto" w:sz="4" w:space="0"/>
              <w:right w:val="single" w:color="auto" w:sz="4" w:space="0"/>
            </w:tcBorders>
            <w:vAlign w:val="center"/>
          </w:tcPr>
          <w:p>
            <w:pPr>
              <w:widowControl/>
              <w:autoSpaceDE w:val="0"/>
              <w:spacing w:line="320" w:lineRule="exact"/>
              <w:ind w:firstLine="0" w:firstLineChars="0"/>
              <w:jc w:val="center"/>
              <w:rPr>
                <w:rFonts w:ascii="宋体" w:eastAsia="宋体"/>
                <w:bCs/>
                <w:color w:val="000000"/>
                <w:sz w:val="21"/>
                <w:szCs w:val="21"/>
              </w:rPr>
            </w:pPr>
            <w:r>
              <w:rPr>
                <w:rFonts w:hint="eastAsia" w:ascii="宋体" w:eastAsia="宋体"/>
                <w:bCs/>
                <w:color w:val="000000"/>
                <w:sz w:val="21"/>
                <w:szCs w:val="21"/>
              </w:rPr>
              <w:t>灾害综合风险评估</w:t>
            </w: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20" w:lineRule="exact"/>
              <w:ind w:firstLine="0" w:firstLineChars="0"/>
              <w:jc w:val="center"/>
              <w:rPr>
                <w:rFonts w:ascii="宋体" w:eastAsia="宋体"/>
                <w:bCs/>
                <w:color w:val="000000"/>
                <w:sz w:val="21"/>
                <w:szCs w:val="21"/>
              </w:rPr>
            </w:pPr>
            <w:r>
              <w:rPr>
                <w:rFonts w:hint="eastAsia" w:ascii="宋体" w:eastAsia="宋体"/>
                <w:bCs/>
                <w:color w:val="000000"/>
                <w:sz w:val="21"/>
                <w:szCs w:val="21"/>
              </w:rPr>
              <w:t>多灾种风险评估</w:t>
            </w:r>
          </w:p>
        </w:tc>
        <w:tc>
          <w:tcPr>
            <w:tcW w:w="1750" w:type="pct"/>
            <w:tcBorders>
              <w:top w:val="single" w:color="auto" w:sz="4" w:space="0"/>
              <w:left w:val="nil"/>
              <w:bottom w:val="single" w:color="auto" w:sz="4" w:space="0"/>
              <w:right w:val="single" w:color="auto" w:sz="4" w:space="0"/>
            </w:tcBorders>
            <w:vAlign w:val="center"/>
          </w:tcPr>
          <w:p>
            <w:pPr>
              <w:widowControl/>
              <w:autoSpaceDE w:val="0"/>
              <w:spacing w:line="320" w:lineRule="exact"/>
              <w:ind w:firstLine="0" w:firstLineChars="0"/>
              <w:jc w:val="center"/>
              <w:rPr>
                <w:rFonts w:ascii="宋体" w:eastAsia="宋体"/>
                <w:bCs/>
                <w:color w:val="000000"/>
                <w:sz w:val="21"/>
                <w:szCs w:val="21"/>
              </w:rPr>
            </w:pPr>
            <w:r>
              <w:rPr>
                <w:rFonts w:hint="eastAsia" w:ascii="宋体" w:eastAsia="宋体"/>
                <w:bCs/>
                <w:color w:val="000000"/>
                <w:sz w:val="21"/>
                <w:szCs w:val="21"/>
              </w:rPr>
              <w:t>基于主要灾害风险调查、评估与区划以及承灾体调查成果，采用风险等级和定量风险结合的方法，评估地震、地质、气象、水旱、森林火灾等主要灾种影响下的主要承灾体（人口、农业、房屋、交通基础设施和经济）的多灾种综合风险。</w:t>
            </w:r>
          </w:p>
        </w:tc>
        <w:tc>
          <w:tcPr>
            <w:tcW w:w="438" w:type="pct"/>
            <w:vMerge w:val="restart"/>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省应急管理厅</w:t>
            </w:r>
          </w:p>
        </w:tc>
        <w:tc>
          <w:tcPr>
            <w:tcW w:w="836" w:type="pct"/>
            <w:vMerge w:val="restart"/>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r>
              <w:rPr>
                <w:rFonts w:hint="eastAsia" w:ascii="宋体" w:eastAsia="宋体"/>
                <w:bCs/>
                <w:color w:val="000000"/>
                <w:sz w:val="21"/>
                <w:szCs w:val="21"/>
              </w:rPr>
              <w:t>省应急管理厅、县区配合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0"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20" w:lineRule="exact"/>
              <w:ind w:firstLine="0" w:firstLineChars="0"/>
              <w:jc w:val="center"/>
              <w:rPr>
                <w:rFonts w:ascii="宋体" w:eastAsia="宋体"/>
                <w:bCs/>
                <w:color w:val="000000"/>
                <w:sz w:val="21"/>
                <w:szCs w:val="21"/>
              </w:rPr>
            </w:pPr>
            <w:r>
              <w:rPr>
                <w:rFonts w:hint="eastAsia" w:ascii="宋体" w:eastAsia="宋体"/>
                <w:bCs/>
                <w:color w:val="000000"/>
                <w:sz w:val="21"/>
                <w:szCs w:val="21"/>
              </w:rPr>
              <w:t>69</w:t>
            </w:r>
          </w:p>
        </w:tc>
        <w:tc>
          <w:tcPr>
            <w:tcW w:w="513" w:type="pct"/>
            <w:vMerge w:val="continue"/>
            <w:tcBorders>
              <w:top w:val="nil"/>
              <w:left w:val="nil"/>
              <w:bottom w:val="single" w:color="auto" w:sz="4" w:space="0"/>
              <w:right w:val="single" w:color="auto" w:sz="4" w:space="0"/>
            </w:tcBorders>
            <w:vAlign w:val="center"/>
          </w:tcPr>
          <w:p>
            <w:pPr>
              <w:widowControl/>
              <w:autoSpaceDE w:val="0"/>
              <w:spacing w:line="320" w:lineRule="exact"/>
              <w:ind w:firstLine="0" w:firstLineChars="0"/>
              <w:jc w:val="center"/>
              <w:rPr>
                <w:rFonts w:ascii="宋体" w:eastAsia="宋体"/>
                <w:bCs/>
                <w:color w:val="000000"/>
                <w:sz w:val="21"/>
                <w:szCs w:val="21"/>
              </w:rPr>
            </w:pPr>
          </w:p>
        </w:tc>
        <w:tc>
          <w:tcPr>
            <w:tcW w:w="506" w:type="pct"/>
            <w:vMerge w:val="continue"/>
            <w:tcBorders>
              <w:top w:val="nil"/>
              <w:left w:val="nil"/>
              <w:bottom w:val="single" w:color="auto" w:sz="4" w:space="0"/>
              <w:right w:val="single" w:color="auto" w:sz="4" w:space="0"/>
            </w:tcBorders>
            <w:vAlign w:val="center"/>
          </w:tcPr>
          <w:p>
            <w:pPr>
              <w:widowControl/>
              <w:autoSpaceDE w:val="0"/>
              <w:spacing w:line="320" w:lineRule="exact"/>
              <w:ind w:firstLine="0" w:firstLineChars="0"/>
              <w:jc w:val="center"/>
              <w:rPr>
                <w:rFonts w:ascii="宋体" w:eastAsia="宋体"/>
                <w:bCs/>
                <w:color w:val="000000"/>
                <w:sz w:val="21"/>
                <w:szCs w:val="21"/>
              </w:rPr>
            </w:pP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20" w:lineRule="exact"/>
              <w:ind w:firstLine="0" w:firstLineChars="0"/>
              <w:jc w:val="center"/>
              <w:rPr>
                <w:rFonts w:ascii="宋体" w:eastAsia="宋体"/>
                <w:bCs/>
                <w:color w:val="000000"/>
                <w:sz w:val="21"/>
                <w:szCs w:val="21"/>
              </w:rPr>
            </w:pPr>
            <w:r>
              <w:rPr>
                <w:rFonts w:hint="eastAsia" w:ascii="宋体" w:eastAsia="宋体"/>
                <w:bCs/>
                <w:color w:val="000000"/>
                <w:sz w:val="21"/>
                <w:szCs w:val="21"/>
              </w:rPr>
              <w:t>多灾种人口损失风险和直接经济损失风险评估</w:t>
            </w:r>
          </w:p>
        </w:tc>
        <w:tc>
          <w:tcPr>
            <w:tcW w:w="1750" w:type="pct"/>
            <w:tcBorders>
              <w:top w:val="single" w:color="auto" w:sz="4" w:space="0"/>
              <w:left w:val="nil"/>
              <w:bottom w:val="single" w:color="auto" w:sz="4" w:space="0"/>
              <w:right w:val="single" w:color="auto" w:sz="4" w:space="0"/>
            </w:tcBorders>
            <w:vAlign w:val="center"/>
          </w:tcPr>
          <w:p>
            <w:pPr>
              <w:widowControl/>
              <w:autoSpaceDE w:val="0"/>
              <w:spacing w:line="320" w:lineRule="exact"/>
              <w:ind w:firstLine="0" w:firstLineChars="0"/>
              <w:jc w:val="center"/>
              <w:rPr>
                <w:rFonts w:ascii="宋体" w:eastAsia="宋体"/>
                <w:bCs/>
                <w:color w:val="000000"/>
                <w:sz w:val="21"/>
                <w:szCs w:val="21"/>
              </w:rPr>
            </w:pPr>
            <w:r>
              <w:rPr>
                <w:rFonts w:hint="eastAsia" w:ascii="宋体" w:eastAsia="宋体"/>
                <w:bCs/>
                <w:color w:val="000000"/>
                <w:sz w:val="21"/>
                <w:szCs w:val="21"/>
              </w:rPr>
              <w:t>基于多灾种的人口和经济期望损失评估，评估省、市、区各级行政区划以及重点区域的多灾种人口损失风险和直接经济损失风险。</w:t>
            </w:r>
          </w:p>
        </w:tc>
        <w:tc>
          <w:tcPr>
            <w:tcW w:w="438"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836"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20" w:lineRule="exact"/>
              <w:ind w:firstLine="0" w:firstLineChars="0"/>
              <w:jc w:val="center"/>
              <w:rPr>
                <w:rFonts w:ascii="宋体" w:eastAsia="宋体"/>
                <w:bCs/>
                <w:color w:val="000000"/>
                <w:sz w:val="21"/>
                <w:szCs w:val="21"/>
              </w:rPr>
            </w:pPr>
            <w:r>
              <w:rPr>
                <w:rFonts w:hint="eastAsia" w:ascii="宋体" w:eastAsia="宋体"/>
                <w:bCs/>
                <w:color w:val="000000"/>
                <w:sz w:val="21"/>
                <w:szCs w:val="21"/>
              </w:rPr>
              <w:t>70</w:t>
            </w:r>
          </w:p>
        </w:tc>
        <w:tc>
          <w:tcPr>
            <w:tcW w:w="513" w:type="pct"/>
            <w:vMerge w:val="continue"/>
            <w:tcBorders>
              <w:top w:val="nil"/>
              <w:left w:val="nil"/>
              <w:bottom w:val="single" w:color="auto" w:sz="4" w:space="0"/>
              <w:right w:val="single" w:color="auto" w:sz="4" w:space="0"/>
            </w:tcBorders>
            <w:vAlign w:val="center"/>
          </w:tcPr>
          <w:p>
            <w:pPr>
              <w:widowControl/>
              <w:autoSpaceDE w:val="0"/>
              <w:spacing w:line="320" w:lineRule="exact"/>
              <w:ind w:firstLine="0" w:firstLineChars="0"/>
              <w:jc w:val="center"/>
              <w:rPr>
                <w:rFonts w:ascii="宋体" w:eastAsia="宋体"/>
                <w:bCs/>
                <w:color w:val="000000"/>
                <w:sz w:val="21"/>
                <w:szCs w:val="21"/>
              </w:rPr>
            </w:pPr>
          </w:p>
        </w:tc>
        <w:tc>
          <w:tcPr>
            <w:tcW w:w="506" w:type="pct"/>
            <w:vMerge w:val="continue"/>
            <w:tcBorders>
              <w:top w:val="nil"/>
              <w:left w:val="nil"/>
              <w:bottom w:val="single" w:color="auto" w:sz="4" w:space="0"/>
              <w:right w:val="single" w:color="auto" w:sz="4" w:space="0"/>
            </w:tcBorders>
            <w:vAlign w:val="center"/>
          </w:tcPr>
          <w:p>
            <w:pPr>
              <w:widowControl/>
              <w:autoSpaceDE w:val="0"/>
              <w:spacing w:line="320" w:lineRule="exact"/>
              <w:ind w:firstLine="0" w:firstLineChars="0"/>
              <w:jc w:val="center"/>
              <w:rPr>
                <w:rFonts w:ascii="宋体" w:eastAsia="宋体"/>
                <w:bCs/>
                <w:color w:val="000000"/>
                <w:sz w:val="21"/>
                <w:szCs w:val="21"/>
              </w:rPr>
            </w:pP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20" w:lineRule="exact"/>
              <w:ind w:firstLine="0" w:firstLineChars="0"/>
              <w:jc w:val="center"/>
              <w:rPr>
                <w:rFonts w:ascii="宋体" w:eastAsia="宋体"/>
                <w:bCs/>
                <w:color w:val="000000"/>
                <w:sz w:val="21"/>
                <w:szCs w:val="21"/>
              </w:rPr>
            </w:pPr>
            <w:r>
              <w:rPr>
                <w:rFonts w:hint="eastAsia" w:ascii="宋体" w:eastAsia="宋体"/>
                <w:bCs/>
                <w:color w:val="000000"/>
                <w:sz w:val="21"/>
                <w:szCs w:val="21"/>
              </w:rPr>
              <w:t>主要承灾体多灾种暴露度评估</w:t>
            </w:r>
          </w:p>
        </w:tc>
        <w:tc>
          <w:tcPr>
            <w:tcW w:w="1750" w:type="pct"/>
            <w:tcBorders>
              <w:top w:val="single" w:color="auto" w:sz="4" w:space="0"/>
              <w:left w:val="nil"/>
              <w:bottom w:val="single" w:color="auto" w:sz="4" w:space="0"/>
              <w:right w:val="single" w:color="auto" w:sz="4" w:space="0"/>
            </w:tcBorders>
            <w:vAlign w:val="center"/>
          </w:tcPr>
          <w:p>
            <w:pPr>
              <w:widowControl/>
              <w:autoSpaceDE w:val="0"/>
              <w:spacing w:line="320" w:lineRule="exact"/>
              <w:ind w:firstLine="0" w:firstLineChars="0"/>
              <w:jc w:val="center"/>
              <w:rPr>
                <w:rFonts w:ascii="宋体" w:eastAsia="宋体"/>
                <w:bCs/>
                <w:color w:val="000000"/>
                <w:sz w:val="21"/>
                <w:szCs w:val="21"/>
              </w:rPr>
            </w:pPr>
            <w:r>
              <w:rPr>
                <w:rFonts w:hint="eastAsia" w:ascii="宋体" w:eastAsia="宋体"/>
                <w:bCs/>
                <w:color w:val="000000"/>
                <w:sz w:val="21"/>
                <w:szCs w:val="21"/>
              </w:rPr>
              <w:t>基于多重现期的主要灾种危险性分析，评估主要情景下的主要承灾体多灾种暴露度。</w:t>
            </w:r>
          </w:p>
        </w:tc>
        <w:tc>
          <w:tcPr>
            <w:tcW w:w="438"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836"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5"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20" w:lineRule="exact"/>
              <w:ind w:firstLine="0" w:firstLineChars="0"/>
              <w:jc w:val="center"/>
              <w:rPr>
                <w:rFonts w:ascii="宋体" w:eastAsia="宋体"/>
                <w:bCs/>
                <w:color w:val="000000"/>
                <w:sz w:val="21"/>
                <w:szCs w:val="21"/>
              </w:rPr>
            </w:pPr>
            <w:r>
              <w:rPr>
                <w:rFonts w:hint="eastAsia" w:ascii="宋体" w:eastAsia="宋体"/>
                <w:bCs/>
                <w:color w:val="000000"/>
                <w:sz w:val="21"/>
                <w:szCs w:val="21"/>
              </w:rPr>
              <w:t>71</w:t>
            </w:r>
          </w:p>
        </w:tc>
        <w:tc>
          <w:tcPr>
            <w:tcW w:w="513" w:type="pct"/>
            <w:vMerge w:val="continue"/>
            <w:tcBorders>
              <w:top w:val="nil"/>
              <w:left w:val="nil"/>
              <w:bottom w:val="single" w:color="auto" w:sz="4" w:space="0"/>
              <w:right w:val="single" w:color="auto" w:sz="4" w:space="0"/>
            </w:tcBorders>
            <w:vAlign w:val="center"/>
          </w:tcPr>
          <w:p>
            <w:pPr>
              <w:widowControl/>
              <w:autoSpaceDE w:val="0"/>
              <w:spacing w:line="320" w:lineRule="exact"/>
              <w:ind w:firstLine="0" w:firstLineChars="0"/>
              <w:jc w:val="center"/>
              <w:rPr>
                <w:rFonts w:ascii="宋体" w:eastAsia="宋体"/>
                <w:bCs/>
                <w:color w:val="000000"/>
                <w:sz w:val="21"/>
                <w:szCs w:val="21"/>
              </w:rPr>
            </w:pPr>
          </w:p>
        </w:tc>
        <w:tc>
          <w:tcPr>
            <w:tcW w:w="506" w:type="pct"/>
            <w:vMerge w:val="restart"/>
            <w:tcBorders>
              <w:top w:val="nil"/>
              <w:left w:val="nil"/>
              <w:bottom w:val="single" w:color="auto" w:sz="4" w:space="0"/>
              <w:right w:val="single" w:color="auto" w:sz="4" w:space="0"/>
            </w:tcBorders>
            <w:vAlign w:val="center"/>
          </w:tcPr>
          <w:p>
            <w:pPr>
              <w:widowControl/>
              <w:autoSpaceDE w:val="0"/>
              <w:spacing w:line="320" w:lineRule="exact"/>
              <w:ind w:firstLine="0" w:firstLineChars="0"/>
              <w:jc w:val="center"/>
              <w:rPr>
                <w:rFonts w:ascii="宋体" w:eastAsia="宋体"/>
                <w:bCs/>
                <w:color w:val="000000"/>
                <w:sz w:val="21"/>
                <w:szCs w:val="21"/>
              </w:rPr>
            </w:pPr>
            <w:r>
              <w:rPr>
                <w:rFonts w:hint="eastAsia" w:ascii="宋体" w:eastAsia="宋体"/>
                <w:bCs/>
                <w:color w:val="000000"/>
                <w:sz w:val="21"/>
                <w:szCs w:val="21"/>
              </w:rPr>
              <w:t>灾害综合风险区划和防治区划</w:t>
            </w: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20" w:lineRule="exact"/>
              <w:ind w:firstLine="0" w:firstLineChars="0"/>
              <w:jc w:val="center"/>
              <w:rPr>
                <w:rFonts w:ascii="宋体" w:eastAsia="宋体"/>
                <w:bCs/>
                <w:color w:val="000000"/>
                <w:sz w:val="21"/>
                <w:szCs w:val="21"/>
              </w:rPr>
            </w:pPr>
            <w:r>
              <w:rPr>
                <w:rFonts w:hint="eastAsia" w:ascii="宋体" w:eastAsia="宋体"/>
                <w:bCs/>
                <w:color w:val="000000"/>
                <w:sz w:val="21"/>
                <w:szCs w:val="21"/>
              </w:rPr>
              <w:t>综合风险区划</w:t>
            </w:r>
          </w:p>
        </w:tc>
        <w:tc>
          <w:tcPr>
            <w:tcW w:w="1750" w:type="pct"/>
            <w:tcBorders>
              <w:top w:val="single" w:color="auto" w:sz="4" w:space="0"/>
              <w:left w:val="nil"/>
              <w:bottom w:val="single" w:color="auto" w:sz="4" w:space="0"/>
              <w:right w:val="single" w:color="auto" w:sz="4" w:space="0"/>
            </w:tcBorders>
            <w:vAlign w:val="center"/>
          </w:tcPr>
          <w:p>
            <w:pPr>
              <w:widowControl/>
              <w:autoSpaceDE w:val="0"/>
              <w:spacing w:line="320" w:lineRule="exact"/>
              <w:ind w:firstLine="0" w:firstLineChars="0"/>
              <w:jc w:val="center"/>
              <w:rPr>
                <w:rFonts w:ascii="宋体" w:eastAsia="宋体"/>
                <w:bCs/>
                <w:color w:val="000000"/>
                <w:sz w:val="21"/>
                <w:szCs w:val="21"/>
              </w:rPr>
            </w:pPr>
            <w:r>
              <w:rPr>
                <w:rFonts w:hint="eastAsia" w:ascii="宋体" w:eastAsia="宋体"/>
                <w:bCs/>
                <w:color w:val="000000"/>
                <w:sz w:val="21"/>
                <w:szCs w:val="21"/>
              </w:rPr>
              <w:t>基于多灾种综合风险评估成果，综合考虑孕灾环境、致灾因子和承灾体的差异性，通过定量区划方法进行区域划分，形成以灾害综合风险为载体、具有区域特征的本级和重点区域综合风险区划。</w:t>
            </w:r>
          </w:p>
        </w:tc>
        <w:tc>
          <w:tcPr>
            <w:tcW w:w="438"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836"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5" w:hRule="atLeast"/>
          <w:jc w:val="center"/>
        </w:trPr>
        <w:tc>
          <w:tcPr>
            <w:tcW w:w="239" w:type="pct"/>
            <w:tcBorders>
              <w:top w:val="single" w:color="auto" w:sz="4" w:space="0"/>
              <w:left w:val="single" w:color="auto" w:sz="4" w:space="0"/>
              <w:bottom w:val="single" w:color="auto" w:sz="4" w:space="0"/>
              <w:right w:val="single" w:color="auto" w:sz="4" w:space="0"/>
            </w:tcBorders>
            <w:vAlign w:val="center"/>
          </w:tcPr>
          <w:p>
            <w:pPr>
              <w:widowControl/>
              <w:autoSpaceDE w:val="0"/>
              <w:spacing w:line="320" w:lineRule="exact"/>
              <w:ind w:firstLine="0" w:firstLineChars="0"/>
              <w:jc w:val="center"/>
              <w:rPr>
                <w:rFonts w:ascii="宋体" w:eastAsia="宋体"/>
                <w:bCs/>
                <w:color w:val="000000"/>
                <w:sz w:val="21"/>
                <w:szCs w:val="21"/>
              </w:rPr>
            </w:pPr>
            <w:r>
              <w:rPr>
                <w:rFonts w:hint="eastAsia" w:ascii="宋体" w:eastAsia="宋体"/>
                <w:bCs/>
                <w:color w:val="000000"/>
                <w:sz w:val="21"/>
                <w:szCs w:val="21"/>
              </w:rPr>
              <w:t>72</w:t>
            </w:r>
          </w:p>
        </w:tc>
        <w:tc>
          <w:tcPr>
            <w:tcW w:w="513" w:type="pct"/>
            <w:vMerge w:val="continue"/>
            <w:tcBorders>
              <w:top w:val="nil"/>
              <w:left w:val="nil"/>
              <w:bottom w:val="single" w:color="auto" w:sz="4" w:space="0"/>
              <w:right w:val="single" w:color="auto" w:sz="4" w:space="0"/>
            </w:tcBorders>
            <w:vAlign w:val="center"/>
          </w:tcPr>
          <w:p>
            <w:pPr>
              <w:widowControl/>
              <w:autoSpaceDE w:val="0"/>
              <w:spacing w:line="320" w:lineRule="exact"/>
              <w:ind w:firstLine="0" w:firstLineChars="0"/>
              <w:jc w:val="center"/>
              <w:rPr>
                <w:rFonts w:ascii="宋体" w:eastAsia="宋体"/>
                <w:bCs/>
                <w:color w:val="000000"/>
                <w:sz w:val="21"/>
                <w:szCs w:val="21"/>
              </w:rPr>
            </w:pPr>
          </w:p>
        </w:tc>
        <w:tc>
          <w:tcPr>
            <w:tcW w:w="506" w:type="pct"/>
            <w:vMerge w:val="continue"/>
            <w:tcBorders>
              <w:top w:val="nil"/>
              <w:left w:val="nil"/>
              <w:bottom w:val="single" w:color="auto" w:sz="4" w:space="0"/>
              <w:right w:val="single" w:color="auto" w:sz="4" w:space="0"/>
            </w:tcBorders>
            <w:vAlign w:val="center"/>
          </w:tcPr>
          <w:p>
            <w:pPr>
              <w:widowControl/>
              <w:autoSpaceDE w:val="0"/>
              <w:spacing w:line="320" w:lineRule="exact"/>
              <w:ind w:firstLine="0" w:firstLineChars="0"/>
              <w:jc w:val="center"/>
              <w:rPr>
                <w:rFonts w:ascii="宋体" w:eastAsia="宋体"/>
                <w:bCs/>
                <w:color w:val="000000"/>
                <w:sz w:val="21"/>
                <w:szCs w:val="21"/>
              </w:rPr>
            </w:pPr>
          </w:p>
        </w:tc>
        <w:tc>
          <w:tcPr>
            <w:tcW w:w="715" w:type="pct"/>
            <w:tcBorders>
              <w:top w:val="single" w:color="auto" w:sz="4" w:space="0"/>
              <w:left w:val="nil"/>
              <w:bottom w:val="single" w:color="auto" w:sz="4" w:space="0"/>
              <w:right w:val="single" w:color="auto" w:sz="4" w:space="0"/>
            </w:tcBorders>
            <w:vAlign w:val="center"/>
          </w:tcPr>
          <w:p>
            <w:pPr>
              <w:widowControl/>
              <w:autoSpaceDE w:val="0"/>
              <w:spacing w:line="320" w:lineRule="exact"/>
              <w:ind w:firstLine="0" w:firstLineChars="0"/>
              <w:jc w:val="center"/>
              <w:rPr>
                <w:rFonts w:ascii="宋体" w:eastAsia="宋体"/>
                <w:bCs/>
                <w:color w:val="000000"/>
                <w:sz w:val="21"/>
                <w:szCs w:val="21"/>
              </w:rPr>
            </w:pPr>
            <w:r>
              <w:rPr>
                <w:rFonts w:hint="eastAsia" w:ascii="宋体" w:eastAsia="宋体"/>
                <w:bCs/>
                <w:color w:val="000000"/>
                <w:sz w:val="21"/>
                <w:szCs w:val="21"/>
              </w:rPr>
              <w:t>综合风险防治区划</w:t>
            </w:r>
          </w:p>
        </w:tc>
        <w:tc>
          <w:tcPr>
            <w:tcW w:w="1750" w:type="pct"/>
            <w:tcBorders>
              <w:top w:val="single" w:color="auto" w:sz="4" w:space="0"/>
              <w:left w:val="nil"/>
              <w:bottom w:val="single" w:color="auto" w:sz="4" w:space="0"/>
              <w:right w:val="single" w:color="auto" w:sz="4" w:space="0"/>
            </w:tcBorders>
            <w:vAlign w:val="center"/>
          </w:tcPr>
          <w:p>
            <w:pPr>
              <w:widowControl/>
              <w:autoSpaceDE w:val="0"/>
              <w:spacing w:line="320" w:lineRule="exact"/>
              <w:ind w:firstLine="0" w:firstLineChars="0"/>
              <w:jc w:val="center"/>
              <w:rPr>
                <w:rFonts w:ascii="宋体" w:eastAsia="宋体"/>
                <w:bCs/>
                <w:color w:val="000000"/>
                <w:sz w:val="21"/>
                <w:szCs w:val="21"/>
              </w:rPr>
            </w:pPr>
            <w:r>
              <w:rPr>
                <w:rFonts w:hint="eastAsia" w:ascii="宋体" w:eastAsia="宋体"/>
                <w:bCs/>
                <w:color w:val="000000"/>
                <w:sz w:val="21"/>
                <w:szCs w:val="21"/>
              </w:rPr>
              <w:t>依据减灾能力评估、风险评估和单灾种防治区划结果特征值，综合考虑不同致灾因子对不同承灾体影响的预防和治理特色，认识区域灾害防治分异特征，进行综合防治区域划分，制定本级各级行政单元和重点区域的综合防治区划方案。</w:t>
            </w:r>
          </w:p>
        </w:tc>
        <w:tc>
          <w:tcPr>
            <w:tcW w:w="438"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c>
          <w:tcPr>
            <w:tcW w:w="836" w:type="pct"/>
            <w:vMerge w:val="continue"/>
            <w:tcBorders>
              <w:top w:val="nil"/>
              <w:left w:val="nil"/>
              <w:bottom w:val="single" w:color="auto" w:sz="4" w:space="0"/>
              <w:right w:val="single" w:color="auto" w:sz="4" w:space="0"/>
            </w:tcBorders>
            <w:vAlign w:val="center"/>
          </w:tcPr>
          <w:p>
            <w:pPr>
              <w:widowControl/>
              <w:autoSpaceDE w:val="0"/>
              <w:spacing w:line="360" w:lineRule="exact"/>
              <w:ind w:firstLine="0" w:firstLineChars="0"/>
              <w:jc w:val="center"/>
              <w:rPr>
                <w:rFonts w:ascii="宋体" w:eastAsia="宋体"/>
                <w:bCs/>
                <w:color w:val="000000"/>
                <w:sz w:val="21"/>
                <w:szCs w:val="21"/>
              </w:rPr>
            </w:pPr>
          </w:p>
        </w:tc>
      </w:tr>
    </w:tbl>
    <w:p>
      <w:pPr>
        <w:widowControl/>
        <w:autoSpaceDE w:val="0"/>
        <w:ind w:firstLine="0" w:firstLineChars="0"/>
        <w:jc w:val="center"/>
        <w:rPr>
          <w:rFonts w:ascii="宋体" w:eastAsia="宋体"/>
          <w:b/>
          <w:bCs/>
          <w:color w:val="000000"/>
          <w:sz w:val="21"/>
          <w:szCs w:val="21"/>
        </w:rPr>
        <w:sectPr>
          <w:pgSz w:w="16838" w:h="11906" w:orient="landscape"/>
          <w:pgMar w:top="1474" w:right="1701" w:bottom="1361" w:left="1474" w:header="851" w:footer="992" w:gutter="0"/>
          <w:cols w:space="425" w:num="1"/>
          <w:titlePg/>
          <w:docGrid w:type="lines" w:linePitch="312" w:charSpace="0"/>
        </w:sectPr>
      </w:pPr>
    </w:p>
    <w:p>
      <w:pPr>
        <w:widowControl/>
        <w:autoSpaceDE w:val="0"/>
        <w:ind w:firstLine="0" w:firstLineChars="0"/>
        <w:rPr>
          <w:rFonts w:ascii="仿宋" w:hAnsi="仿宋"/>
          <w:bCs/>
          <w:color w:val="000000"/>
        </w:rPr>
      </w:pPr>
      <w:r>
        <w:rPr>
          <w:rFonts w:hint="eastAsia" w:ascii="仿宋" w:hAnsi="仿宋"/>
          <w:bCs/>
          <w:color w:val="000000"/>
        </w:rPr>
        <w:t>附件3:</w:t>
      </w:r>
    </w:p>
    <w:p>
      <w:pPr>
        <w:widowControl/>
        <w:autoSpaceDE w:val="0"/>
        <w:ind w:firstLine="0" w:firstLineChars="0"/>
        <w:jc w:val="center"/>
        <w:rPr>
          <w:rFonts w:ascii="仿宋" w:hAnsi="仿宋"/>
          <w:bCs/>
          <w:color w:val="000000"/>
        </w:rPr>
      </w:pPr>
      <w:r>
        <w:rPr>
          <w:rFonts w:hint="eastAsia" w:ascii="方正大标宋简体" w:eastAsia="方正大标宋简体"/>
          <w:bCs/>
          <w:color w:val="000000"/>
          <w:sz w:val="36"/>
          <w:szCs w:val="36"/>
        </w:rPr>
        <w:t>八公山区普查工作实施计划表</w:t>
      </w:r>
    </w:p>
    <w:tbl>
      <w:tblPr>
        <w:tblStyle w:val="7"/>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990"/>
        <w:gridCol w:w="2618"/>
        <w:gridCol w:w="7279"/>
        <w:gridCol w:w="299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01" w:hRule="atLeast"/>
          <w:jc w:val="center"/>
        </w:trPr>
        <w:tc>
          <w:tcPr>
            <w:tcW w:w="990" w:type="dxa"/>
          </w:tcPr>
          <w:p>
            <w:pPr>
              <w:widowControl/>
              <w:autoSpaceDE w:val="0"/>
              <w:ind w:firstLine="0" w:firstLineChars="0"/>
              <w:jc w:val="center"/>
              <w:rPr>
                <w:rFonts w:ascii="黑体" w:hAnsi="黑体" w:eastAsia="黑体"/>
                <w:bCs/>
                <w:color w:val="000000"/>
                <w:sz w:val="28"/>
                <w:szCs w:val="28"/>
              </w:rPr>
            </w:pPr>
            <w:r>
              <w:rPr>
                <w:rFonts w:hint="eastAsia" w:ascii="黑体" w:hAnsi="黑体" w:eastAsia="黑体"/>
                <w:bCs/>
                <w:color w:val="000000"/>
                <w:sz w:val="28"/>
                <w:szCs w:val="28"/>
              </w:rPr>
              <w:t>序号</w:t>
            </w:r>
          </w:p>
        </w:tc>
        <w:tc>
          <w:tcPr>
            <w:tcW w:w="2618" w:type="dxa"/>
          </w:tcPr>
          <w:p>
            <w:pPr>
              <w:widowControl/>
              <w:autoSpaceDE w:val="0"/>
              <w:ind w:firstLine="0" w:firstLineChars="0"/>
              <w:jc w:val="center"/>
              <w:rPr>
                <w:rFonts w:ascii="黑体" w:hAnsi="黑体" w:eastAsia="黑体"/>
                <w:bCs/>
                <w:color w:val="000000"/>
                <w:sz w:val="28"/>
                <w:szCs w:val="28"/>
              </w:rPr>
            </w:pPr>
            <w:r>
              <w:rPr>
                <w:rFonts w:hint="eastAsia" w:ascii="黑体" w:hAnsi="黑体" w:eastAsia="黑体"/>
                <w:bCs/>
                <w:color w:val="000000"/>
                <w:sz w:val="28"/>
                <w:szCs w:val="28"/>
              </w:rPr>
              <w:t>阶段划分</w:t>
            </w:r>
          </w:p>
        </w:tc>
        <w:tc>
          <w:tcPr>
            <w:tcW w:w="7279" w:type="dxa"/>
          </w:tcPr>
          <w:p>
            <w:pPr>
              <w:widowControl/>
              <w:autoSpaceDE w:val="0"/>
              <w:ind w:firstLine="0" w:firstLineChars="0"/>
              <w:jc w:val="center"/>
              <w:rPr>
                <w:rFonts w:ascii="黑体" w:hAnsi="黑体" w:eastAsia="黑体"/>
                <w:bCs/>
                <w:color w:val="000000"/>
                <w:sz w:val="28"/>
                <w:szCs w:val="28"/>
              </w:rPr>
            </w:pPr>
            <w:r>
              <w:rPr>
                <w:rFonts w:hint="eastAsia" w:ascii="黑体" w:hAnsi="黑体" w:eastAsia="黑体"/>
                <w:bCs/>
                <w:color w:val="000000"/>
                <w:sz w:val="28"/>
                <w:szCs w:val="28"/>
              </w:rPr>
              <w:t>工作内容</w:t>
            </w:r>
          </w:p>
        </w:tc>
        <w:tc>
          <w:tcPr>
            <w:tcW w:w="2992" w:type="dxa"/>
          </w:tcPr>
          <w:p>
            <w:pPr>
              <w:widowControl/>
              <w:autoSpaceDE w:val="0"/>
              <w:ind w:firstLine="0" w:firstLineChars="0"/>
              <w:jc w:val="center"/>
              <w:rPr>
                <w:rFonts w:ascii="黑体" w:hAnsi="黑体" w:eastAsia="黑体"/>
                <w:bCs/>
                <w:color w:val="000000"/>
                <w:sz w:val="28"/>
                <w:szCs w:val="28"/>
              </w:rPr>
            </w:pPr>
            <w:r>
              <w:rPr>
                <w:rFonts w:hint="eastAsia" w:ascii="黑体" w:hAnsi="黑体" w:eastAsia="黑体"/>
                <w:bCs/>
                <w:color w:val="000000"/>
                <w:sz w:val="28"/>
                <w:szCs w:val="28"/>
              </w:rPr>
              <w:t>时间进度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90" w:type="dxa"/>
          </w:tcPr>
          <w:p>
            <w:pPr>
              <w:widowControl/>
              <w:autoSpaceDE w:val="0"/>
              <w:ind w:firstLine="0" w:firstLineChars="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1</w:t>
            </w:r>
          </w:p>
        </w:tc>
        <w:tc>
          <w:tcPr>
            <w:tcW w:w="2618" w:type="dxa"/>
          </w:tcPr>
          <w:p>
            <w:pPr>
              <w:widowControl/>
              <w:autoSpaceDE w:val="0"/>
              <w:ind w:firstLine="0" w:firstLineChars="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成立领导小组</w:t>
            </w:r>
          </w:p>
        </w:tc>
        <w:tc>
          <w:tcPr>
            <w:tcW w:w="7279" w:type="dxa"/>
          </w:tcPr>
          <w:p>
            <w:pPr>
              <w:ind w:firstLine="0" w:firstLineChars="0"/>
              <w:rPr>
                <w:rFonts w:asciiTheme="minorEastAsia" w:hAnsiTheme="minorEastAsia" w:eastAsiaTheme="minorEastAsia"/>
                <w:bCs/>
                <w:color w:val="000000"/>
                <w:sz w:val="24"/>
                <w:szCs w:val="24"/>
              </w:rPr>
            </w:pPr>
            <w:r>
              <w:rPr>
                <w:rFonts w:hint="eastAsia" w:cs="Times New Roman" w:asciiTheme="minorEastAsia" w:hAnsiTheme="minorEastAsia" w:eastAsiaTheme="minorEastAsia"/>
                <w:sz w:val="24"/>
                <w:szCs w:val="24"/>
              </w:rPr>
              <w:t>区、镇（街道）成立普查领导小组和领导小组办公室</w:t>
            </w:r>
          </w:p>
        </w:tc>
        <w:tc>
          <w:tcPr>
            <w:tcW w:w="2992" w:type="dxa"/>
          </w:tcPr>
          <w:p>
            <w:pPr>
              <w:widowControl/>
              <w:autoSpaceDE w:val="0"/>
              <w:ind w:firstLine="0" w:firstLineChars="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2020年底前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90" w:type="dxa"/>
            <w:vMerge w:val="restart"/>
          </w:tcPr>
          <w:p>
            <w:pPr>
              <w:widowControl/>
              <w:autoSpaceDE w:val="0"/>
              <w:ind w:firstLine="0" w:firstLineChars="0"/>
              <w:jc w:val="center"/>
              <w:rPr>
                <w:rFonts w:asciiTheme="minorEastAsia" w:hAnsiTheme="minorEastAsia" w:eastAsiaTheme="minorEastAsia"/>
                <w:bCs/>
                <w:color w:val="000000"/>
                <w:sz w:val="24"/>
                <w:szCs w:val="24"/>
              </w:rPr>
            </w:pPr>
          </w:p>
          <w:p>
            <w:pPr>
              <w:widowControl/>
              <w:autoSpaceDE w:val="0"/>
              <w:ind w:firstLine="0" w:firstLineChars="0"/>
              <w:jc w:val="center"/>
              <w:rPr>
                <w:rFonts w:asciiTheme="minorEastAsia" w:hAnsiTheme="minorEastAsia" w:eastAsiaTheme="minorEastAsia"/>
                <w:bCs/>
                <w:color w:val="000000"/>
                <w:sz w:val="24"/>
                <w:szCs w:val="24"/>
              </w:rPr>
            </w:pPr>
          </w:p>
          <w:p>
            <w:pPr>
              <w:widowControl/>
              <w:autoSpaceDE w:val="0"/>
              <w:ind w:firstLine="0" w:firstLineChars="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2</w:t>
            </w:r>
          </w:p>
        </w:tc>
        <w:tc>
          <w:tcPr>
            <w:tcW w:w="2618" w:type="dxa"/>
            <w:vMerge w:val="restart"/>
          </w:tcPr>
          <w:p>
            <w:pPr>
              <w:widowControl/>
              <w:autoSpaceDE w:val="0"/>
              <w:ind w:firstLine="0" w:firstLineChars="0"/>
              <w:jc w:val="center"/>
              <w:rPr>
                <w:rFonts w:asciiTheme="minorEastAsia" w:hAnsiTheme="minorEastAsia" w:eastAsiaTheme="minorEastAsia"/>
                <w:bCs/>
                <w:color w:val="000000"/>
                <w:sz w:val="24"/>
                <w:szCs w:val="24"/>
              </w:rPr>
            </w:pPr>
          </w:p>
          <w:p>
            <w:pPr>
              <w:widowControl/>
              <w:autoSpaceDE w:val="0"/>
              <w:ind w:firstLine="0" w:firstLineChars="0"/>
              <w:jc w:val="center"/>
              <w:rPr>
                <w:rFonts w:asciiTheme="minorEastAsia" w:hAnsiTheme="minorEastAsia" w:eastAsiaTheme="minorEastAsia"/>
                <w:bCs/>
                <w:color w:val="000000"/>
                <w:sz w:val="24"/>
                <w:szCs w:val="24"/>
              </w:rPr>
            </w:pPr>
          </w:p>
          <w:p>
            <w:pPr>
              <w:widowControl/>
              <w:autoSpaceDE w:val="0"/>
              <w:ind w:firstLine="0" w:firstLineChars="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全面普查准备阶段</w:t>
            </w:r>
          </w:p>
        </w:tc>
        <w:tc>
          <w:tcPr>
            <w:tcW w:w="7279" w:type="dxa"/>
          </w:tcPr>
          <w:p>
            <w:pPr>
              <w:widowControl/>
              <w:autoSpaceDE w:val="0"/>
              <w:ind w:firstLine="0" w:firstLineChars="0"/>
              <w:rPr>
                <w:rFonts w:asciiTheme="minorEastAsia" w:hAnsiTheme="minorEastAsia" w:eastAsiaTheme="minorEastAsia"/>
                <w:bCs/>
                <w:color w:val="000000"/>
                <w:sz w:val="24"/>
                <w:szCs w:val="24"/>
              </w:rPr>
            </w:pPr>
            <w:r>
              <w:rPr>
                <w:rFonts w:hint="eastAsia" w:asciiTheme="minorEastAsia" w:hAnsiTheme="minorEastAsia" w:eastAsiaTheme="minorEastAsia"/>
                <w:sz w:val="24"/>
                <w:szCs w:val="24"/>
              </w:rPr>
              <w:t>建立组织机构和联络员机制；</w:t>
            </w:r>
          </w:p>
        </w:tc>
        <w:tc>
          <w:tcPr>
            <w:tcW w:w="2992" w:type="dxa"/>
            <w:vMerge w:val="restart"/>
          </w:tcPr>
          <w:p>
            <w:pPr>
              <w:widowControl/>
              <w:autoSpaceDE w:val="0"/>
              <w:ind w:firstLine="0" w:firstLineChars="0"/>
              <w:jc w:val="center"/>
              <w:rPr>
                <w:rFonts w:asciiTheme="minorEastAsia" w:hAnsiTheme="minorEastAsia" w:eastAsiaTheme="minorEastAsia"/>
                <w:bCs/>
                <w:color w:val="000000"/>
                <w:sz w:val="24"/>
                <w:szCs w:val="24"/>
              </w:rPr>
            </w:pPr>
          </w:p>
          <w:p>
            <w:pPr>
              <w:widowControl/>
              <w:autoSpaceDE w:val="0"/>
              <w:ind w:firstLine="0" w:firstLineChars="0"/>
              <w:jc w:val="center"/>
              <w:rPr>
                <w:rFonts w:asciiTheme="minorEastAsia" w:hAnsiTheme="minorEastAsia" w:eastAsiaTheme="minorEastAsia"/>
                <w:bCs/>
                <w:color w:val="000000"/>
                <w:sz w:val="24"/>
                <w:szCs w:val="24"/>
              </w:rPr>
            </w:pPr>
          </w:p>
          <w:p>
            <w:pPr>
              <w:widowControl/>
              <w:autoSpaceDE w:val="0"/>
              <w:ind w:firstLine="0" w:firstLineChars="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2021年8月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90" w:type="dxa"/>
            <w:vMerge w:val="continue"/>
          </w:tcPr>
          <w:p>
            <w:pPr>
              <w:widowControl/>
              <w:autoSpaceDE w:val="0"/>
              <w:ind w:firstLine="0" w:firstLineChars="0"/>
              <w:jc w:val="center"/>
              <w:rPr>
                <w:rFonts w:asciiTheme="minorEastAsia" w:hAnsiTheme="minorEastAsia" w:eastAsiaTheme="minorEastAsia"/>
                <w:bCs/>
                <w:color w:val="000000"/>
                <w:sz w:val="24"/>
                <w:szCs w:val="24"/>
              </w:rPr>
            </w:pPr>
          </w:p>
        </w:tc>
        <w:tc>
          <w:tcPr>
            <w:tcW w:w="2618" w:type="dxa"/>
            <w:vMerge w:val="continue"/>
          </w:tcPr>
          <w:p>
            <w:pPr>
              <w:widowControl/>
              <w:autoSpaceDE w:val="0"/>
              <w:ind w:firstLine="0" w:firstLineChars="0"/>
              <w:jc w:val="center"/>
              <w:rPr>
                <w:rFonts w:asciiTheme="minorEastAsia" w:hAnsiTheme="minorEastAsia" w:eastAsiaTheme="minorEastAsia"/>
                <w:bCs/>
                <w:color w:val="000000"/>
                <w:sz w:val="24"/>
                <w:szCs w:val="24"/>
              </w:rPr>
            </w:pPr>
          </w:p>
        </w:tc>
        <w:tc>
          <w:tcPr>
            <w:tcW w:w="7279" w:type="dxa"/>
          </w:tcPr>
          <w:p>
            <w:pPr>
              <w:widowControl/>
              <w:autoSpaceDE w:val="0"/>
              <w:ind w:firstLine="0" w:firstLineChars="0"/>
              <w:rPr>
                <w:rFonts w:asciiTheme="minorEastAsia" w:hAnsiTheme="minorEastAsia" w:eastAsiaTheme="minorEastAsia"/>
                <w:bCs/>
                <w:color w:val="000000"/>
                <w:sz w:val="24"/>
                <w:szCs w:val="24"/>
              </w:rPr>
            </w:pPr>
            <w:r>
              <w:rPr>
                <w:rFonts w:hint="eastAsia" w:asciiTheme="minorEastAsia" w:hAnsiTheme="minorEastAsia" w:eastAsiaTheme="minorEastAsia"/>
                <w:sz w:val="24"/>
                <w:szCs w:val="24"/>
              </w:rPr>
              <w:t>区、镇（街道）两级政府分别召开工作部署动员会；</w:t>
            </w:r>
          </w:p>
        </w:tc>
        <w:tc>
          <w:tcPr>
            <w:tcW w:w="2992" w:type="dxa"/>
            <w:vMerge w:val="continue"/>
          </w:tcPr>
          <w:p>
            <w:pPr>
              <w:widowControl/>
              <w:autoSpaceDE w:val="0"/>
              <w:ind w:firstLine="0" w:firstLineChars="0"/>
              <w:jc w:val="center"/>
              <w:rPr>
                <w:rFonts w:asciiTheme="minorEastAsia" w:hAnsiTheme="minorEastAsia" w:eastAsiaTheme="minorEastAsia"/>
                <w:bCs/>
                <w:color w:val="000000"/>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90" w:type="dxa"/>
            <w:vMerge w:val="continue"/>
          </w:tcPr>
          <w:p>
            <w:pPr>
              <w:widowControl/>
              <w:autoSpaceDE w:val="0"/>
              <w:ind w:firstLine="0" w:firstLineChars="0"/>
              <w:jc w:val="center"/>
              <w:rPr>
                <w:rFonts w:asciiTheme="minorEastAsia" w:hAnsiTheme="minorEastAsia" w:eastAsiaTheme="minorEastAsia"/>
                <w:bCs/>
                <w:color w:val="000000"/>
                <w:sz w:val="24"/>
                <w:szCs w:val="24"/>
              </w:rPr>
            </w:pPr>
          </w:p>
        </w:tc>
        <w:tc>
          <w:tcPr>
            <w:tcW w:w="2618" w:type="dxa"/>
            <w:vMerge w:val="continue"/>
          </w:tcPr>
          <w:p>
            <w:pPr>
              <w:widowControl/>
              <w:autoSpaceDE w:val="0"/>
              <w:ind w:firstLine="0" w:firstLineChars="0"/>
              <w:jc w:val="center"/>
              <w:rPr>
                <w:rFonts w:asciiTheme="minorEastAsia" w:hAnsiTheme="minorEastAsia" w:eastAsiaTheme="minorEastAsia"/>
                <w:bCs/>
                <w:color w:val="000000"/>
                <w:sz w:val="24"/>
                <w:szCs w:val="24"/>
              </w:rPr>
            </w:pPr>
          </w:p>
        </w:tc>
        <w:tc>
          <w:tcPr>
            <w:tcW w:w="7279" w:type="dxa"/>
          </w:tcPr>
          <w:p>
            <w:pPr>
              <w:widowControl/>
              <w:autoSpaceDE w:val="0"/>
              <w:ind w:firstLine="0" w:firstLineChars="0"/>
              <w:rPr>
                <w:rFonts w:asciiTheme="minorEastAsia" w:hAnsiTheme="minorEastAsia" w:eastAsiaTheme="minorEastAsia"/>
                <w:bCs/>
                <w:color w:val="000000"/>
                <w:sz w:val="24"/>
                <w:szCs w:val="24"/>
              </w:rPr>
            </w:pPr>
            <w:r>
              <w:rPr>
                <w:rFonts w:hint="eastAsia" w:asciiTheme="minorEastAsia" w:hAnsiTheme="minorEastAsia" w:eastAsiaTheme="minorEastAsia"/>
                <w:sz w:val="24"/>
                <w:szCs w:val="24"/>
              </w:rPr>
              <w:t>组织新闻宣传，组织相关业务培训；</w:t>
            </w:r>
          </w:p>
        </w:tc>
        <w:tc>
          <w:tcPr>
            <w:tcW w:w="2992" w:type="dxa"/>
            <w:vMerge w:val="continue"/>
          </w:tcPr>
          <w:p>
            <w:pPr>
              <w:widowControl/>
              <w:autoSpaceDE w:val="0"/>
              <w:ind w:firstLine="0" w:firstLineChars="0"/>
              <w:jc w:val="center"/>
              <w:rPr>
                <w:rFonts w:asciiTheme="minorEastAsia" w:hAnsiTheme="minorEastAsia" w:eastAsiaTheme="minorEastAsia"/>
                <w:bCs/>
                <w:color w:val="000000"/>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90" w:type="dxa"/>
            <w:vMerge w:val="continue"/>
          </w:tcPr>
          <w:p>
            <w:pPr>
              <w:widowControl/>
              <w:autoSpaceDE w:val="0"/>
              <w:ind w:firstLine="0" w:firstLineChars="0"/>
              <w:jc w:val="center"/>
              <w:rPr>
                <w:rFonts w:asciiTheme="minorEastAsia" w:hAnsiTheme="minorEastAsia" w:eastAsiaTheme="minorEastAsia"/>
                <w:bCs/>
                <w:color w:val="000000"/>
                <w:sz w:val="24"/>
                <w:szCs w:val="24"/>
              </w:rPr>
            </w:pPr>
          </w:p>
        </w:tc>
        <w:tc>
          <w:tcPr>
            <w:tcW w:w="2618" w:type="dxa"/>
            <w:vMerge w:val="continue"/>
          </w:tcPr>
          <w:p>
            <w:pPr>
              <w:widowControl/>
              <w:autoSpaceDE w:val="0"/>
              <w:ind w:firstLine="0" w:firstLineChars="0"/>
              <w:jc w:val="center"/>
              <w:rPr>
                <w:rFonts w:asciiTheme="minorEastAsia" w:hAnsiTheme="minorEastAsia" w:eastAsiaTheme="minorEastAsia"/>
                <w:bCs/>
                <w:color w:val="000000"/>
                <w:sz w:val="24"/>
                <w:szCs w:val="24"/>
              </w:rPr>
            </w:pPr>
          </w:p>
        </w:tc>
        <w:tc>
          <w:tcPr>
            <w:tcW w:w="7279" w:type="dxa"/>
          </w:tcPr>
          <w:p>
            <w:pPr>
              <w:widowControl/>
              <w:autoSpaceDE w:val="0"/>
              <w:ind w:firstLine="0" w:firstLineChars="0"/>
              <w:rPr>
                <w:rFonts w:asciiTheme="minorEastAsia" w:hAnsiTheme="minorEastAsia" w:eastAsiaTheme="minorEastAsia"/>
                <w:bCs/>
                <w:color w:val="000000"/>
                <w:sz w:val="24"/>
                <w:szCs w:val="24"/>
              </w:rPr>
            </w:pPr>
            <w:r>
              <w:rPr>
                <w:rFonts w:hint="eastAsia" w:asciiTheme="minorEastAsia" w:hAnsiTheme="minorEastAsia" w:eastAsiaTheme="minorEastAsia"/>
                <w:sz w:val="24"/>
                <w:szCs w:val="24"/>
              </w:rPr>
              <w:t>编制相关普查工作方案，编制落实普查经费预算；</w:t>
            </w:r>
          </w:p>
        </w:tc>
        <w:tc>
          <w:tcPr>
            <w:tcW w:w="2992" w:type="dxa"/>
            <w:vMerge w:val="continue"/>
          </w:tcPr>
          <w:p>
            <w:pPr>
              <w:widowControl/>
              <w:autoSpaceDE w:val="0"/>
              <w:ind w:firstLine="0" w:firstLineChars="0"/>
              <w:jc w:val="center"/>
              <w:rPr>
                <w:rFonts w:asciiTheme="minorEastAsia" w:hAnsiTheme="minorEastAsia" w:eastAsiaTheme="minorEastAsia"/>
                <w:bCs/>
                <w:color w:val="000000"/>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8" w:hRule="atLeast"/>
          <w:jc w:val="center"/>
        </w:trPr>
        <w:tc>
          <w:tcPr>
            <w:tcW w:w="990" w:type="dxa"/>
            <w:vMerge w:val="continue"/>
          </w:tcPr>
          <w:p>
            <w:pPr>
              <w:widowControl/>
              <w:autoSpaceDE w:val="0"/>
              <w:ind w:firstLine="0" w:firstLineChars="0"/>
              <w:jc w:val="center"/>
              <w:rPr>
                <w:rFonts w:asciiTheme="minorEastAsia" w:hAnsiTheme="minorEastAsia" w:eastAsiaTheme="minorEastAsia"/>
                <w:bCs/>
                <w:color w:val="000000"/>
                <w:sz w:val="24"/>
                <w:szCs w:val="24"/>
              </w:rPr>
            </w:pPr>
          </w:p>
        </w:tc>
        <w:tc>
          <w:tcPr>
            <w:tcW w:w="2618" w:type="dxa"/>
            <w:vMerge w:val="continue"/>
          </w:tcPr>
          <w:p>
            <w:pPr>
              <w:widowControl/>
              <w:autoSpaceDE w:val="0"/>
              <w:ind w:firstLine="0" w:firstLineChars="0"/>
              <w:jc w:val="center"/>
              <w:rPr>
                <w:rFonts w:asciiTheme="minorEastAsia" w:hAnsiTheme="minorEastAsia" w:eastAsiaTheme="minorEastAsia"/>
                <w:bCs/>
                <w:color w:val="000000"/>
                <w:sz w:val="24"/>
                <w:szCs w:val="24"/>
              </w:rPr>
            </w:pPr>
          </w:p>
        </w:tc>
        <w:tc>
          <w:tcPr>
            <w:tcW w:w="7279" w:type="dxa"/>
          </w:tcPr>
          <w:p>
            <w:pPr>
              <w:widowControl/>
              <w:autoSpaceDE w:val="0"/>
              <w:ind w:firstLine="0" w:firstLineChars="0"/>
              <w:rPr>
                <w:rFonts w:asciiTheme="minorEastAsia" w:hAnsiTheme="minorEastAsia" w:eastAsiaTheme="minorEastAsia"/>
                <w:bCs/>
                <w:color w:val="000000"/>
                <w:sz w:val="24"/>
                <w:szCs w:val="24"/>
              </w:rPr>
            </w:pPr>
            <w:r>
              <w:rPr>
                <w:rFonts w:hint="eastAsia" w:asciiTheme="minorEastAsia" w:hAnsiTheme="minorEastAsia" w:eastAsiaTheme="minorEastAsia"/>
                <w:sz w:val="24"/>
                <w:szCs w:val="24"/>
              </w:rPr>
              <w:t>开展第三方招标、组建技术团队工作。</w:t>
            </w:r>
          </w:p>
        </w:tc>
        <w:tc>
          <w:tcPr>
            <w:tcW w:w="2992" w:type="dxa"/>
            <w:vMerge w:val="continue"/>
          </w:tcPr>
          <w:p>
            <w:pPr>
              <w:widowControl/>
              <w:autoSpaceDE w:val="0"/>
              <w:ind w:firstLine="0" w:firstLineChars="0"/>
              <w:jc w:val="center"/>
              <w:rPr>
                <w:rFonts w:asciiTheme="minorEastAsia" w:hAnsiTheme="minorEastAsia" w:eastAsiaTheme="minorEastAsia"/>
                <w:bCs/>
                <w:color w:val="000000"/>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6" w:hRule="atLeast"/>
          <w:jc w:val="center"/>
        </w:trPr>
        <w:tc>
          <w:tcPr>
            <w:tcW w:w="990" w:type="dxa"/>
            <w:vMerge w:val="restart"/>
            <w:vAlign w:val="center"/>
          </w:tcPr>
          <w:p>
            <w:pPr>
              <w:widowControl/>
              <w:autoSpaceDE w:val="0"/>
              <w:ind w:firstLine="0" w:firstLineChars="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3</w:t>
            </w:r>
          </w:p>
        </w:tc>
        <w:tc>
          <w:tcPr>
            <w:tcW w:w="2618" w:type="dxa"/>
            <w:vMerge w:val="restart"/>
            <w:vAlign w:val="center"/>
          </w:tcPr>
          <w:p>
            <w:pPr>
              <w:widowControl/>
              <w:autoSpaceDE w:val="0"/>
              <w:ind w:firstLine="0" w:firstLineChars="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全面调查阶段</w:t>
            </w:r>
          </w:p>
        </w:tc>
        <w:tc>
          <w:tcPr>
            <w:tcW w:w="7279" w:type="dxa"/>
            <w:vAlign w:val="center"/>
          </w:tcPr>
          <w:p>
            <w:pPr>
              <w:autoSpaceDE w:val="0"/>
              <w:spacing w:line="300" w:lineRule="exact"/>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区各成员单位和镇（街道）按照工作方案相关要求，结合本地区、本部门实际，编制普查相关技术文件。</w:t>
            </w:r>
          </w:p>
        </w:tc>
        <w:tc>
          <w:tcPr>
            <w:tcW w:w="2992" w:type="dxa"/>
            <w:vMerge w:val="restart"/>
            <w:vAlign w:val="center"/>
          </w:tcPr>
          <w:p>
            <w:pPr>
              <w:widowControl/>
              <w:autoSpaceDE w:val="0"/>
              <w:ind w:firstLine="0" w:firstLineChars="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2021年8-11月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90" w:type="dxa"/>
            <w:vMerge w:val="continue"/>
          </w:tcPr>
          <w:p>
            <w:pPr>
              <w:widowControl/>
              <w:autoSpaceDE w:val="0"/>
              <w:ind w:firstLine="0" w:firstLineChars="0"/>
              <w:jc w:val="center"/>
              <w:rPr>
                <w:rFonts w:asciiTheme="minorEastAsia" w:hAnsiTheme="minorEastAsia" w:eastAsiaTheme="minorEastAsia"/>
                <w:bCs/>
                <w:color w:val="000000"/>
                <w:sz w:val="24"/>
                <w:szCs w:val="24"/>
              </w:rPr>
            </w:pPr>
          </w:p>
        </w:tc>
        <w:tc>
          <w:tcPr>
            <w:tcW w:w="2618" w:type="dxa"/>
            <w:vMerge w:val="continue"/>
          </w:tcPr>
          <w:p>
            <w:pPr>
              <w:widowControl/>
              <w:autoSpaceDE w:val="0"/>
              <w:ind w:firstLine="0" w:firstLineChars="0"/>
              <w:jc w:val="center"/>
              <w:rPr>
                <w:rFonts w:asciiTheme="minorEastAsia" w:hAnsiTheme="minorEastAsia" w:eastAsiaTheme="minorEastAsia"/>
                <w:bCs/>
                <w:color w:val="000000"/>
                <w:sz w:val="24"/>
                <w:szCs w:val="24"/>
              </w:rPr>
            </w:pPr>
          </w:p>
        </w:tc>
        <w:tc>
          <w:tcPr>
            <w:tcW w:w="7279" w:type="dxa"/>
          </w:tcPr>
          <w:p>
            <w:pPr>
              <w:widowControl/>
              <w:autoSpaceDE w:val="0"/>
              <w:spacing w:line="300" w:lineRule="exact"/>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通过档案查阅、数据处理、现场调查和实地勘察等内外业结合的方法获取普查数据，完成各项具体调查任务，形成调查成果。</w:t>
            </w:r>
          </w:p>
        </w:tc>
        <w:tc>
          <w:tcPr>
            <w:tcW w:w="2992" w:type="dxa"/>
            <w:vMerge w:val="continue"/>
          </w:tcPr>
          <w:p>
            <w:pPr>
              <w:widowControl/>
              <w:autoSpaceDE w:val="0"/>
              <w:ind w:firstLine="0" w:firstLineChars="0"/>
              <w:jc w:val="center"/>
              <w:rPr>
                <w:rFonts w:asciiTheme="minorEastAsia" w:hAnsiTheme="minorEastAsia" w:eastAsiaTheme="minorEastAsia"/>
                <w:bCs/>
                <w:color w:val="000000"/>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90" w:type="dxa"/>
            <w:vAlign w:val="center"/>
          </w:tcPr>
          <w:p>
            <w:pPr>
              <w:widowControl/>
              <w:autoSpaceDE w:val="0"/>
              <w:ind w:firstLine="0" w:firstLineChars="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4</w:t>
            </w:r>
          </w:p>
        </w:tc>
        <w:tc>
          <w:tcPr>
            <w:tcW w:w="2618" w:type="dxa"/>
            <w:vAlign w:val="center"/>
          </w:tcPr>
          <w:p>
            <w:pPr>
              <w:widowControl/>
              <w:autoSpaceDE w:val="0"/>
              <w:ind w:firstLine="0" w:firstLineChars="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数据验收阶段</w:t>
            </w:r>
          </w:p>
        </w:tc>
        <w:tc>
          <w:tcPr>
            <w:tcW w:w="7279" w:type="dxa"/>
            <w:vAlign w:val="center"/>
          </w:tcPr>
          <w:p>
            <w:pPr>
              <w:widowControl/>
              <w:autoSpaceDE w:val="0"/>
              <w:spacing w:line="300" w:lineRule="exact"/>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依据《第一次全国自然灾害综合风险普查数年据与成果汇交和质量审核办法（试行）》，开展全区普查数据成果质检、核查、汇交、审核、验收等工作。</w:t>
            </w:r>
          </w:p>
        </w:tc>
        <w:tc>
          <w:tcPr>
            <w:tcW w:w="2992" w:type="dxa"/>
            <w:vAlign w:val="center"/>
          </w:tcPr>
          <w:p>
            <w:pPr>
              <w:widowControl/>
              <w:autoSpaceDE w:val="0"/>
              <w:ind w:firstLine="0" w:firstLineChars="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2021年11-12月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90" w:type="dxa"/>
            <w:vMerge w:val="restart"/>
            <w:vAlign w:val="center"/>
          </w:tcPr>
          <w:p>
            <w:pPr>
              <w:widowControl/>
              <w:autoSpaceDE w:val="0"/>
              <w:ind w:firstLine="0" w:firstLineChars="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5</w:t>
            </w:r>
          </w:p>
        </w:tc>
        <w:tc>
          <w:tcPr>
            <w:tcW w:w="2618" w:type="dxa"/>
            <w:vMerge w:val="restart"/>
            <w:vAlign w:val="center"/>
          </w:tcPr>
          <w:p>
            <w:pPr>
              <w:widowControl/>
              <w:autoSpaceDE w:val="0"/>
              <w:ind w:firstLine="0" w:firstLineChars="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省级评估区划阶段</w:t>
            </w:r>
          </w:p>
        </w:tc>
        <w:tc>
          <w:tcPr>
            <w:tcW w:w="7279" w:type="dxa"/>
            <w:vAlign w:val="center"/>
          </w:tcPr>
          <w:p>
            <w:pPr>
              <w:widowControl/>
              <w:autoSpaceDE w:val="0"/>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配合省级行业部门完成单灾种、单要素评估与区划工作；</w:t>
            </w:r>
          </w:p>
        </w:tc>
        <w:tc>
          <w:tcPr>
            <w:tcW w:w="2992" w:type="dxa"/>
            <w:vMerge w:val="restart"/>
            <w:vAlign w:val="center"/>
          </w:tcPr>
          <w:p>
            <w:pPr>
              <w:widowControl/>
              <w:autoSpaceDE w:val="0"/>
              <w:ind w:firstLine="0" w:firstLineChars="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2022年1-6月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90" w:type="dxa"/>
            <w:vMerge w:val="continue"/>
          </w:tcPr>
          <w:p>
            <w:pPr>
              <w:widowControl/>
              <w:autoSpaceDE w:val="0"/>
              <w:ind w:firstLine="0" w:firstLineChars="0"/>
              <w:jc w:val="center"/>
              <w:rPr>
                <w:rFonts w:asciiTheme="minorEastAsia" w:hAnsiTheme="minorEastAsia" w:eastAsiaTheme="minorEastAsia"/>
                <w:bCs/>
                <w:color w:val="000000"/>
                <w:sz w:val="24"/>
                <w:szCs w:val="24"/>
              </w:rPr>
            </w:pPr>
          </w:p>
        </w:tc>
        <w:tc>
          <w:tcPr>
            <w:tcW w:w="2618" w:type="dxa"/>
            <w:vMerge w:val="continue"/>
          </w:tcPr>
          <w:p>
            <w:pPr>
              <w:widowControl/>
              <w:autoSpaceDE w:val="0"/>
              <w:ind w:firstLine="0" w:firstLineChars="0"/>
              <w:jc w:val="center"/>
              <w:rPr>
                <w:rFonts w:asciiTheme="minorEastAsia" w:hAnsiTheme="minorEastAsia" w:eastAsiaTheme="minorEastAsia"/>
                <w:bCs/>
                <w:color w:val="000000"/>
                <w:sz w:val="24"/>
                <w:szCs w:val="24"/>
              </w:rPr>
            </w:pPr>
          </w:p>
        </w:tc>
        <w:tc>
          <w:tcPr>
            <w:tcW w:w="7279" w:type="dxa"/>
          </w:tcPr>
          <w:p>
            <w:pPr>
              <w:widowControl/>
              <w:autoSpaceDE w:val="0"/>
              <w:spacing w:line="300" w:lineRule="exact"/>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配合省普查办完成省、市、区三级综合隐患评估，综合风险评估与区划工作。</w:t>
            </w:r>
          </w:p>
        </w:tc>
        <w:tc>
          <w:tcPr>
            <w:tcW w:w="2992" w:type="dxa"/>
            <w:vMerge w:val="continue"/>
          </w:tcPr>
          <w:p>
            <w:pPr>
              <w:widowControl/>
              <w:autoSpaceDE w:val="0"/>
              <w:ind w:firstLine="0" w:firstLineChars="0"/>
              <w:jc w:val="center"/>
              <w:rPr>
                <w:rFonts w:asciiTheme="minorEastAsia" w:hAnsiTheme="minorEastAsia" w:eastAsiaTheme="minorEastAsia"/>
                <w:bCs/>
                <w:color w:val="000000"/>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38" w:hRule="atLeast"/>
          <w:jc w:val="center"/>
        </w:trPr>
        <w:tc>
          <w:tcPr>
            <w:tcW w:w="990" w:type="dxa"/>
          </w:tcPr>
          <w:p>
            <w:pPr>
              <w:widowControl/>
              <w:autoSpaceDE w:val="0"/>
              <w:ind w:firstLine="0" w:firstLineChars="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6</w:t>
            </w:r>
          </w:p>
        </w:tc>
        <w:tc>
          <w:tcPr>
            <w:tcW w:w="2618" w:type="dxa"/>
          </w:tcPr>
          <w:p>
            <w:pPr>
              <w:widowControl/>
              <w:autoSpaceDE w:val="0"/>
              <w:ind w:firstLine="0" w:firstLineChars="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普查工作总结阶段</w:t>
            </w:r>
          </w:p>
        </w:tc>
        <w:tc>
          <w:tcPr>
            <w:tcW w:w="7279" w:type="dxa"/>
          </w:tcPr>
          <w:p>
            <w:pPr>
              <w:widowControl/>
              <w:autoSpaceDE w:val="0"/>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按照省级统一部署安排，开展工作总结和表彰奖励等工作。</w:t>
            </w:r>
          </w:p>
        </w:tc>
        <w:tc>
          <w:tcPr>
            <w:tcW w:w="2992" w:type="dxa"/>
          </w:tcPr>
          <w:p>
            <w:pPr>
              <w:widowControl/>
              <w:autoSpaceDE w:val="0"/>
              <w:ind w:firstLine="0" w:firstLineChars="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2022年5-8月</w:t>
            </w:r>
          </w:p>
        </w:tc>
      </w:tr>
    </w:tbl>
    <w:p>
      <w:pPr>
        <w:widowControl/>
        <w:autoSpaceDE w:val="0"/>
        <w:ind w:firstLine="0" w:firstLineChars="0"/>
        <w:rPr>
          <w:rFonts w:ascii="仿宋" w:hAnsi="仿宋"/>
          <w:b/>
          <w:bCs/>
          <w:color w:val="000000"/>
        </w:rPr>
      </w:pPr>
    </w:p>
    <w:sectPr>
      <w:pgSz w:w="16838" w:h="11906" w:orient="landscape"/>
      <w:pgMar w:top="1474" w:right="1701" w:bottom="1152" w:left="1474" w:header="851" w:footer="992" w:gutter="0"/>
      <w:cols w:space="425" w:num="1"/>
      <w:titlePg/>
      <w:docGrid w:type="linesAndChar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1A6C3DE-135C-4A1F-9B51-857FA0630BFC}"/>
  </w:font>
  <w:font w:name="Arial">
    <w:panose1 w:val="020B0604020202020204"/>
    <w:charset w:val="01"/>
    <w:family w:val="swiss"/>
    <w:pitch w:val="default"/>
    <w:sig w:usb0="E0002EFF" w:usb1="C000785B" w:usb2="00000009" w:usb3="00000000" w:csb0="400001FF" w:csb1="FFFF0000"/>
    <w:embedRegular r:id="rId2" w:fontKey="{34B0327C-EAEA-43EB-8C65-22F0731B5DF8}"/>
  </w:font>
  <w:font w:name="黑体">
    <w:panose1 w:val="02010609060101010101"/>
    <w:charset w:val="86"/>
    <w:family w:val="auto"/>
    <w:pitch w:val="default"/>
    <w:sig w:usb0="800002BF" w:usb1="38CF7CFA" w:usb2="00000016" w:usb3="00000000" w:csb0="00040001" w:csb1="00000000"/>
    <w:embedRegular r:id="rId3" w:fontKey="{2495B3FD-17E7-4623-B692-EADADF4453E6}"/>
  </w:font>
  <w:font w:name="Courier New">
    <w:panose1 w:val="02070309020205020404"/>
    <w:charset w:val="01"/>
    <w:family w:val="modern"/>
    <w:pitch w:val="default"/>
    <w:sig w:usb0="E0002EFF" w:usb1="C0007843" w:usb2="00000009" w:usb3="00000000" w:csb0="400001FF" w:csb1="FFFF0000"/>
    <w:embedRegular r:id="rId4" w:fontKey="{3A91893A-3EAF-4DA8-BF68-9A00A8AAC93F}"/>
  </w:font>
  <w:font w:name="Symbol">
    <w:panose1 w:val="05050102010706020507"/>
    <w:charset w:val="02"/>
    <w:family w:val="roman"/>
    <w:pitch w:val="default"/>
    <w:sig w:usb0="00000000" w:usb1="00000000" w:usb2="00000000" w:usb3="00000000" w:csb0="80000000" w:csb1="00000000"/>
    <w:embedRegular r:id="rId5" w:fontKey="{2CB90E9D-5542-4E42-BBAB-9B4DA3D9DD6B}"/>
  </w:font>
  <w:font w:name="Calibri">
    <w:panose1 w:val="020F0502020204030204"/>
    <w:charset w:val="00"/>
    <w:family w:val="swiss"/>
    <w:pitch w:val="default"/>
    <w:sig w:usb0="E4002EFF" w:usb1="C000247B" w:usb2="00000009" w:usb3="00000000" w:csb0="200001FF" w:csb1="00000000"/>
    <w:embedRegular r:id="rId6" w:fontKey="{B107E904-9141-4479-AB63-27036943F884}"/>
  </w:font>
  <w:font w:name="仿宋_GB2312">
    <w:panose1 w:val="02010609030101010101"/>
    <w:charset w:val="86"/>
    <w:family w:val="auto"/>
    <w:pitch w:val="default"/>
    <w:sig w:usb0="00000001" w:usb1="080E0000" w:usb2="00000000" w:usb3="00000000" w:csb0="00040000" w:csb1="00000000"/>
    <w:embedRegular r:id="rId7" w:fontKey="{C9BED699-752A-4601-A8A6-629B517EF1B7}"/>
  </w:font>
  <w:font w:name="仿宋">
    <w:panose1 w:val="02010609060101010101"/>
    <w:charset w:val="86"/>
    <w:family w:val="modern"/>
    <w:pitch w:val="default"/>
    <w:sig w:usb0="800002BF" w:usb1="38CF7CFA" w:usb2="00000016" w:usb3="00000000" w:csb0="00040001" w:csb1="00000000"/>
    <w:embedRegular r:id="rId8" w:fontKey="{F319057C-4EA1-492E-90E0-490C70E72F96}"/>
  </w:font>
  <w:font w:name="方正大标宋简体">
    <w:altName w:val="微软雅黑"/>
    <w:panose1 w:val="00000000000000000000"/>
    <w:charset w:val="86"/>
    <w:family w:val="auto"/>
    <w:pitch w:val="default"/>
    <w:sig w:usb0="00000000" w:usb1="00000000" w:usb2="00000000" w:usb3="00000000" w:csb0="00040000" w:csb1="00000000"/>
    <w:embedRegular r:id="rId9" w:fontKey="{0226C243-789B-4C7A-9FC3-BD946985453F}"/>
  </w:font>
  <w:font w:name="方正小标宋简体">
    <w:panose1 w:val="03000509000000000000"/>
    <w:charset w:val="86"/>
    <w:family w:val="auto"/>
    <w:pitch w:val="default"/>
    <w:sig w:usb0="00000001" w:usb1="080E0000" w:usb2="00000000" w:usb3="00000000" w:csb0="00040000" w:csb1="00000000"/>
    <w:embedRegular r:id="rId10" w:fontKey="{842364CE-9D59-4C67-A8C6-289AF3A1CCA3}"/>
  </w:font>
  <w:font w:name="MS Mincho">
    <w:altName w:val="Yu Gothic UI"/>
    <w:panose1 w:val="02020609040205080304"/>
    <w:charset w:val="80"/>
    <w:family w:val="roman"/>
    <w:pitch w:val="default"/>
    <w:sig w:usb0="00000000" w:usb1="00000000" w:usb2="00000010" w:usb3="00000000" w:csb0="00020000" w:csb1="00000000"/>
    <w:embedRegular r:id="rId11" w:fontKey="{DA913BE0-ACEB-4813-8BD0-F398CF630C4C}"/>
  </w:font>
  <w:font w:name="楷体_GB2312">
    <w:panose1 w:val="02010609030101010101"/>
    <w:charset w:val="86"/>
    <w:family w:val="modern"/>
    <w:pitch w:val="default"/>
    <w:sig w:usb0="00000001" w:usb1="080E0000" w:usb2="00000000" w:usb3="00000000" w:csb0="00040000" w:csb1="00000000"/>
    <w:embedRegular r:id="rId12" w:fontKey="{D095DDCD-E7E3-46B4-85B9-1DCFCA5BB0DA}"/>
  </w:font>
  <w:font w:name="楷体">
    <w:panose1 w:val="02010609060101010101"/>
    <w:charset w:val="86"/>
    <w:family w:val="modern"/>
    <w:pitch w:val="default"/>
    <w:sig w:usb0="800002BF" w:usb1="38CF7CFA" w:usb2="00000016" w:usb3="00000000" w:csb0="00040001" w:csb1="00000000"/>
    <w:embedRegular r:id="rId13" w:fontKey="{4EE773B3-9E88-4C23-87DB-68038503F0FD}"/>
  </w:font>
  <w:font w:name="微软雅黑">
    <w:panose1 w:val="020B0503020204020204"/>
    <w:charset w:val="86"/>
    <w:family w:val="auto"/>
    <w:pitch w:val="default"/>
    <w:sig w:usb0="80000287" w:usb1="2ACF3C50" w:usb2="00000016" w:usb3="00000000" w:csb0="0004001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jc w:val="center"/>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614148187"/>
                          </w:sdtPr>
                          <w:sdtContent>
                            <w:p>
                              <w:pPr>
                                <w:pStyle w:val="4"/>
                                <w:ind w:firstLine="360"/>
                                <w:jc w:val="center"/>
                              </w:pPr>
                              <w:r>
                                <w:fldChar w:fldCharType="begin"/>
                              </w:r>
                              <w:r>
                                <w:instrText xml:space="preserve"> PAGE   \* MERGEFORMAT </w:instrText>
                              </w:r>
                              <w:r>
                                <w:fldChar w:fldCharType="separate"/>
                              </w:r>
                              <w:r>
                                <w:rPr>
                                  <w:lang w:val="zh-CN"/>
                                </w:rPr>
                                <w:t>32</w:t>
                              </w:r>
                              <w:r>
                                <w:rPr>
                                  <w:lang w:val="zh-CN"/>
                                </w:rPr>
                                <w:fldChar w:fldCharType="end"/>
                              </w:r>
                            </w:p>
                          </w:sdtContent>
                        </w:sdt>
                        <w:p>
                          <w:pPr>
                            <w:ind w:firstLine="64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sdt>
                    <w:sdtPr>
                      <w:id w:val="614148187"/>
                    </w:sdtPr>
                    <w:sdtContent>
                      <w:p>
                        <w:pPr>
                          <w:pStyle w:val="4"/>
                          <w:ind w:firstLine="360"/>
                          <w:jc w:val="center"/>
                        </w:pPr>
                        <w:r>
                          <w:fldChar w:fldCharType="begin"/>
                        </w:r>
                        <w:r>
                          <w:instrText xml:space="preserve"> PAGE   \* MERGEFORMAT </w:instrText>
                        </w:r>
                        <w:r>
                          <w:fldChar w:fldCharType="separate"/>
                        </w:r>
                        <w:r>
                          <w:rPr>
                            <w:lang w:val="zh-CN"/>
                          </w:rPr>
                          <w:t>32</w:t>
                        </w:r>
                        <w:r>
                          <w:rPr>
                            <w:lang w:val="zh-CN"/>
                          </w:rPr>
                          <w:fldChar w:fldCharType="end"/>
                        </w:r>
                      </w:p>
                    </w:sdtContent>
                  </w:sdt>
                  <w:p>
                    <w:pPr>
                      <w:ind w:firstLine="640"/>
                    </w:pPr>
                  </w:p>
                </w:txbxContent>
              </v:textbox>
            </v:shape>
          </w:pict>
        </mc:Fallback>
      </mc:AlternateContent>
    </w:r>
  </w:p>
  <w:p>
    <w:pPr>
      <w:pStyle w:val="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40"/>
      </w:pPr>
      <w:r>
        <w:separator/>
      </w:r>
    </w:p>
  </w:footnote>
  <w:footnote w:type="continuationSeparator" w:id="1">
    <w:p>
      <w:pPr>
        <w:spacing w:line="36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FmNmU1MWNjOTMyNDM5ZDk3YWRmYTIyN2YwMzA4YzIifQ=="/>
  </w:docVars>
  <w:rsids>
    <w:rsidRoot w:val="00CF3B22"/>
    <w:rsid w:val="00002067"/>
    <w:rsid w:val="000067B6"/>
    <w:rsid w:val="00010061"/>
    <w:rsid w:val="000138C8"/>
    <w:rsid w:val="00062909"/>
    <w:rsid w:val="00083057"/>
    <w:rsid w:val="00092E57"/>
    <w:rsid w:val="000A4F7F"/>
    <w:rsid w:val="000A5003"/>
    <w:rsid w:val="000A610A"/>
    <w:rsid w:val="000B585F"/>
    <w:rsid w:val="000E1F94"/>
    <w:rsid w:val="00112852"/>
    <w:rsid w:val="00117511"/>
    <w:rsid w:val="00150A38"/>
    <w:rsid w:val="001926ED"/>
    <w:rsid w:val="001A7807"/>
    <w:rsid w:val="00223A59"/>
    <w:rsid w:val="002756EC"/>
    <w:rsid w:val="0028398F"/>
    <w:rsid w:val="0029432A"/>
    <w:rsid w:val="002A1E4A"/>
    <w:rsid w:val="002B482A"/>
    <w:rsid w:val="002D564A"/>
    <w:rsid w:val="00301E10"/>
    <w:rsid w:val="00305D76"/>
    <w:rsid w:val="00321F9A"/>
    <w:rsid w:val="00326EE2"/>
    <w:rsid w:val="00330568"/>
    <w:rsid w:val="00333FAE"/>
    <w:rsid w:val="00382D14"/>
    <w:rsid w:val="003C7F37"/>
    <w:rsid w:val="003E3EE2"/>
    <w:rsid w:val="003F0290"/>
    <w:rsid w:val="00417F12"/>
    <w:rsid w:val="0042209D"/>
    <w:rsid w:val="00435DA7"/>
    <w:rsid w:val="00451F6F"/>
    <w:rsid w:val="00453CF2"/>
    <w:rsid w:val="004709C8"/>
    <w:rsid w:val="004C1635"/>
    <w:rsid w:val="005028DC"/>
    <w:rsid w:val="00517553"/>
    <w:rsid w:val="0054789F"/>
    <w:rsid w:val="0056066C"/>
    <w:rsid w:val="00573A7C"/>
    <w:rsid w:val="005B3062"/>
    <w:rsid w:val="005C0A74"/>
    <w:rsid w:val="005C3EE5"/>
    <w:rsid w:val="005D5E89"/>
    <w:rsid w:val="005D7CB2"/>
    <w:rsid w:val="005E2B21"/>
    <w:rsid w:val="006230BE"/>
    <w:rsid w:val="00626102"/>
    <w:rsid w:val="00631E77"/>
    <w:rsid w:val="00632F9F"/>
    <w:rsid w:val="00633BAD"/>
    <w:rsid w:val="00634CE8"/>
    <w:rsid w:val="006368D0"/>
    <w:rsid w:val="00673C6D"/>
    <w:rsid w:val="00677820"/>
    <w:rsid w:val="00680C12"/>
    <w:rsid w:val="006A175A"/>
    <w:rsid w:val="006B0901"/>
    <w:rsid w:val="00727DE0"/>
    <w:rsid w:val="00747954"/>
    <w:rsid w:val="00747C5B"/>
    <w:rsid w:val="007546ED"/>
    <w:rsid w:val="007574AF"/>
    <w:rsid w:val="007829CA"/>
    <w:rsid w:val="007B6D29"/>
    <w:rsid w:val="007D5C28"/>
    <w:rsid w:val="00802B76"/>
    <w:rsid w:val="00822CA3"/>
    <w:rsid w:val="00823252"/>
    <w:rsid w:val="008317AC"/>
    <w:rsid w:val="00846EDA"/>
    <w:rsid w:val="008654B1"/>
    <w:rsid w:val="008747D6"/>
    <w:rsid w:val="00895E6A"/>
    <w:rsid w:val="008E03C1"/>
    <w:rsid w:val="008E04E4"/>
    <w:rsid w:val="008F1560"/>
    <w:rsid w:val="0091312D"/>
    <w:rsid w:val="00944E4C"/>
    <w:rsid w:val="00957B73"/>
    <w:rsid w:val="00966767"/>
    <w:rsid w:val="00974DB1"/>
    <w:rsid w:val="00976A55"/>
    <w:rsid w:val="00992D20"/>
    <w:rsid w:val="00993E62"/>
    <w:rsid w:val="00997F2A"/>
    <w:rsid w:val="009C42A5"/>
    <w:rsid w:val="009E0920"/>
    <w:rsid w:val="009E7B9D"/>
    <w:rsid w:val="00A02A69"/>
    <w:rsid w:val="00A11628"/>
    <w:rsid w:val="00A26AE6"/>
    <w:rsid w:val="00A43EB5"/>
    <w:rsid w:val="00A45C40"/>
    <w:rsid w:val="00A47095"/>
    <w:rsid w:val="00A87E9C"/>
    <w:rsid w:val="00AB12FB"/>
    <w:rsid w:val="00AD2E7E"/>
    <w:rsid w:val="00B26498"/>
    <w:rsid w:val="00B5363B"/>
    <w:rsid w:val="00B767D4"/>
    <w:rsid w:val="00BA2493"/>
    <w:rsid w:val="00BC00E2"/>
    <w:rsid w:val="00BC116F"/>
    <w:rsid w:val="00BC303C"/>
    <w:rsid w:val="00BF6C64"/>
    <w:rsid w:val="00BF732D"/>
    <w:rsid w:val="00C331F7"/>
    <w:rsid w:val="00C956E5"/>
    <w:rsid w:val="00CB267E"/>
    <w:rsid w:val="00CC176B"/>
    <w:rsid w:val="00CD2095"/>
    <w:rsid w:val="00CD5B2E"/>
    <w:rsid w:val="00CD7D8A"/>
    <w:rsid w:val="00CF3B22"/>
    <w:rsid w:val="00D222B2"/>
    <w:rsid w:val="00D25D2B"/>
    <w:rsid w:val="00D27684"/>
    <w:rsid w:val="00DC1FCA"/>
    <w:rsid w:val="00DC34F0"/>
    <w:rsid w:val="00DC361D"/>
    <w:rsid w:val="00E20F05"/>
    <w:rsid w:val="00E2169F"/>
    <w:rsid w:val="00E829E4"/>
    <w:rsid w:val="00E915B1"/>
    <w:rsid w:val="00EB0791"/>
    <w:rsid w:val="00EC1BCD"/>
    <w:rsid w:val="00EF3E8B"/>
    <w:rsid w:val="00F05BF9"/>
    <w:rsid w:val="00F07C22"/>
    <w:rsid w:val="00F10AF6"/>
    <w:rsid w:val="00F30873"/>
    <w:rsid w:val="00F36AC0"/>
    <w:rsid w:val="00F76004"/>
    <w:rsid w:val="00FC431F"/>
    <w:rsid w:val="00FC4F5D"/>
    <w:rsid w:val="00FD52A1"/>
    <w:rsid w:val="00FE3177"/>
    <w:rsid w:val="00FE69DC"/>
    <w:rsid w:val="00FF20CC"/>
    <w:rsid w:val="0308746E"/>
    <w:rsid w:val="05493BE8"/>
    <w:rsid w:val="0E16564E"/>
    <w:rsid w:val="0E9C16D3"/>
    <w:rsid w:val="12153EFF"/>
    <w:rsid w:val="158E4EE4"/>
    <w:rsid w:val="1B5840BA"/>
    <w:rsid w:val="20B05076"/>
    <w:rsid w:val="261E7263"/>
    <w:rsid w:val="30AD2936"/>
    <w:rsid w:val="3F2F7096"/>
    <w:rsid w:val="40923A3F"/>
    <w:rsid w:val="437329D9"/>
    <w:rsid w:val="48FB0EAF"/>
    <w:rsid w:val="4AFE1A6D"/>
    <w:rsid w:val="4B2C0118"/>
    <w:rsid w:val="55701E65"/>
    <w:rsid w:val="585307D4"/>
    <w:rsid w:val="5CC5482F"/>
    <w:rsid w:val="63D04A87"/>
    <w:rsid w:val="6F7A6600"/>
    <w:rsid w:val="74637317"/>
    <w:rsid w:val="74665A7A"/>
    <w:rsid w:val="751C3F73"/>
    <w:rsid w:val="759D7BD0"/>
    <w:rsid w:val="7F9D74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仿宋"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883" w:firstLineChars="200"/>
    </w:pPr>
    <w:rPr>
      <w:rFonts w:ascii="Times New Roman" w:hAnsi="Times New Roman" w:eastAsia="仿宋" w:cs="黑体"/>
      <w:kern w:val="2"/>
      <w:sz w:val="32"/>
      <w:szCs w:val="32"/>
      <w:lang w:val="en-US" w:eastAsia="zh-CN" w:bidi="ar-SA"/>
    </w:rPr>
  </w:style>
  <w:style w:type="character" w:default="1" w:styleId="8">
    <w:name w:val="Default Paragraph Font"/>
    <w:semiHidden/>
    <w:unhideWhenUsed/>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1"/>
    <w:link w:val="9"/>
    <w:unhideWhenUsed/>
    <w:qFormat/>
    <w:uiPriority w:val="99"/>
    <w:pPr>
      <w:spacing w:before="100" w:beforeAutospacing="1"/>
    </w:pPr>
  </w:style>
  <w:style w:type="paragraph" w:styleId="3">
    <w:name w:val="Balloon Text"/>
    <w:basedOn w:val="1"/>
    <w:link w:val="13"/>
    <w:autoRedefine/>
    <w:semiHidden/>
    <w:unhideWhenUsed/>
    <w:qFormat/>
    <w:uiPriority w:val="99"/>
    <w:pPr>
      <w:spacing w:line="240" w:lineRule="auto"/>
    </w:pPr>
    <w:rPr>
      <w:sz w:val="18"/>
      <w:szCs w:val="18"/>
    </w:rPr>
  </w:style>
  <w:style w:type="paragraph" w:styleId="4">
    <w:name w:val="footer"/>
    <w:basedOn w:val="1"/>
    <w:link w:val="12"/>
    <w:autoRedefine/>
    <w:unhideWhenUsed/>
    <w:qFormat/>
    <w:uiPriority w:val="99"/>
    <w:pPr>
      <w:tabs>
        <w:tab w:val="center" w:pos="4153"/>
        <w:tab w:val="right" w:pos="8306"/>
      </w:tabs>
      <w:snapToGrid w:val="0"/>
      <w:spacing w:line="240" w:lineRule="auto"/>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table" w:styleId="7">
    <w:name w:val="Table Grid"/>
    <w:basedOn w:val="6"/>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9">
    <w:name w:val="正文文本 Char"/>
    <w:basedOn w:val="8"/>
    <w:link w:val="2"/>
    <w:autoRedefine/>
    <w:qFormat/>
    <w:uiPriority w:val="99"/>
    <w:rPr>
      <w:rFonts w:ascii="Times New Roman" w:hAnsi="Times New Roman" w:cs="黑体"/>
      <w:szCs w:val="32"/>
    </w:rPr>
  </w:style>
  <w:style w:type="paragraph" w:styleId="10">
    <w:name w:val="List Paragraph"/>
    <w:basedOn w:val="1"/>
    <w:autoRedefine/>
    <w:qFormat/>
    <w:uiPriority w:val="34"/>
    <w:pPr>
      <w:ind w:firstLine="420"/>
    </w:pPr>
  </w:style>
  <w:style w:type="character" w:customStyle="1" w:styleId="11">
    <w:name w:val="页眉 Char"/>
    <w:basedOn w:val="8"/>
    <w:link w:val="5"/>
    <w:autoRedefine/>
    <w:qFormat/>
    <w:uiPriority w:val="99"/>
    <w:rPr>
      <w:rFonts w:ascii="Times New Roman" w:hAnsi="Times New Roman" w:cs="黑体"/>
      <w:sz w:val="18"/>
      <w:szCs w:val="18"/>
    </w:rPr>
  </w:style>
  <w:style w:type="character" w:customStyle="1" w:styleId="12">
    <w:name w:val="页脚 Char"/>
    <w:basedOn w:val="8"/>
    <w:link w:val="4"/>
    <w:autoRedefine/>
    <w:qFormat/>
    <w:uiPriority w:val="99"/>
    <w:rPr>
      <w:rFonts w:ascii="Times New Roman" w:hAnsi="Times New Roman" w:cs="黑体"/>
      <w:sz w:val="18"/>
      <w:szCs w:val="18"/>
    </w:rPr>
  </w:style>
  <w:style w:type="character" w:customStyle="1" w:styleId="13">
    <w:name w:val="批注框文本 Char"/>
    <w:basedOn w:val="8"/>
    <w:link w:val="3"/>
    <w:autoRedefine/>
    <w:semiHidden/>
    <w:qFormat/>
    <w:uiPriority w:val="99"/>
    <w:rPr>
      <w:rFonts w:ascii="Times New Roman" w:hAnsi="Times New Roman" w:cs="黑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0CD91C7-D1A3-4EB5-B9FA-04C4EDBCD077}">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36</Pages>
  <Words>2757</Words>
  <Characters>15719</Characters>
  <Lines>130</Lines>
  <Paragraphs>36</Paragraphs>
  <TotalTime>14</TotalTime>
  <ScaleCrop>false</ScaleCrop>
  <LinksUpToDate>false</LinksUpToDate>
  <CharactersWithSpaces>18440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2021-08-24T03:27:00Z</dcterms:created>
  <dc:creator>gyb1</dc:creator>
  <cp:lastModifiedBy>八公山区应急管理局</cp:lastModifiedBy>
  <cp:lastPrinted>2021-08-24T04:21:00Z</cp:lastPrinted>
  <dcterms:modified xsi:type="dcterms:W3CDTF">2024-05-21T08:05:20Z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50258D316A0542C5844364B61D3826D7_13</vt:lpwstr>
  </property>
</Properties>
</file>