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4" w:lineRule="exact"/>
        <w:jc w:val="center"/>
        <w:rPr>
          <w:rFonts w:hint="eastAsia" w:ascii="方正小标宋_GBK" w:hAnsi="Times New Roman" w:eastAsia="方正小标宋_GBK" w:cs="Times New Roman"/>
          <w:color w:val="000000"/>
          <w:sz w:val="44"/>
          <w:szCs w:val="44"/>
          <w:lang w:val="en-US" w:eastAsia="zh-CN"/>
        </w:rPr>
      </w:pPr>
      <w:r>
        <w:rPr>
          <w:rFonts w:hint="eastAsia" w:ascii="方正小标宋_GBK" w:hAnsi="Times New Roman" w:eastAsia="方正小标宋_GBK" w:cs="Times New Roman"/>
          <w:color w:val="000000"/>
          <w:sz w:val="44"/>
          <w:szCs w:val="44"/>
          <w:lang w:val="en-US" w:eastAsia="zh-CN"/>
        </w:rPr>
        <w:t>新庄孜</w:t>
      </w:r>
      <w:r>
        <w:rPr>
          <w:rFonts w:hint="eastAsia" w:ascii="方正小标宋_GBK" w:hAnsi="Times New Roman" w:eastAsia="方正小标宋_GBK" w:cs="Times New Roman"/>
          <w:color w:val="000000"/>
          <w:sz w:val="44"/>
          <w:szCs w:val="44"/>
        </w:rPr>
        <w:t>街道</w:t>
      </w:r>
      <w:r>
        <w:rPr>
          <w:rFonts w:hint="eastAsia" w:ascii="方正小标宋_GBK" w:hAnsi="Times New Roman" w:eastAsia="方正小标宋_GBK" w:cs="Times New Roman"/>
          <w:color w:val="000000"/>
          <w:sz w:val="44"/>
          <w:szCs w:val="44"/>
          <w:lang w:val="en-US" w:eastAsia="zh-CN"/>
        </w:rPr>
        <w:t>2023年工作总结及2024年工作计划</w:t>
      </w:r>
    </w:p>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sz w:val="32"/>
          <w:szCs w:val="32"/>
        </w:rPr>
      </w:pPr>
      <w:r>
        <w:rPr>
          <w:rFonts w:hint="eastAsia" w:ascii="楷体_GB2312" w:hAnsi="Times New Roman" w:eastAsia="楷体_GB2312" w:cs="Times New Roman"/>
          <w:color w:val="000000"/>
          <w:sz w:val="32"/>
          <w:szCs w:val="32"/>
          <w:lang w:val="en-US" w:eastAsia="zh-CN"/>
        </w:rPr>
        <w:t>新庄孜街道办事处</w:t>
      </w:r>
    </w:p>
    <w:p>
      <w:pPr>
        <w:spacing w:line="574" w:lineRule="exact"/>
        <w:jc w:val="center"/>
        <w:rPr>
          <w:rFonts w:ascii="仿宋_GB2312" w:eastAsia="仿宋_GB2312"/>
          <w:color w:val="000000" w:themeColor="text1"/>
          <w:sz w:val="32"/>
          <w:szCs w:val="32"/>
          <w14:textFill>
            <w14:solidFill>
              <w14:schemeClr w14:val="tx1"/>
            </w14:solidFill>
          </w14:textFill>
        </w:rPr>
      </w:pPr>
      <w:r>
        <w:rPr>
          <w:rFonts w:hint="eastAsia" w:ascii="楷体_GB2312" w:hAnsi="Times New Roman" w:eastAsia="楷体_GB2312" w:cs="Times New Roman"/>
          <w:color w:val="000000"/>
          <w:sz w:val="32"/>
          <w:szCs w:val="32"/>
        </w:rPr>
        <w:t>（202</w:t>
      </w:r>
      <w:r>
        <w:rPr>
          <w:rFonts w:hint="eastAsia" w:ascii="楷体_GB2312" w:hAnsi="Times New Roman" w:eastAsia="楷体_GB2312" w:cs="Times New Roman"/>
          <w:color w:val="000000"/>
          <w:sz w:val="32"/>
          <w:szCs w:val="32"/>
          <w:lang w:val="en-US" w:eastAsia="zh-CN"/>
        </w:rPr>
        <w:t>3</w:t>
      </w:r>
      <w:r>
        <w:rPr>
          <w:rFonts w:hint="eastAsia" w:ascii="楷体_GB2312" w:hAnsi="Times New Roman" w:eastAsia="楷体_GB2312" w:cs="Times New Roman"/>
          <w:color w:val="000000"/>
          <w:sz w:val="32"/>
          <w:szCs w:val="32"/>
        </w:rPr>
        <w:t>年</w:t>
      </w:r>
      <w:r>
        <w:rPr>
          <w:rFonts w:hint="eastAsia" w:ascii="楷体_GB2312" w:hAnsi="Times New Roman" w:eastAsia="楷体_GB2312" w:cs="Times New Roman"/>
          <w:color w:val="000000"/>
          <w:sz w:val="32"/>
          <w:szCs w:val="32"/>
          <w:lang w:val="en-US" w:eastAsia="zh-CN"/>
        </w:rPr>
        <w:t>12</w:t>
      </w:r>
      <w:r>
        <w:rPr>
          <w:rFonts w:hint="eastAsia" w:ascii="楷体_GB2312" w:hAnsi="Times New Roman" w:eastAsia="楷体_GB2312" w:cs="Times New Roman"/>
          <w:color w:val="000000"/>
          <w:sz w:val="32"/>
          <w:szCs w:val="32"/>
        </w:rPr>
        <w:t>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2023年以来，在区委、区政府的坚强领导下，新庄孜街道以习近平新时代中国特色社会主义思想为指导，全面贯彻落实区委、区政府各项决策部署，聚焦区重点工作，统筹推进经济发展、城市建设、民生工程、文明创建等各项工作。</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firstLine="640" w:firstLineChars="200"/>
        <w:jc w:val="both"/>
        <w:textAlignment w:val="auto"/>
        <w:rPr>
          <w:rFonts w:hint="eastAsia" w:ascii="黑体" w:hAnsi="黑体" w:eastAsia="黑体" w:cs="黑体"/>
          <w:bCs/>
          <w:color w:val="000000" w:themeColor="text1"/>
          <w:sz w:val="32"/>
          <w:szCs w:val="32"/>
          <w14:textFill>
            <w14:solidFill>
              <w14:schemeClr w14:val="tx1"/>
            </w14:solidFill>
          </w14:textFill>
        </w:rPr>
      </w:pPr>
      <w:r>
        <w:rPr>
          <w:rFonts w:hint="eastAsia" w:ascii="黑体" w:hAnsi="黑体" w:eastAsia="黑体" w:cs="黑体"/>
          <w:bCs/>
          <w:color w:val="000000" w:themeColor="text1"/>
          <w:sz w:val="32"/>
          <w:szCs w:val="32"/>
          <w14:textFill>
            <w14:solidFill>
              <w14:schemeClr w14:val="tx1"/>
            </w14:solidFill>
          </w14:textFill>
        </w:rPr>
        <w:t>工作开展情况</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楷体" w:hAnsi="楷体" w:eastAsia="楷体"/>
          <w:b/>
          <w:color w:val="000000" w:themeColor="text1"/>
          <w:sz w:val="32"/>
          <w:szCs w:val="32"/>
          <w14:textFill>
            <w14:solidFill>
              <w14:schemeClr w14:val="tx1"/>
            </w14:solidFill>
          </w14:textFill>
        </w:rPr>
      </w:pPr>
      <w:r>
        <w:rPr>
          <w:rFonts w:hint="eastAsia" w:ascii="楷体_GB2312" w:hAnsi="楷体_GB2312" w:eastAsia="楷体_GB2312" w:cs="楷体_GB2312"/>
          <w:b w:val="0"/>
          <w:bCs/>
          <w:color w:val="000000" w:themeColor="text1"/>
          <w:sz w:val="32"/>
          <w:szCs w:val="32"/>
          <w:lang w:eastAsia="zh-CN"/>
          <w14:textFill>
            <w14:solidFill>
              <w14:schemeClr w14:val="tx1"/>
            </w14:solidFill>
          </w14:textFill>
        </w:rPr>
        <w:t>注重</w:t>
      </w:r>
      <w:r>
        <w:rPr>
          <w:rFonts w:hint="eastAsia" w:ascii="楷体_GB2312" w:hAnsi="楷体_GB2312" w:eastAsia="楷体_GB2312" w:cs="楷体_GB2312"/>
          <w:b w:val="0"/>
          <w:bCs/>
          <w:color w:val="000000" w:themeColor="text1"/>
          <w:sz w:val="32"/>
          <w:szCs w:val="32"/>
          <w14:textFill>
            <w14:solidFill>
              <w14:schemeClr w14:val="tx1"/>
            </w14:solidFill>
          </w14:textFill>
        </w:rPr>
        <w:t>质量提升，经济</w:t>
      </w:r>
      <w:r>
        <w:rPr>
          <w:rFonts w:hint="eastAsia" w:ascii="楷体_GB2312" w:hAnsi="楷体_GB2312" w:eastAsia="楷体_GB2312" w:cs="楷体_GB2312"/>
          <w:b w:val="0"/>
          <w:bCs/>
          <w:color w:val="000000" w:themeColor="text1"/>
          <w:sz w:val="32"/>
          <w:szCs w:val="32"/>
          <w:lang w:val="en-US" w:eastAsia="zh-CN"/>
          <w14:textFill>
            <w14:solidFill>
              <w14:schemeClr w14:val="tx1"/>
            </w14:solidFill>
          </w14:textFill>
        </w:rPr>
        <w:t>社会</w:t>
      </w:r>
      <w:r>
        <w:rPr>
          <w:rFonts w:hint="eastAsia" w:ascii="楷体_GB2312" w:hAnsi="楷体_GB2312" w:eastAsia="楷体_GB2312" w:cs="楷体_GB2312"/>
          <w:b w:val="0"/>
          <w:bCs/>
          <w:color w:val="000000" w:themeColor="text1"/>
          <w:sz w:val="32"/>
          <w:szCs w:val="32"/>
          <w14:textFill>
            <w14:solidFill>
              <w14:schemeClr w14:val="tx1"/>
            </w14:solidFill>
          </w14:textFill>
        </w:rPr>
        <w:t>发展稳中求进。</w:t>
      </w:r>
    </w:p>
    <w:p>
      <w:pPr>
        <w:numPr>
          <w:ilvl w:val="0"/>
          <w:numId w:val="0"/>
        </w:numPr>
        <w:ind w:firstLine="643" w:firstLineChars="200"/>
        <w:jc w:val="both"/>
        <w:rPr>
          <w:rFonts w:hint="default" w:ascii="仿宋_GB2312" w:hAnsi="Calibri" w:eastAsia="仿宋_GB2312" w:cs="Times New Roman"/>
          <w:sz w:val="32"/>
          <w:szCs w:val="32"/>
          <w:lang w:val="en-US" w:eastAsia="zh-CN"/>
        </w:rPr>
      </w:pPr>
      <w:r>
        <w:rPr>
          <w:rFonts w:hint="eastAsia" w:ascii="Times New Roman" w:hAnsi="Times New Roman" w:eastAsia="仿宋_GB2312" w:cs="Times New Roman"/>
          <w:b/>
          <w:bCs/>
          <w:kern w:val="2"/>
          <w:sz w:val="32"/>
          <w:szCs w:val="32"/>
          <w:lang w:val="en-US" w:eastAsia="zh-CN" w:bidi="ar-SA"/>
        </w:rPr>
        <w:t>一是持续发掘固投项目。</w:t>
      </w:r>
      <w:r>
        <w:rPr>
          <w:rFonts w:hint="eastAsia" w:ascii="仿宋_GB2312" w:hAnsi="Calibri" w:eastAsia="仿宋_GB2312" w:cs="Times New Roman"/>
          <w:sz w:val="32"/>
          <w:szCs w:val="32"/>
          <w:lang w:val="en-US" w:eastAsia="zh-CN"/>
        </w:rPr>
        <w:t>1-</w:t>
      </w:r>
      <w:r>
        <w:rPr>
          <w:rFonts w:hint="default" w:ascii="仿宋_GB2312" w:hAnsi="Calibri" w:eastAsia="仿宋_GB2312" w:cs="Times New Roman"/>
          <w:sz w:val="32"/>
          <w:szCs w:val="32"/>
          <w:lang w:val="en-US" w:eastAsia="zh-CN"/>
        </w:rPr>
        <w:t>1</w:t>
      </w:r>
      <w:r>
        <w:rPr>
          <w:rFonts w:hint="eastAsia" w:ascii="仿宋_GB2312" w:hAnsi="Calibri" w:eastAsia="仿宋_GB2312" w:cs="Times New Roman"/>
          <w:sz w:val="32"/>
          <w:szCs w:val="32"/>
          <w:lang w:val="en-US" w:eastAsia="zh-CN"/>
        </w:rPr>
        <w:t>2</w:t>
      </w:r>
      <w:r>
        <w:rPr>
          <w:rFonts w:hint="default" w:ascii="仿宋_GB2312" w:hAnsi="Calibri" w:eastAsia="仿宋_GB2312" w:cs="Times New Roman"/>
          <w:sz w:val="32"/>
          <w:szCs w:val="32"/>
          <w:lang w:val="en-US" w:eastAsia="zh-CN"/>
        </w:rPr>
        <w:t>月份上报完成固定资产投资</w:t>
      </w:r>
      <w:r>
        <w:rPr>
          <w:rFonts w:hint="eastAsia" w:ascii="仿宋_GB2312" w:hAnsi="Calibri" w:eastAsia="仿宋_GB2312" w:cs="Times New Roman"/>
          <w:sz w:val="32"/>
          <w:szCs w:val="32"/>
          <w:lang w:val="en-US" w:eastAsia="zh-CN"/>
        </w:rPr>
        <w:t>5010</w:t>
      </w:r>
      <w:r>
        <w:rPr>
          <w:rFonts w:hint="default" w:ascii="仿宋_GB2312" w:hAnsi="Calibri" w:eastAsia="仿宋_GB2312" w:cs="Times New Roman"/>
          <w:sz w:val="32"/>
          <w:szCs w:val="32"/>
          <w:lang w:val="en-US" w:eastAsia="zh-CN"/>
        </w:rPr>
        <w:t>万元。其中公园道一号附属工程项目完成1060 万元</w:t>
      </w:r>
      <w:r>
        <w:rPr>
          <w:rFonts w:hint="eastAsia" w:ascii="仿宋_GB2312" w:hAnsi="Calibri" w:eastAsia="仿宋_GB2312" w:cs="Times New Roman"/>
          <w:sz w:val="32"/>
          <w:szCs w:val="32"/>
          <w:lang w:val="en-US" w:eastAsia="zh-CN"/>
        </w:rPr>
        <w:t>；</w:t>
      </w:r>
      <w:r>
        <w:rPr>
          <w:rFonts w:hint="default" w:ascii="仿宋_GB2312" w:hAnsi="Calibri" w:eastAsia="仿宋_GB2312" w:cs="Times New Roman"/>
          <w:sz w:val="32"/>
          <w:szCs w:val="32"/>
          <w:lang w:val="en-US" w:eastAsia="zh-CN"/>
        </w:rPr>
        <w:t>舜泰化工电子雷管技改项目完成 296 万</w:t>
      </w:r>
      <w:r>
        <w:rPr>
          <w:rFonts w:hint="eastAsia" w:ascii="仿宋_GB2312" w:hAnsi="Calibri" w:eastAsia="仿宋_GB2312" w:cs="Times New Roman"/>
          <w:sz w:val="32"/>
          <w:szCs w:val="32"/>
          <w:lang w:val="en-US" w:eastAsia="zh-CN"/>
        </w:rPr>
        <w:t>；</w:t>
      </w:r>
      <w:r>
        <w:rPr>
          <w:rFonts w:hint="default" w:ascii="仿宋_GB2312" w:hAnsi="Calibri" w:eastAsia="仿宋_GB2312" w:cs="Times New Roman"/>
          <w:sz w:val="32"/>
          <w:szCs w:val="32"/>
          <w:lang w:val="en-US" w:eastAsia="zh-CN"/>
        </w:rPr>
        <w:t>汽车产业园循环再利用项目完成2</w:t>
      </w:r>
      <w:r>
        <w:rPr>
          <w:rFonts w:hint="eastAsia" w:ascii="仿宋_GB2312" w:hAnsi="Calibri" w:eastAsia="仿宋_GB2312" w:cs="Times New Roman"/>
          <w:sz w:val="32"/>
          <w:szCs w:val="32"/>
          <w:lang w:val="en-US" w:eastAsia="zh-CN"/>
        </w:rPr>
        <w:t>9</w:t>
      </w:r>
      <w:r>
        <w:rPr>
          <w:rFonts w:hint="default" w:ascii="仿宋_GB2312" w:hAnsi="Calibri" w:eastAsia="仿宋_GB2312" w:cs="Times New Roman"/>
          <w:sz w:val="32"/>
          <w:szCs w:val="32"/>
          <w:lang w:val="en-US" w:eastAsia="zh-CN"/>
        </w:rPr>
        <w:t>56 万元</w:t>
      </w:r>
      <w:r>
        <w:rPr>
          <w:rFonts w:hint="eastAsia" w:ascii="仿宋_GB2312" w:hAnsi="Calibri" w:eastAsia="仿宋_GB2312" w:cs="Times New Roman"/>
          <w:sz w:val="32"/>
          <w:szCs w:val="32"/>
          <w:lang w:val="en-US" w:eastAsia="zh-CN"/>
        </w:rPr>
        <w:t>；</w:t>
      </w:r>
      <w:r>
        <w:rPr>
          <w:rFonts w:hint="default" w:ascii="仿宋_GB2312" w:hAnsi="Calibri" w:eastAsia="仿宋_GB2312" w:cs="Times New Roman"/>
          <w:sz w:val="32"/>
          <w:szCs w:val="32"/>
          <w:lang w:val="en-US" w:eastAsia="zh-CN"/>
        </w:rPr>
        <w:t xml:space="preserve"> 新建十三中学生公寓楼、食堂项目702万元。</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eastAsia" w:ascii="楷体" w:hAnsi="楷体" w:eastAsia="楷体"/>
          <w:b/>
          <w:color w:val="000000" w:themeColor="text1"/>
          <w:sz w:val="32"/>
          <w:szCs w:val="32"/>
          <w14:textFill>
            <w14:solidFill>
              <w14:schemeClr w14:val="tx1"/>
            </w14:solidFill>
          </w14:textFill>
        </w:rPr>
      </w:pPr>
      <w:r>
        <w:rPr>
          <w:rFonts w:hint="eastAsia" w:ascii="Times New Roman" w:hAnsi="Times New Roman" w:eastAsia="仿宋_GB2312" w:cs="Times New Roman"/>
          <w:b/>
          <w:bCs/>
          <w:kern w:val="2"/>
          <w:sz w:val="32"/>
          <w:szCs w:val="32"/>
          <w:lang w:val="en-US" w:eastAsia="zh-CN" w:bidi="ar-SA"/>
        </w:rPr>
        <w:t>二是经济指标稳步提升。</w:t>
      </w:r>
      <w:r>
        <w:rPr>
          <w:rFonts w:hint="default" w:ascii="仿宋_GB2312" w:hAnsi="Calibri" w:eastAsia="仿宋_GB2312" w:cs="Times New Roman"/>
          <w:sz w:val="32"/>
          <w:szCs w:val="32"/>
          <w:lang w:val="en-US" w:eastAsia="zh-CN"/>
        </w:rPr>
        <w:t>1-1</w:t>
      </w:r>
      <w:r>
        <w:rPr>
          <w:rFonts w:hint="eastAsia" w:ascii="仿宋_GB2312" w:hAnsi="Calibri" w:eastAsia="仿宋_GB2312" w:cs="Times New Roman"/>
          <w:sz w:val="32"/>
          <w:szCs w:val="32"/>
          <w:lang w:val="en-US" w:eastAsia="zh-CN"/>
        </w:rPr>
        <w:t>2</w:t>
      </w:r>
      <w:r>
        <w:rPr>
          <w:rFonts w:hint="default" w:ascii="仿宋_GB2312" w:hAnsi="Calibri" w:eastAsia="仿宋_GB2312" w:cs="Times New Roman"/>
          <w:sz w:val="32"/>
          <w:szCs w:val="32"/>
          <w:lang w:val="en-US" w:eastAsia="zh-CN"/>
        </w:rPr>
        <w:t>月</w:t>
      </w:r>
      <w:r>
        <w:rPr>
          <w:rFonts w:hint="eastAsia" w:ascii="仿宋_GB2312" w:hAnsi="Calibri" w:eastAsia="仿宋_GB2312" w:cs="Times New Roman"/>
          <w:sz w:val="32"/>
          <w:szCs w:val="32"/>
          <w:lang w:val="en-US" w:eastAsia="zh-CN"/>
        </w:rPr>
        <w:t>，</w:t>
      </w:r>
      <w:r>
        <w:rPr>
          <w:rFonts w:hint="default" w:ascii="仿宋_GB2312" w:hAnsi="Calibri" w:eastAsia="仿宋_GB2312" w:cs="Times New Roman"/>
          <w:sz w:val="32"/>
          <w:szCs w:val="32"/>
          <w:lang w:val="en-US" w:eastAsia="zh-CN"/>
        </w:rPr>
        <w:t>六家限上企业工业总产值累计为</w:t>
      </w:r>
      <w:r>
        <w:rPr>
          <w:rFonts w:hint="eastAsia" w:ascii="仿宋_GB2312" w:hAnsi="Calibri" w:eastAsia="仿宋_GB2312" w:cs="Times New Roman"/>
          <w:sz w:val="32"/>
          <w:szCs w:val="32"/>
          <w:lang w:val="en-US" w:eastAsia="zh-CN"/>
        </w:rPr>
        <w:t>590888.6</w:t>
      </w:r>
      <w:r>
        <w:rPr>
          <w:rFonts w:hint="default" w:ascii="仿宋_GB2312" w:hAnsi="Calibri" w:eastAsia="仿宋_GB2312" w:cs="Times New Roman"/>
          <w:sz w:val="32"/>
          <w:szCs w:val="32"/>
          <w:lang w:val="en-US" w:eastAsia="zh-CN"/>
        </w:rPr>
        <w:t>千元，同比增长</w:t>
      </w:r>
      <w:r>
        <w:rPr>
          <w:rFonts w:hint="eastAsia" w:ascii="仿宋_GB2312" w:hAnsi="Calibri" w:eastAsia="仿宋_GB2312" w:cs="Times New Roman"/>
          <w:sz w:val="32"/>
          <w:szCs w:val="32"/>
          <w:lang w:val="en-US" w:eastAsia="zh-CN"/>
        </w:rPr>
        <w:t>4.82</w:t>
      </w:r>
      <w:r>
        <w:rPr>
          <w:rFonts w:hint="default" w:ascii="仿宋_GB2312" w:hAnsi="Calibri" w:eastAsia="仿宋_GB2312" w:cs="Times New Roman"/>
          <w:sz w:val="32"/>
          <w:szCs w:val="32"/>
          <w:lang w:val="en-US" w:eastAsia="zh-CN"/>
        </w:rPr>
        <w:t>%</w:t>
      </w:r>
      <w:r>
        <w:rPr>
          <w:rFonts w:hint="eastAsia" w:ascii="仿宋_GB2312" w:hAnsi="Calibri" w:eastAsia="仿宋_GB2312" w:cs="Times New Roman"/>
          <w:sz w:val="32"/>
          <w:szCs w:val="32"/>
          <w:lang w:val="en-US" w:eastAsia="zh-CN"/>
        </w:rPr>
        <w:t>；</w:t>
      </w:r>
      <w:r>
        <w:rPr>
          <w:rFonts w:hint="default" w:ascii="仿宋_GB2312" w:hAnsi="Calibri" w:eastAsia="仿宋_GB2312" w:cs="Times New Roman"/>
          <w:sz w:val="32"/>
          <w:szCs w:val="32"/>
          <w:lang w:val="en-US" w:eastAsia="zh-CN"/>
        </w:rPr>
        <w:t>四家限上商贸营业额为</w:t>
      </w:r>
      <w:r>
        <w:rPr>
          <w:rFonts w:hint="eastAsia" w:ascii="仿宋_GB2312" w:hAnsi="Calibri" w:eastAsia="仿宋_GB2312" w:cs="Times New Roman"/>
          <w:sz w:val="32"/>
          <w:szCs w:val="32"/>
          <w:lang w:val="en-US" w:eastAsia="zh-CN"/>
        </w:rPr>
        <w:t>172180</w:t>
      </w:r>
      <w:r>
        <w:rPr>
          <w:rFonts w:hint="default" w:ascii="仿宋_GB2312" w:hAnsi="Calibri" w:eastAsia="仿宋_GB2312" w:cs="Times New Roman"/>
          <w:sz w:val="32"/>
          <w:szCs w:val="32"/>
          <w:lang w:val="en-US" w:eastAsia="zh-CN"/>
        </w:rPr>
        <w:t>千元，同比增长</w:t>
      </w:r>
      <w:r>
        <w:rPr>
          <w:rFonts w:hint="eastAsia" w:ascii="仿宋_GB2312" w:hAnsi="Calibri" w:eastAsia="仿宋_GB2312" w:cs="Times New Roman"/>
          <w:sz w:val="32"/>
          <w:szCs w:val="32"/>
          <w:lang w:val="en-US" w:eastAsia="zh-CN"/>
        </w:rPr>
        <w:t>61.42</w:t>
      </w:r>
      <w:r>
        <w:rPr>
          <w:rFonts w:hint="default" w:ascii="仿宋_GB2312" w:hAnsi="Calibri" w:eastAsia="仿宋_GB2312" w:cs="Times New Roman"/>
          <w:sz w:val="32"/>
          <w:szCs w:val="32"/>
          <w:lang w:val="en-US" w:eastAsia="zh-CN"/>
        </w:rPr>
        <w:t>%。</w:t>
      </w:r>
      <w:r>
        <w:rPr>
          <w:rFonts w:hint="eastAsia" w:ascii="Times New Roman" w:hAnsi="Times New Roman" w:eastAsia="仿宋_GB2312" w:cs="Times New Roman"/>
          <w:b/>
          <w:bCs/>
          <w:kern w:val="2"/>
          <w:sz w:val="32"/>
          <w:szCs w:val="32"/>
          <w:lang w:val="en-US" w:eastAsia="zh-CN" w:bidi="ar-SA"/>
        </w:rPr>
        <w:t>三是持续优化营商环境。</w:t>
      </w:r>
      <w:r>
        <w:rPr>
          <w:rFonts w:hint="eastAsia" w:ascii="Times New Roman" w:hAnsi="Times New Roman" w:eastAsia="仿宋_GB2312" w:cs="Times New Roman"/>
          <w:b w:val="0"/>
          <w:bCs w:val="0"/>
          <w:kern w:val="2"/>
          <w:sz w:val="32"/>
          <w:szCs w:val="32"/>
          <w:lang w:val="en-US" w:eastAsia="zh-CN" w:bidi="ar-SA"/>
        </w:rPr>
        <w:t>我辖区现有企业443家，通过助企纾困“五进”行动，走访千余次</w:t>
      </w:r>
      <w:r>
        <w:rPr>
          <w:rFonts w:hint="eastAsia" w:eastAsia="仿宋_GB2312" w:cs="Times New Roman"/>
          <w:b w:val="0"/>
          <w:bCs w:val="0"/>
          <w:kern w:val="2"/>
          <w:sz w:val="32"/>
          <w:szCs w:val="32"/>
          <w:lang w:val="en-US" w:eastAsia="zh-CN" w:bidi="ar-SA"/>
        </w:rPr>
        <w:t>，切实帮助企业解决问题</w:t>
      </w:r>
      <w:r>
        <w:rPr>
          <w:rFonts w:hint="eastAsia" w:ascii="Times New Roman" w:hAnsi="Times New Roman" w:eastAsia="仿宋_GB2312" w:cs="Times New Roman"/>
          <w:b w:val="0"/>
          <w:bCs w:val="0"/>
          <w:kern w:val="2"/>
          <w:sz w:val="32"/>
          <w:szCs w:val="32"/>
          <w:lang w:val="en-US" w:eastAsia="zh-CN" w:bidi="ar-SA"/>
        </w:rPr>
        <w:t>。</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楷体_GB2312" w:hAnsi="楷体_GB2312" w:eastAsia="楷体_GB2312" w:cs="楷体_GB2312"/>
          <w:b w:val="0"/>
          <w:bCs/>
          <w:color w:val="000000" w:themeColor="text1"/>
          <w:sz w:val="32"/>
          <w:szCs w:val="32"/>
          <w14:textFill>
            <w14:solidFill>
              <w14:schemeClr w14:val="tx1"/>
            </w14:solidFill>
          </w14:textFill>
        </w:rPr>
      </w:pPr>
      <w:r>
        <w:rPr>
          <w:rFonts w:hint="eastAsia" w:ascii="楷体_GB2312" w:hAnsi="楷体_GB2312" w:eastAsia="楷体_GB2312" w:cs="楷体_GB2312"/>
          <w:b w:val="0"/>
          <w:bCs/>
          <w:color w:val="000000" w:themeColor="text1"/>
          <w:sz w:val="32"/>
          <w:szCs w:val="32"/>
          <w14:textFill>
            <w14:solidFill>
              <w14:schemeClr w14:val="tx1"/>
            </w14:solidFill>
          </w14:textFill>
        </w:rPr>
        <w:t>主动担当作为，维护群众生命财产安全。</w:t>
      </w:r>
    </w:p>
    <w:p>
      <w:pPr>
        <w:keepNext w:val="0"/>
        <w:keepLines w:val="0"/>
        <w:pageBreakBefore w:val="0"/>
        <w:widowControl/>
        <w:kinsoku/>
        <w:wordWrap/>
        <w:overflowPunct/>
        <w:topLinePunct w:val="0"/>
        <w:autoSpaceDE/>
        <w:autoSpaceDN/>
        <w:bidi w:val="0"/>
        <w:adjustRightInd/>
        <w:snapToGrid/>
        <w:spacing w:line="600" w:lineRule="exact"/>
        <w:ind w:left="0" w:firstLine="643" w:firstLineChars="200"/>
        <w:jc w:val="both"/>
        <w:textAlignment w:val="auto"/>
        <w:rPr>
          <w:rFonts w:hint="eastAsia" w:ascii="楷体" w:hAnsi="楷体" w:eastAsia="楷体"/>
          <w:b/>
          <w:color w:val="000000" w:themeColor="text1"/>
          <w:sz w:val="32"/>
          <w:szCs w:val="32"/>
          <w14:textFill>
            <w14:solidFill>
              <w14:schemeClr w14:val="tx1"/>
            </w14:solidFill>
          </w14:textFill>
        </w:rPr>
      </w:pPr>
      <w:r>
        <w:rPr>
          <w:rFonts w:hint="eastAsia" w:ascii="Times New Roman" w:hAnsi="Times New Roman" w:eastAsia="仿宋_GB2312" w:cs="Times New Roman"/>
          <w:b/>
          <w:bCs/>
          <w:kern w:val="2"/>
          <w:sz w:val="32"/>
          <w:szCs w:val="32"/>
          <w:lang w:val="en-US" w:eastAsia="zh-CN" w:bidi="ar-SA"/>
        </w:rPr>
        <w:t>一是落实安全生产责任</w:t>
      </w:r>
      <w:r>
        <w:rPr>
          <w:rFonts w:hint="eastAsia" w:ascii="Times New Roman" w:hAnsi="Times New Roman" w:eastAsia="仿宋_GB2312" w:cs="Times New Roman"/>
          <w:b w:val="0"/>
          <w:bCs w:val="0"/>
          <w:kern w:val="2"/>
          <w:sz w:val="32"/>
          <w:szCs w:val="32"/>
          <w:lang w:val="en-US" w:eastAsia="zh-CN" w:bidi="ar-SA"/>
        </w:rPr>
        <w:t>。将习近平总书记关于安全生产重要论述纳入街道理论中心组学习内容进行学习，召开街道燃气安全排查培训会议5次，督促各社区安全员下载燃气专项检查app，每周上报燃气消防安全专项整治工作周统计表与燃气消防安全风险隐患排查对照表，建立燃气安全隐患排查台账。截止目前，已经排查100多家餐饮单位，1家罐装气经营单位，联合消防大队进行检查2次，今年无重大安全事故发生。</w:t>
      </w:r>
      <w:r>
        <w:rPr>
          <w:rFonts w:hint="eastAsia" w:ascii="仿宋_GB2312" w:hAnsi="仿宋_GB2312" w:eastAsia="仿宋_GB2312" w:cs="仿宋_GB2312"/>
          <w:b/>
          <w:color w:val="000000" w:themeColor="text1"/>
          <w:kern w:val="0"/>
          <w:sz w:val="32"/>
          <w:szCs w:val="32"/>
          <w14:textFill>
            <w14:solidFill>
              <w14:schemeClr w14:val="tx1"/>
            </w14:solidFill>
          </w14:textFill>
        </w:rPr>
        <w:t>二是</w:t>
      </w:r>
      <w:r>
        <w:rPr>
          <w:rFonts w:hint="eastAsia" w:ascii="Times New Roman" w:hAnsi="Times New Roman" w:eastAsia="仿宋_GB2312"/>
          <w:b/>
          <w:color w:val="000000" w:themeColor="text1"/>
          <w:kern w:val="0"/>
          <w:sz w:val="32"/>
          <w:szCs w:val="32"/>
          <w:lang w:bidi="ar"/>
          <w14:textFill>
            <w14:solidFill>
              <w14:schemeClr w14:val="tx1"/>
            </w14:solidFill>
          </w14:textFill>
        </w:rPr>
        <w:t>抓好</w:t>
      </w:r>
      <w:r>
        <w:rPr>
          <w:rFonts w:hint="eastAsia" w:ascii="Times New Roman" w:hAnsi="Times New Roman" w:eastAsia="仿宋_GB2312"/>
          <w:b/>
          <w:color w:val="000000" w:themeColor="text1"/>
          <w:kern w:val="0"/>
          <w:sz w:val="32"/>
          <w:szCs w:val="32"/>
          <w:lang w:val="en-US" w:eastAsia="zh-CN" w:bidi="ar"/>
          <w14:textFill>
            <w14:solidFill>
              <w14:schemeClr w14:val="tx1"/>
            </w14:solidFill>
          </w14:textFill>
        </w:rPr>
        <w:t>防灾减灾</w:t>
      </w:r>
      <w:r>
        <w:rPr>
          <w:rFonts w:hint="eastAsia" w:ascii="Times New Roman" w:hAnsi="Times New Roman" w:eastAsia="仿宋_GB2312"/>
          <w:b/>
          <w:color w:val="000000" w:themeColor="text1"/>
          <w:kern w:val="0"/>
          <w:sz w:val="32"/>
          <w:szCs w:val="32"/>
          <w:lang w:bidi="ar"/>
          <w14:textFill>
            <w14:solidFill>
              <w14:schemeClr w14:val="tx1"/>
            </w14:solidFill>
          </w14:textFill>
        </w:rPr>
        <w:t>工作</w:t>
      </w:r>
      <w:r>
        <w:rPr>
          <w:rFonts w:hint="eastAsia" w:ascii="仿宋_GB2312" w:hAnsi="仿宋_GB2312" w:eastAsia="仿宋_GB2312" w:cs="仿宋_GB2312"/>
          <w:b/>
          <w:color w:val="000000" w:themeColor="text1"/>
          <w:sz w:val="32"/>
          <w:szCs w:val="32"/>
          <w14:textFill>
            <w14:solidFill>
              <w14:schemeClr w14:val="tx1"/>
            </w14:solidFill>
          </w14:textFill>
        </w:rPr>
        <w:t>。</w:t>
      </w:r>
      <w:r>
        <w:rPr>
          <w:rFonts w:hint="eastAsia" w:ascii="Times New Roman" w:hAnsi="Times New Roman" w:eastAsia="仿宋_GB2312" w:cs="Times New Roman"/>
          <w:b w:val="0"/>
          <w:bCs w:val="0"/>
          <w:kern w:val="2"/>
          <w:sz w:val="32"/>
          <w:szCs w:val="32"/>
          <w:lang w:val="en-US" w:eastAsia="zh-CN" w:bidi="ar-SA"/>
        </w:rPr>
        <w:t>大力开展宣传活动，制作条幅40余条，努力营造良好宣传氛围。团结社区省级“综合减灾示范社区”申报成功，今年将申报创建国家级减灾示范社区。治东社区今年申报创建省级示范社区。</w:t>
      </w:r>
      <w:r>
        <w:rPr>
          <w:rFonts w:hint="eastAsia" w:ascii="仿宋_GB2312" w:hAnsi="仿宋_GB2312" w:eastAsia="仿宋_GB2312" w:cs="仿宋_GB2312"/>
          <w:b/>
          <w:bCs w:val="0"/>
          <w:color w:val="000000" w:themeColor="text1"/>
          <w:sz w:val="32"/>
          <w:szCs w:val="32"/>
          <w14:textFill>
            <w14:solidFill>
              <w14:schemeClr w14:val="tx1"/>
            </w14:solidFill>
          </w14:textFill>
        </w:rPr>
        <w:t>三</w:t>
      </w:r>
      <w:r>
        <w:rPr>
          <w:rFonts w:hint="eastAsia" w:ascii="仿宋_GB2312" w:hAnsi="仿宋_GB2312" w:eastAsia="仿宋_GB2312" w:cs="仿宋_GB2312"/>
          <w:b/>
          <w:color w:val="000000" w:themeColor="text1"/>
          <w:sz w:val="32"/>
          <w:szCs w:val="32"/>
          <w14:textFill>
            <w14:solidFill>
              <w14:schemeClr w14:val="tx1"/>
            </w14:solidFill>
          </w14:textFill>
        </w:rPr>
        <w:t>是</w:t>
      </w:r>
      <w:r>
        <w:rPr>
          <w:rFonts w:hint="eastAsia" w:ascii="仿宋_GB2312" w:hAnsi="仿宋_GB2312" w:eastAsia="仿宋_GB2312" w:cs="仿宋_GB2312"/>
          <w:b/>
          <w:bCs w:val="0"/>
          <w:color w:val="000000" w:themeColor="text1"/>
          <w:sz w:val="32"/>
          <w:szCs w:val="32"/>
          <w:lang w:val="en-US" w:eastAsia="zh-CN"/>
          <w14:textFill>
            <w14:solidFill>
              <w14:schemeClr w14:val="tx1"/>
            </w14:solidFill>
          </w14:textFill>
        </w:rPr>
        <w:t>扎实</w:t>
      </w:r>
      <w:r>
        <w:rPr>
          <w:rFonts w:hint="eastAsia" w:ascii="仿宋_GB2312" w:hAnsi="仿宋_GB2312" w:eastAsia="仿宋_GB2312" w:cs="仿宋_GB2312"/>
          <w:b/>
          <w:bCs w:val="0"/>
          <w:color w:val="000000" w:themeColor="text1"/>
          <w:sz w:val="32"/>
          <w:szCs w:val="32"/>
          <w14:textFill>
            <w14:solidFill>
              <w14:schemeClr w14:val="tx1"/>
            </w14:solidFill>
          </w14:textFill>
        </w:rPr>
        <w:t>防溺水工作。</w:t>
      </w:r>
      <w:r>
        <w:rPr>
          <w:rFonts w:hint="eastAsia" w:ascii="Times New Roman" w:hAnsi="Times New Roman" w:eastAsia="仿宋_GB2312" w:cs="Times New Roman"/>
          <w:b w:val="0"/>
          <w:bCs w:val="0"/>
          <w:kern w:val="2"/>
          <w:sz w:val="32"/>
          <w:szCs w:val="32"/>
          <w:lang w:val="en-US" w:eastAsia="zh-CN" w:bidi="ar-SA"/>
        </w:rPr>
        <w:t>街道于3月中旬开始部署防溺水相关工作，各塘口资料台账和“四个一”已落实到位，对辖区留守儿童、单亲家庭、孤寡老人等重点人群进行摸排并形成台账，加强对重点人群的宣传引导。通过线上线下相结合的方式积极开展防溺水集中宣传活动10余场，制作宣传条幅30余条，重点水域安排专人每天进行巡逻。</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楷体_GB2312" w:hAnsi="楷体_GB2312" w:eastAsia="楷体_GB2312" w:cs="楷体_GB2312"/>
          <w:b w:val="0"/>
          <w:bCs/>
          <w:color w:val="000000" w:themeColor="text1"/>
          <w:sz w:val="32"/>
          <w:szCs w:val="32"/>
          <w14:textFill>
            <w14:solidFill>
              <w14:schemeClr w14:val="tx1"/>
            </w14:solidFill>
          </w14:textFill>
        </w:rPr>
      </w:pPr>
      <w:r>
        <w:rPr>
          <w:rFonts w:hint="eastAsia" w:ascii="楷体_GB2312" w:hAnsi="楷体_GB2312" w:eastAsia="楷体_GB2312" w:cs="楷体_GB2312"/>
          <w:b w:val="0"/>
          <w:bCs/>
          <w:color w:val="000000" w:themeColor="text1"/>
          <w:sz w:val="32"/>
          <w:szCs w:val="32"/>
          <w14:textFill>
            <w14:solidFill>
              <w14:schemeClr w14:val="tx1"/>
            </w14:solidFill>
          </w14:textFill>
        </w:rPr>
        <w:t>强化综合治理，守护社会秩序安定团结。</w:t>
      </w:r>
    </w:p>
    <w:p>
      <w:pPr>
        <w:keepNext w:val="0"/>
        <w:keepLines w:val="0"/>
        <w:pageBreakBefore w:val="0"/>
        <w:widowControl w:val="0"/>
        <w:kinsoku/>
        <w:wordWrap/>
        <w:overflowPunct/>
        <w:topLinePunct w:val="0"/>
        <w:autoSpaceDE/>
        <w:autoSpaceDN/>
        <w:bidi w:val="0"/>
        <w:adjustRightInd/>
        <w:snapToGrid/>
        <w:spacing w:line="600" w:lineRule="exact"/>
        <w:ind w:left="0" w:firstLine="643" w:firstLineChars="200"/>
        <w:jc w:val="both"/>
        <w:textAlignment w:val="auto"/>
        <w:rPr>
          <w:rFonts w:hint="default" w:ascii="Times New Roman" w:hAnsi="Times New Roman" w:eastAsia="仿宋_GB2312" w:cs="Times New Roman"/>
          <w:b w:val="0"/>
          <w:bCs w:val="0"/>
          <w:kern w:val="2"/>
          <w:sz w:val="32"/>
          <w:szCs w:val="32"/>
          <w:lang w:val="en-US" w:eastAsia="zh-CN" w:bidi="ar-SA"/>
        </w:rPr>
      </w:pPr>
      <w:r>
        <w:rPr>
          <w:rFonts w:hint="eastAsia" w:ascii="仿宋_GB2312" w:hAnsi="楷体" w:eastAsia="仿宋_GB2312" w:cs="仿宋_GB2312"/>
          <w:b/>
          <w:color w:val="000000" w:themeColor="text1"/>
          <w:sz w:val="32"/>
          <w:szCs w:val="32"/>
          <w14:textFill>
            <w14:solidFill>
              <w14:schemeClr w14:val="tx1"/>
            </w14:solidFill>
          </w14:textFill>
        </w:rPr>
        <w:t>一</w:t>
      </w:r>
      <w:r>
        <w:rPr>
          <w:rFonts w:hint="eastAsia" w:ascii="仿宋_GB2312" w:hAnsi="楷体" w:eastAsia="仿宋_GB2312" w:cs="仿宋_GB2312"/>
          <w:b/>
          <w:color w:val="000000" w:themeColor="text1"/>
          <w:sz w:val="32"/>
          <w:szCs w:val="32"/>
          <w:lang w:eastAsia="zh-CN"/>
          <w14:textFill>
            <w14:solidFill>
              <w14:schemeClr w14:val="tx1"/>
            </w14:solidFill>
          </w14:textFill>
        </w:rPr>
        <w:t>是</w:t>
      </w:r>
      <w:r>
        <w:rPr>
          <w:rFonts w:hint="eastAsia" w:ascii="仿宋_GB2312" w:hAnsi="楷体" w:eastAsia="仿宋_GB2312" w:cs="仿宋_GB2312"/>
          <w:b/>
          <w:color w:val="000000" w:themeColor="text1"/>
          <w:sz w:val="32"/>
          <w:szCs w:val="32"/>
          <w14:textFill>
            <w14:solidFill>
              <w14:schemeClr w14:val="tx1"/>
            </w14:solidFill>
          </w14:textFill>
        </w:rPr>
        <w:t>抓矛盾调解。</w:t>
      </w:r>
      <w:r>
        <w:rPr>
          <w:rFonts w:hint="eastAsia" w:ascii="Times New Roman" w:hAnsi="Times New Roman" w:eastAsia="仿宋_GB2312" w:cs="Times New Roman"/>
          <w:b w:val="0"/>
          <w:bCs w:val="0"/>
          <w:kern w:val="2"/>
          <w:sz w:val="32"/>
          <w:szCs w:val="32"/>
          <w:lang w:val="en-US" w:eastAsia="zh-CN" w:bidi="ar-SA"/>
        </w:rPr>
        <w:t>街道定期对地区矛盾纠纷隐患和突出治安问题进行拉网式排查，实行排查零报告制度。全年排查矛盾纠纷133件，与去年同期数量有所上升，调处率100％。</w:t>
      </w:r>
      <w:r>
        <w:rPr>
          <w:rFonts w:hint="default" w:ascii="Times New Roman" w:hAnsi="Times New Roman" w:eastAsia="仿宋_GB2312" w:cs="Times New Roman"/>
          <w:b w:val="0"/>
          <w:bCs w:val="0"/>
          <w:kern w:val="2"/>
          <w:sz w:val="32"/>
          <w:szCs w:val="32"/>
          <w:lang w:val="en-US" w:eastAsia="zh-CN" w:bidi="ar-SA"/>
        </w:rPr>
        <w:t>市长热线</w:t>
      </w:r>
      <w:r>
        <w:rPr>
          <w:rFonts w:hint="eastAsia" w:ascii="Times New Roman" w:hAnsi="Times New Roman" w:eastAsia="仿宋_GB2312" w:cs="Times New Roman"/>
          <w:b w:val="0"/>
          <w:bCs w:val="0"/>
          <w:kern w:val="2"/>
          <w:sz w:val="32"/>
          <w:szCs w:val="32"/>
          <w:lang w:val="en-US" w:eastAsia="zh-CN" w:bidi="ar-SA"/>
        </w:rPr>
        <w:t>696件</w:t>
      </w:r>
      <w:r>
        <w:rPr>
          <w:rFonts w:hint="default" w:ascii="Times New Roman" w:hAnsi="Times New Roman" w:eastAsia="仿宋_GB2312" w:cs="Times New Roman"/>
          <w:b w:val="0"/>
          <w:bCs w:val="0"/>
          <w:kern w:val="2"/>
          <w:sz w:val="32"/>
          <w:szCs w:val="32"/>
          <w:lang w:val="en-US" w:eastAsia="zh-CN" w:bidi="ar-SA"/>
        </w:rPr>
        <w:t>，</w:t>
      </w:r>
      <w:r>
        <w:rPr>
          <w:rFonts w:hint="eastAsia" w:ascii="Times New Roman" w:hAnsi="Times New Roman" w:eastAsia="仿宋_GB2312" w:cs="Times New Roman"/>
          <w:b w:val="0"/>
          <w:bCs w:val="0"/>
          <w:kern w:val="2"/>
          <w:sz w:val="32"/>
          <w:szCs w:val="32"/>
          <w:lang w:val="en-US" w:eastAsia="zh-CN" w:bidi="ar-SA"/>
        </w:rPr>
        <w:t>回复</w:t>
      </w:r>
      <w:r>
        <w:rPr>
          <w:rFonts w:hint="default" w:ascii="Times New Roman" w:hAnsi="Times New Roman" w:eastAsia="仿宋_GB2312" w:cs="Times New Roman"/>
          <w:b w:val="0"/>
          <w:bCs w:val="0"/>
          <w:kern w:val="2"/>
          <w:sz w:val="32"/>
          <w:szCs w:val="32"/>
          <w:lang w:val="en-US" w:eastAsia="zh-CN" w:bidi="ar-SA"/>
        </w:rPr>
        <w:t>率100%</w:t>
      </w:r>
      <w:r>
        <w:rPr>
          <w:rFonts w:hint="eastAsia" w:ascii="Times New Roman" w:hAnsi="Times New Roman" w:eastAsia="仿宋_GB2312" w:cs="Times New Roman"/>
          <w:b w:val="0"/>
          <w:bCs w:val="0"/>
          <w:kern w:val="2"/>
          <w:sz w:val="32"/>
          <w:szCs w:val="32"/>
          <w:lang w:val="en-US" w:eastAsia="zh-CN" w:bidi="ar-SA"/>
        </w:rPr>
        <w:t>。地区上半年无重大矛盾纠纷事件，未发生重大群体性事件及赴省进京事件。二</w:t>
      </w:r>
      <w:r>
        <w:rPr>
          <w:rFonts w:hint="eastAsia" w:ascii="仿宋_GB2312" w:hAnsi="仿宋_GB2312" w:eastAsia="仿宋_GB2312" w:cs="仿宋_GB2312"/>
          <w:b/>
          <w:color w:val="000000" w:themeColor="text1"/>
          <w:sz w:val="32"/>
          <w:szCs w:val="32"/>
          <w:lang w:val="en-US" w:eastAsia="zh-CN"/>
          <w14:textFill>
            <w14:solidFill>
              <w14:schemeClr w14:val="tx1"/>
            </w14:solidFill>
          </w14:textFill>
        </w:rPr>
        <w:t>是</w:t>
      </w:r>
      <w:r>
        <w:rPr>
          <w:rFonts w:hint="eastAsia" w:ascii="仿宋_GB2312" w:hAnsi="仿宋_GB2312" w:eastAsia="仿宋_GB2312" w:cs="仿宋_GB2312"/>
          <w:b/>
          <w:color w:val="000000" w:themeColor="text1"/>
          <w:sz w:val="32"/>
          <w:szCs w:val="32"/>
          <w14:textFill>
            <w14:solidFill>
              <w14:schemeClr w14:val="tx1"/>
            </w14:solidFill>
          </w14:textFill>
        </w:rPr>
        <w:t>抓平安宣传。</w:t>
      </w:r>
      <w:r>
        <w:rPr>
          <w:rFonts w:hint="eastAsia" w:ascii="Times New Roman" w:hAnsi="Times New Roman" w:eastAsia="仿宋_GB2312" w:cs="Times New Roman"/>
          <w:b w:val="0"/>
          <w:bCs w:val="0"/>
          <w:kern w:val="2"/>
          <w:sz w:val="32"/>
          <w:szCs w:val="32"/>
          <w:lang w:val="en-US" w:eastAsia="zh-CN" w:bidi="ar-SA"/>
        </w:rPr>
        <w:t>持续开展反诈骗、反邪教、扫黑除恶、双提升等各类工作宣传活动，制作各类宣传条幅140条，发放宣传单页20000份。</w:t>
      </w:r>
      <w:r>
        <w:rPr>
          <w:rFonts w:hint="eastAsia" w:ascii="仿宋_GB2312" w:eastAsia="仿宋_GB2312"/>
          <w:sz w:val="32"/>
          <w:szCs w:val="32"/>
        </w:rPr>
        <w:t>严密防范和严厉打击境内外敌对势力、民族分裂势力、宗教极端势力和“法轮功”、“全能神”等邪教组织的渗透颠覆与分裂破坏活动，深入开展反邪教警示教育</w:t>
      </w:r>
      <w:r>
        <w:rPr>
          <w:rFonts w:hint="eastAsia" w:ascii="仿宋_GB2312" w:eastAsia="仿宋_GB2312"/>
          <w:sz w:val="32"/>
          <w:szCs w:val="32"/>
          <w:lang w:eastAsia="zh-CN"/>
        </w:rPr>
        <w:t>。</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楷体_GB2312" w:hAnsi="楷体_GB2312" w:eastAsia="楷体_GB2312" w:cs="楷体_GB2312"/>
          <w:b w:val="0"/>
          <w:bCs/>
          <w:color w:val="000000" w:themeColor="text1"/>
          <w:sz w:val="32"/>
          <w:szCs w:val="32"/>
          <w14:textFill>
            <w14:solidFill>
              <w14:schemeClr w14:val="tx1"/>
            </w14:solidFill>
          </w14:textFill>
        </w:rPr>
      </w:pPr>
      <w:r>
        <w:rPr>
          <w:rFonts w:hint="eastAsia" w:ascii="楷体_GB2312" w:hAnsi="楷体_GB2312" w:eastAsia="楷体_GB2312" w:cs="楷体_GB2312"/>
          <w:b w:val="0"/>
          <w:bCs/>
          <w:color w:val="000000" w:themeColor="text1"/>
          <w:sz w:val="32"/>
          <w:szCs w:val="32"/>
          <w:lang w:val="en-US" w:eastAsia="zh-CN"/>
          <w14:textFill>
            <w14:solidFill>
              <w14:schemeClr w14:val="tx1"/>
            </w14:solidFill>
          </w14:textFill>
        </w:rPr>
        <w:t>聚焦城市建设</w:t>
      </w:r>
      <w:r>
        <w:rPr>
          <w:rFonts w:hint="eastAsia" w:ascii="楷体_GB2312" w:hAnsi="楷体_GB2312" w:eastAsia="楷体_GB2312" w:cs="楷体_GB2312"/>
          <w:b w:val="0"/>
          <w:bCs/>
          <w:color w:val="000000" w:themeColor="text1"/>
          <w:sz w:val="32"/>
          <w:szCs w:val="32"/>
          <w14:textFill>
            <w14:solidFill>
              <w14:schemeClr w14:val="tx1"/>
            </w14:solidFill>
          </w14:textFill>
        </w:rPr>
        <w:t>，持续</w:t>
      </w:r>
      <w:r>
        <w:rPr>
          <w:rFonts w:hint="eastAsia" w:ascii="楷体_GB2312" w:hAnsi="楷体_GB2312" w:eastAsia="楷体_GB2312" w:cs="楷体_GB2312"/>
          <w:b w:val="0"/>
          <w:bCs/>
          <w:color w:val="000000" w:themeColor="text1"/>
          <w:sz w:val="32"/>
          <w:szCs w:val="32"/>
          <w:lang w:val="en-US" w:eastAsia="zh-CN"/>
          <w14:textFill>
            <w14:solidFill>
              <w14:schemeClr w14:val="tx1"/>
            </w14:solidFill>
          </w14:textFill>
        </w:rPr>
        <w:t>提升</w:t>
      </w:r>
      <w:r>
        <w:rPr>
          <w:rFonts w:hint="eastAsia" w:ascii="楷体_GB2312" w:hAnsi="楷体_GB2312" w:eastAsia="楷体_GB2312" w:cs="楷体_GB2312"/>
          <w:b w:val="0"/>
          <w:bCs/>
          <w:color w:val="000000" w:themeColor="text1"/>
          <w:sz w:val="32"/>
          <w:szCs w:val="32"/>
          <w:lang w:eastAsia="zh-CN"/>
          <w14:textFill>
            <w14:solidFill>
              <w14:schemeClr w14:val="tx1"/>
            </w14:solidFill>
          </w14:textFill>
        </w:rPr>
        <w:t>城区</w:t>
      </w:r>
      <w:r>
        <w:rPr>
          <w:rFonts w:hint="eastAsia" w:ascii="楷体_GB2312" w:hAnsi="楷体_GB2312" w:eastAsia="楷体_GB2312" w:cs="楷体_GB2312"/>
          <w:b w:val="0"/>
          <w:bCs/>
          <w:color w:val="000000" w:themeColor="text1"/>
          <w:sz w:val="32"/>
          <w:szCs w:val="32"/>
          <w:lang w:val="en-US" w:eastAsia="zh-CN"/>
          <w14:textFill>
            <w14:solidFill>
              <w14:schemeClr w14:val="tx1"/>
            </w14:solidFill>
          </w14:textFill>
        </w:rPr>
        <w:t>环境</w:t>
      </w:r>
      <w:r>
        <w:rPr>
          <w:rFonts w:hint="eastAsia" w:ascii="楷体_GB2312" w:hAnsi="楷体_GB2312" w:eastAsia="楷体_GB2312" w:cs="楷体_GB2312"/>
          <w:b w:val="0"/>
          <w:bCs/>
          <w:color w:val="000000" w:themeColor="text1"/>
          <w:sz w:val="32"/>
          <w:szCs w:val="32"/>
          <w:lang w:eastAsia="zh-CN"/>
          <w14:textFill>
            <w14:solidFill>
              <w14:schemeClr w14:val="tx1"/>
            </w14:solidFill>
          </w14:textFill>
        </w:rPr>
        <w:t>面貌</w:t>
      </w:r>
      <w:r>
        <w:rPr>
          <w:rFonts w:hint="eastAsia" w:ascii="楷体_GB2312" w:hAnsi="楷体_GB2312" w:eastAsia="楷体_GB2312" w:cs="楷体_GB2312"/>
          <w:b w:val="0"/>
          <w:bCs/>
          <w:color w:val="000000" w:themeColor="text1"/>
          <w:sz w:val="32"/>
          <w:szCs w:val="32"/>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ind w:firstLine="643" w:firstLineChars="200"/>
        <w:jc w:val="both"/>
        <w:textAlignment w:val="auto"/>
        <w:rPr>
          <w:rFonts w:hint="eastAsia" w:ascii="Times New Roman" w:hAnsi="Times New Roman" w:eastAsia="仿宋_GB2312" w:cs="Times New Roman"/>
          <w:b w:val="0"/>
          <w:bCs w:val="0"/>
          <w:kern w:val="2"/>
          <w:sz w:val="32"/>
          <w:szCs w:val="32"/>
          <w:lang w:val="en-US" w:eastAsia="zh-CN" w:bidi="ar-SA"/>
        </w:rPr>
      </w:pPr>
      <w:r>
        <w:rPr>
          <w:rFonts w:hint="eastAsia" w:ascii="仿宋_GB2312" w:eastAsia="仿宋_GB2312"/>
          <w:b/>
          <w:bCs/>
          <w:sz w:val="32"/>
          <w:szCs w:val="32"/>
          <w:lang w:val="en-US" w:eastAsia="zh-CN"/>
        </w:rPr>
        <w:t>一是常态化开展文明创建。</w:t>
      </w:r>
      <w:r>
        <w:rPr>
          <w:rFonts w:hint="eastAsia" w:ascii="Times New Roman" w:hAnsi="Times New Roman" w:eastAsia="仿宋_GB2312" w:cs="Times New Roman"/>
          <w:b w:val="0"/>
          <w:bCs w:val="0"/>
          <w:kern w:val="2"/>
          <w:sz w:val="32"/>
          <w:szCs w:val="32"/>
          <w:lang w:val="en-US" w:eastAsia="zh-CN" w:bidi="ar-SA"/>
        </w:rPr>
        <w:t>街道及各社区联合共建单位开展文明创建集中整治60余次，清理乱张贴、乱涂画及小广告300余处，清理垃圾200余处，规范停车500余处，开展集中宣传活动48次，发放宣传品、环保袋1500余份。整治八仙街、兴业街、大沟楼巷、桃园楼巷、建南小区、和平小区、劳动小区、菜市场周边的凌乱线缆，集中整治铁路沿线环境卫生10次，不定期巡查整治若干次。集中整治飞线充电42次，增设大型公益广告及绘制文化墙8处，安装公园座椅7把，修和解决路灯不亮问题、增设路灯25处，下水道不通30处，联系燃气公司解决居民反映燃气安装问题，解决工字楼安装楼梯扶手问题1处，更换、维修澜山和府、工字楼、洗云居小区、和平小区健身器材20处，安装宠物粪便收集箱40处，维修桃源巷破损墙面120平方。</w:t>
      </w:r>
      <w:r>
        <w:rPr>
          <w:rFonts w:hint="eastAsia" w:ascii="仿宋_GB2312" w:eastAsia="仿宋_GB2312"/>
          <w:b/>
          <w:bCs/>
          <w:sz w:val="32"/>
          <w:szCs w:val="32"/>
          <w:lang w:val="en-US" w:eastAsia="zh-CN"/>
        </w:rPr>
        <w:t>二是认真开展各项环保巡查。</w:t>
      </w:r>
      <w:r>
        <w:rPr>
          <w:rFonts w:hint="eastAsia" w:ascii="Times New Roman" w:hAnsi="Times New Roman" w:eastAsia="仿宋_GB2312" w:cs="Times New Roman"/>
          <w:b w:val="0"/>
          <w:bCs w:val="0"/>
          <w:kern w:val="2"/>
          <w:sz w:val="32"/>
          <w:szCs w:val="32"/>
          <w:lang w:val="en-US" w:eastAsia="zh-CN" w:bidi="ar-SA"/>
        </w:rPr>
        <w:t>定期对辖区内餐饮油烟、企业堆场、经营性浴池、大涧沟治理、工地扬尘等环保重点领域开展巡查，今年我辖区PM2.5、PM10指标较去年显著下降，大气污染明显好转。开展秸秆禁烧宣传工作，在小区、道路、重点地段悬挂、张贴秸秆禁烧宣传横幅60条，强化群众禁烧意识，确保实现全年零火点工作目标。</w:t>
      </w:r>
      <w:r>
        <w:rPr>
          <w:rFonts w:hint="eastAsia" w:ascii="仿宋_GB2312" w:eastAsia="仿宋_GB2312"/>
          <w:b/>
          <w:bCs/>
          <w:sz w:val="32"/>
          <w:szCs w:val="32"/>
          <w:lang w:val="en-US" w:eastAsia="zh-CN"/>
        </w:rPr>
        <w:t>三是开展棚户区改造工作</w:t>
      </w:r>
      <w:r>
        <w:rPr>
          <w:rFonts w:hint="eastAsia" w:ascii="Times New Roman" w:hAnsi="Times New Roman" w:eastAsia="仿宋_GB2312" w:cs="Times New Roman"/>
          <w:b w:val="0"/>
          <w:bCs w:val="0"/>
          <w:kern w:val="2"/>
          <w:sz w:val="32"/>
          <w:szCs w:val="32"/>
          <w:lang w:val="en-US" w:eastAsia="zh-CN" w:bidi="ar-SA"/>
        </w:rPr>
        <w:t>。建北村二期经过组织摸房，顺利完成绝大部分群众的异地安置，目前应安置39户，实际安置32户，全面推进棚户区改造工作，不断提高辖区居民的居住质量和生活水平。</w:t>
      </w:r>
      <w:r>
        <w:rPr>
          <w:rFonts w:hint="eastAsia" w:ascii="仿宋_GB2312" w:eastAsia="仿宋_GB2312"/>
          <w:b/>
          <w:bCs/>
          <w:sz w:val="32"/>
          <w:szCs w:val="32"/>
          <w:lang w:val="en-US" w:eastAsia="zh-CN"/>
        </w:rPr>
        <w:t>四是自建房隐患大排查大整治工作</w:t>
      </w:r>
      <w:r>
        <w:rPr>
          <w:rFonts w:hint="eastAsia" w:ascii="Times New Roman" w:hAnsi="Times New Roman" w:eastAsia="仿宋_GB2312" w:cs="Times New Roman"/>
          <w:b w:val="0"/>
          <w:bCs w:val="0"/>
          <w:kern w:val="2"/>
          <w:sz w:val="32"/>
          <w:szCs w:val="32"/>
          <w:lang w:val="en-US" w:eastAsia="zh-CN" w:bidi="ar-SA"/>
        </w:rPr>
        <w:t>。经过去年摸排、整治，我街道现存在自建房危房17户未销号，实际工作中已落实危房鉴定、入户告知、拉警戒线、贴警告牌等管控措施，通过鉴定我街道17户危房10户鉴定B级无需维修加固，5户C级已维修加固，2户D级已劝离居民至其他安全房屋居住。</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楷体_GB2312" w:hAnsi="楷体_GB2312" w:eastAsia="楷体_GB2312" w:cs="楷体_GB2312"/>
          <w:b w:val="0"/>
          <w:bCs/>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b w:val="0"/>
          <w:bCs/>
          <w:color w:val="000000" w:themeColor="text1"/>
          <w:sz w:val="32"/>
          <w:szCs w:val="32"/>
          <w:lang w:val="en-US" w:eastAsia="zh-CN"/>
          <w14:textFill>
            <w14:solidFill>
              <w14:schemeClr w14:val="tx1"/>
            </w14:solidFill>
          </w14:textFill>
        </w:rPr>
        <w:t>深化惠民服务，完善健全社会保障体系。</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default" w:ascii="Times New Roman" w:hAnsi="Times New Roman" w:eastAsia="仿宋_GB2312" w:cs="Times New Roman"/>
          <w:b w:val="0"/>
          <w:bCs w:val="0"/>
          <w:kern w:val="2"/>
          <w:sz w:val="32"/>
          <w:szCs w:val="32"/>
          <w:lang w:val="en-US" w:eastAsia="zh-CN" w:bidi="ar-SA"/>
        </w:rPr>
      </w:pPr>
      <w:r>
        <w:rPr>
          <w:rFonts w:hint="eastAsia" w:ascii="仿宋_GB2312" w:hAnsi="仿宋_GB2312" w:eastAsia="仿宋_GB2312" w:cs="仿宋_GB2312"/>
          <w:b/>
          <w:color w:val="000000" w:themeColor="text1"/>
          <w:sz w:val="32"/>
          <w:szCs w:val="32"/>
          <w14:textFill>
            <w14:solidFill>
              <w14:schemeClr w14:val="tx1"/>
            </w14:solidFill>
          </w14:textFill>
        </w:rPr>
        <w:t>一是积极完善社会救助体系</w:t>
      </w:r>
      <w:r>
        <w:rPr>
          <w:rFonts w:hint="eastAsia" w:ascii="仿宋_GB2312" w:hAnsi="仿宋_GB2312" w:eastAsia="仿宋_GB2312" w:cs="仿宋_GB2312"/>
          <w:b/>
          <w:color w:val="000000" w:themeColor="text1"/>
          <w:sz w:val="32"/>
          <w:szCs w:val="32"/>
          <w:lang w:eastAsia="zh-CN"/>
          <w14:textFill>
            <w14:solidFill>
              <w14:schemeClr w14:val="tx1"/>
            </w14:solidFill>
          </w14:textFill>
        </w:rPr>
        <w:t>。</w:t>
      </w:r>
      <w:r>
        <w:rPr>
          <w:rFonts w:hint="eastAsia" w:ascii="Times New Roman" w:hAnsi="Times New Roman" w:eastAsia="仿宋_GB2312" w:cs="Times New Roman"/>
          <w:b w:val="0"/>
          <w:bCs w:val="0"/>
          <w:kern w:val="2"/>
          <w:sz w:val="32"/>
          <w:szCs w:val="32"/>
          <w:lang w:val="en-US" w:eastAsia="zh-CN" w:bidi="ar-SA"/>
        </w:rPr>
        <w:t>城市低保、特困人员供养等保障范围持续扩大，做到应保尽保，不漏一人。截止目前，现有城镇低保477户，发放金额480594人；享受孤儿补贴10人，发放金额11000元；享受特困供养19户，发放金额25435元。积极推进重特大疾病救助工作，高度关注残疾人、老年人、妇女儿童等社会困难群众。今年对108户重度残疾人家庭进行无障碍改造、6户困难家庭进行了适老化改造。</w:t>
      </w:r>
      <w:r>
        <w:rPr>
          <w:rFonts w:hint="eastAsia" w:ascii="仿宋_GB2312" w:hAnsi="仿宋_GB2312" w:eastAsia="仿宋_GB2312" w:cs="仿宋_GB2312"/>
          <w:b/>
          <w:color w:val="000000" w:themeColor="text1"/>
          <w:sz w:val="32"/>
          <w:szCs w:val="32"/>
          <w14:textFill>
            <w14:solidFill>
              <w14:schemeClr w14:val="tx1"/>
            </w14:solidFill>
          </w14:textFill>
        </w:rPr>
        <w:t>二是提升社会保障服务水平。</w:t>
      </w:r>
      <w:r>
        <w:rPr>
          <w:rFonts w:hint="eastAsia" w:ascii="Times New Roman" w:hAnsi="Times New Roman" w:eastAsia="仿宋_GB2312" w:cs="Times New Roman"/>
          <w:b w:val="0"/>
          <w:bCs w:val="0"/>
          <w:kern w:val="2"/>
          <w:sz w:val="32"/>
          <w:szCs w:val="32"/>
          <w:lang w:val="en-US" w:eastAsia="zh-CN" w:bidi="ar-SA"/>
        </w:rPr>
        <w:t>加大城乡居民养老保险宣传，扩大社会宣传面。城乡居民养老保险续保任务数560人，完成数780人，完成任务的139%；</w:t>
      </w:r>
      <w:r>
        <w:rPr>
          <w:rFonts w:hint="eastAsia" w:ascii="仿宋_GB2312" w:hAnsi="仿宋_GB2312" w:eastAsia="仿宋_GB2312" w:cs="仿宋_GB2312"/>
          <w:sz w:val="32"/>
          <w:szCs w:val="32"/>
          <w:lang w:eastAsia="zh-CN"/>
        </w:rPr>
        <w:t>新增</w:t>
      </w:r>
      <w:r>
        <w:rPr>
          <w:rFonts w:hint="eastAsia" w:ascii="仿宋_GB2312" w:hAnsi="仿宋_GB2312" w:eastAsia="仿宋_GB2312" w:cs="仿宋_GB2312"/>
          <w:sz w:val="32"/>
          <w:szCs w:val="32"/>
        </w:rPr>
        <w:t>城乡</w:t>
      </w:r>
      <w:r>
        <w:rPr>
          <w:rFonts w:hint="eastAsia" w:ascii="仿宋_GB2312" w:hAnsi="仿宋_GB2312" w:eastAsia="仿宋_GB2312" w:cs="仿宋_GB2312"/>
          <w:sz w:val="32"/>
          <w:szCs w:val="32"/>
          <w:lang w:eastAsia="zh-CN"/>
        </w:rPr>
        <w:t>居民</w:t>
      </w:r>
      <w:r>
        <w:rPr>
          <w:rFonts w:hint="eastAsia" w:ascii="仿宋_GB2312" w:hAnsi="仿宋_GB2312" w:eastAsia="仿宋_GB2312" w:cs="仿宋_GB2312"/>
          <w:sz w:val="32"/>
          <w:szCs w:val="32"/>
        </w:rPr>
        <w:t>养老保险</w:t>
      </w:r>
      <w:r>
        <w:rPr>
          <w:rFonts w:hint="eastAsia" w:ascii="仿宋_GB2312" w:hAnsi="仿宋_GB2312" w:eastAsia="仿宋_GB2312" w:cs="仿宋_GB2312"/>
          <w:sz w:val="32"/>
          <w:szCs w:val="32"/>
          <w:lang w:eastAsia="zh-CN"/>
        </w:rPr>
        <w:t>任务</w:t>
      </w:r>
      <w:r>
        <w:rPr>
          <w:rFonts w:hint="eastAsia" w:ascii="仿宋_GB2312" w:hAnsi="仿宋_GB2312" w:eastAsia="仿宋_GB2312" w:cs="仿宋_GB2312"/>
          <w:sz w:val="32"/>
          <w:szCs w:val="32"/>
          <w:lang w:val="en-US" w:eastAsia="zh-CN"/>
        </w:rPr>
        <w:t>30人，完成数113人，完成任务</w:t>
      </w:r>
      <w:r>
        <w:rPr>
          <w:rFonts w:hint="eastAsia" w:ascii="仿宋_GB2312" w:hAnsi="仿宋_GB2312" w:eastAsia="仿宋_GB2312" w:cs="仿宋_GB2312"/>
          <w:sz w:val="32"/>
          <w:szCs w:val="32"/>
          <w:highlight w:val="none"/>
          <w:lang w:val="en-US" w:eastAsia="zh-CN"/>
        </w:rPr>
        <w:t>的376%。</w:t>
      </w:r>
      <w:r>
        <w:rPr>
          <w:rFonts w:hint="eastAsia" w:ascii="Times New Roman" w:hAnsi="Times New Roman" w:eastAsia="仿宋_GB2312" w:cs="Times New Roman"/>
          <w:b w:val="0"/>
          <w:bCs w:val="0"/>
          <w:kern w:val="2"/>
          <w:sz w:val="32"/>
          <w:szCs w:val="32"/>
          <w:lang w:val="en-US" w:eastAsia="zh-CN" w:bidi="ar-SA"/>
        </w:rPr>
        <w:t>开发公益性岗位66个，促进就业创业。</w:t>
      </w:r>
      <w:r>
        <w:rPr>
          <w:rFonts w:hint="eastAsia" w:ascii="仿宋_GB2312" w:hAnsi="仿宋_GB2312" w:eastAsia="仿宋_GB2312" w:cs="仿宋_GB2312"/>
          <w:b/>
          <w:color w:val="000000" w:themeColor="text1"/>
          <w:sz w:val="32"/>
          <w:szCs w:val="32"/>
          <w14:textFill>
            <w14:solidFill>
              <w14:schemeClr w14:val="tx1"/>
            </w14:solidFill>
          </w14:textFill>
        </w:rPr>
        <w:t>三是扎实开展卫</w:t>
      </w:r>
      <w:r>
        <w:rPr>
          <w:rFonts w:hint="eastAsia" w:ascii="仿宋_GB2312" w:hAnsi="仿宋_GB2312" w:eastAsia="仿宋_GB2312" w:cs="仿宋_GB2312"/>
          <w:b/>
          <w:color w:val="000000" w:themeColor="text1"/>
          <w:sz w:val="32"/>
          <w:szCs w:val="32"/>
          <w:lang w:eastAsia="zh-CN"/>
          <w14:textFill>
            <w14:solidFill>
              <w14:schemeClr w14:val="tx1"/>
            </w14:solidFill>
          </w14:textFill>
        </w:rPr>
        <w:t>健民生工程</w:t>
      </w:r>
      <w:r>
        <w:rPr>
          <w:rFonts w:hint="eastAsia" w:ascii="仿宋_GB2312" w:hAnsi="仿宋_GB2312" w:eastAsia="仿宋_GB2312" w:cs="仿宋_GB2312"/>
          <w:b/>
          <w:color w:val="000000" w:themeColor="text1"/>
          <w:sz w:val="32"/>
          <w:szCs w:val="32"/>
          <w14:textFill>
            <w14:solidFill>
              <w14:schemeClr w14:val="tx1"/>
            </w14:solidFill>
          </w14:textFill>
        </w:rPr>
        <w:t>。</w:t>
      </w:r>
      <w:r>
        <w:rPr>
          <w:rFonts w:hint="eastAsia" w:ascii="Times New Roman" w:hAnsi="Times New Roman" w:eastAsia="仿宋_GB2312" w:cs="Times New Roman"/>
          <w:b w:val="0"/>
          <w:bCs w:val="0"/>
          <w:kern w:val="2"/>
          <w:sz w:val="32"/>
          <w:szCs w:val="32"/>
          <w:lang w:val="en-US" w:eastAsia="zh-CN" w:bidi="ar-SA"/>
        </w:rPr>
        <w:t>完成39对免费孕前优生健康检查全年工作；完成早孕随访人数177人次，其中3人怀孕。为新增失独、残疾家庭办理特别扶助11户18人，为全部170名特扶对象（包括1名手术并发症人员）申报特别扶助金1484880元；为2023年意外死亡的计划生育家庭发放紧急慰藉金21000元并在来年纳入特扶；做好团结社区创建国家级示范性老年友好型社区评估工作。</w:t>
      </w:r>
      <w:r>
        <w:rPr>
          <w:rFonts w:hint="eastAsia" w:ascii="Times New Roman" w:hAnsi="Times New Roman" w:eastAsia="仿宋_GB2312" w:cs="Times New Roman"/>
          <w:b/>
          <w:bCs/>
          <w:kern w:val="2"/>
          <w:sz w:val="32"/>
          <w:szCs w:val="32"/>
          <w:lang w:val="en-US" w:eastAsia="zh-CN" w:bidi="ar-SA"/>
        </w:rPr>
        <w:t>四是暖民心行动见行见效。</w:t>
      </w:r>
      <w:r>
        <w:rPr>
          <w:rFonts w:hint="eastAsia" w:ascii="Times New Roman" w:hAnsi="Times New Roman" w:eastAsia="仿宋_GB2312" w:cs="Times New Roman"/>
          <w:b w:val="0"/>
          <w:bCs w:val="0"/>
          <w:kern w:val="2"/>
          <w:sz w:val="32"/>
          <w:szCs w:val="32"/>
          <w:lang w:val="en-US" w:eastAsia="zh-CN" w:bidi="ar-SA"/>
        </w:rPr>
        <w:t>全力落实“就业促进”“老年助餐”“老有所学”等暖民心行动，不断完善“15分钟生活圈”体系，完成社区老年食堂及助餐点、托幼行动试点建设，着力补齐民生短板，兜牢民生底线。</w:t>
      </w:r>
    </w:p>
    <w:p>
      <w:pPr>
        <w:pStyle w:val="12"/>
        <w:keepNext w:val="0"/>
        <w:keepLines w:val="0"/>
        <w:pageBreakBefore w:val="0"/>
        <w:kinsoku/>
        <w:wordWrap/>
        <w:overflowPunct/>
        <w:topLinePunct w:val="0"/>
        <w:autoSpaceDE/>
        <w:autoSpaceDN/>
        <w:bidi w:val="0"/>
        <w:adjustRightInd/>
        <w:snapToGrid/>
        <w:spacing w:line="600" w:lineRule="exact"/>
        <w:ind w:left="0" w:firstLine="640" w:firstLineChars="200"/>
        <w:jc w:val="both"/>
        <w:textAlignment w:val="auto"/>
        <w:rPr>
          <w:rFonts w:hint="default" w:ascii="方正黑体简体" w:hAnsi="方正黑体简体" w:eastAsia="方正黑体简体" w:cs="楷体"/>
          <w:bCs/>
          <w:color w:val="000000" w:themeColor="text1"/>
          <w:kern w:val="2"/>
          <w:sz w:val="32"/>
          <w:szCs w:val="32"/>
          <w:lang w:val="en-US" w:eastAsia="zh-CN" w:bidi="ar-SA"/>
          <w14:textFill>
            <w14:solidFill>
              <w14:schemeClr w14:val="tx1"/>
            </w14:solidFill>
          </w14:textFill>
        </w:rPr>
      </w:pPr>
      <w:r>
        <w:rPr>
          <w:rFonts w:hint="eastAsia" w:ascii="方正黑体简体" w:hAnsi="方正黑体简体" w:eastAsia="方正黑体简体" w:cs="楷体"/>
          <w:bCs/>
          <w:color w:val="000000" w:themeColor="text1"/>
          <w:kern w:val="2"/>
          <w:sz w:val="32"/>
          <w:szCs w:val="32"/>
          <w:lang w:val="en-US" w:eastAsia="zh-CN" w:bidi="ar-SA"/>
          <w14:textFill>
            <w14:solidFill>
              <w14:schemeClr w14:val="tx1"/>
            </w14:solidFill>
          </w14:textFill>
        </w:rPr>
        <w:t>二、存在问题</w:t>
      </w:r>
    </w:p>
    <w:p>
      <w:pPr>
        <w:pStyle w:val="12"/>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Times New Roman" w:eastAsia="仿宋_GB2312" w:cs="Times New Roman"/>
          <w:kern w:val="2"/>
          <w:sz w:val="32"/>
          <w:szCs w:val="32"/>
          <w:lang w:val="en-US" w:eastAsia="zh-CN" w:bidi="ar-SA"/>
        </w:rPr>
      </w:pPr>
      <w:r>
        <w:rPr>
          <w:rFonts w:hint="eastAsia" w:ascii="楷体" w:hAnsi="楷体" w:eastAsia="楷体" w:cs="仿宋_GB2312"/>
          <w:b/>
          <w:color w:val="000000" w:themeColor="text1"/>
          <w:kern w:val="2"/>
          <w:sz w:val="32"/>
          <w:szCs w:val="32"/>
          <w:lang w:val="en-US" w:eastAsia="zh-CN" w:bidi="ar-SA"/>
          <w14:textFill>
            <w14:solidFill>
              <w14:schemeClr w14:val="tx1"/>
            </w14:solidFill>
          </w14:textFill>
        </w:rPr>
        <w:t>一是街道社区工作基础比较薄弱</w:t>
      </w:r>
      <w:r>
        <w:rPr>
          <w:rFonts w:hint="eastAsia" w:ascii="仿宋_GB2312" w:hAnsi="Times New Roman" w:eastAsia="仿宋_GB2312" w:cs="Times New Roman"/>
          <w:kern w:val="2"/>
          <w:sz w:val="32"/>
          <w:szCs w:val="32"/>
          <w:lang w:val="en-US" w:eastAsia="zh-CN" w:bidi="ar-SA"/>
        </w:rPr>
        <w:t>。</w:t>
      </w:r>
      <w:r>
        <w:rPr>
          <w:rFonts w:hint="eastAsia" w:ascii="仿宋_GB2312" w:hAnsi="Times New Roman" w:eastAsia="仿宋_GB2312" w:cs="Times New Roman"/>
          <w:b w:val="0"/>
          <w:bCs w:val="0"/>
          <w:kern w:val="2"/>
          <w:sz w:val="32"/>
          <w:szCs w:val="32"/>
          <w:lang w:val="en-US" w:eastAsia="zh-CN" w:bidi="ar-SA"/>
        </w:rPr>
        <w:t>一方面</w:t>
      </w:r>
      <w:r>
        <w:rPr>
          <w:rFonts w:hint="eastAsia" w:ascii="仿宋_GB2312" w:hAnsi="Times New Roman" w:eastAsia="仿宋_GB2312" w:cs="Times New Roman"/>
          <w:kern w:val="2"/>
          <w:sz w:val="32"/>
          <w:szCs w:val="32"/>
          <w:lang w:val="en-US" w:eastAsia="zh-CN" w:bidi="ar-SA"/>
        </w:rPr>
        <w:t>街道社区基础设施投入不足，</w:t>
      </w:r>
      <w:r>
        <w:rPr>
          <w:rFonts w:hint="eastAsia" w:ascii="仿宋_GB2312" w:hAnsi="仿宋_GB2312" w:eastAsia="仿宋_GB2312" w:cs="仿宋_GB2312"/>
          <w:sz w:val="32"/>
          <w:szCs w:val="32"/>
          <w:lang w:val="en-US" w:eastAsia="zh-CN"/>
        </w:rPr>
        <w:t>街道党群服务中心面积未达到要求，治西社区党群服务中心不在一楼且未安装电梯</w:t>
      </w:r>
      <w:r>
        <w:rPr>
          <w:rFonts w:hint="eastAsia" w:ascii="仿宋_GB2312" w:hAnsi="Times New Roman" w:eastAsia="仿宋_GB2312" w:cs="Times New Roman"/>
          <w:kern w:val="2"/>
          <w:sz w:val="32"/>
          <w:szCs w:val="32"/>
          <w:lang w:val="en-US" w:eastAsia="zh-CN" w:bidi="ar-SA"/>
        </w:rPr>
        <w:t>；</w:t>
      </w:r>
      <w:r>
        <w:rPr>
          <w:rFonts w:hint="eastAsia" w:ascii="仿宋_GB2312" w:hAnsi="Times New Roman" w:eastAsia="仿宋_GB2312" w:cs="Times New Roman"/>
          <w:b w:val="0"/>
          <w:bCs w:val="0"/>
          <w:kern w:val="2"/>
          <w:sz w:val="32"/>
          <w:szCs w:val="32"/>
          <w:lang w:val="en-US" w:eastAsia="zh-CN" w:bidi="ar-SA"/>
        </w:rPr>
        <w:t>另一方面</w:t>
      </w:r>
      <w:r>
        <w:rPr>
          <w:rFonts w:hint="eastAsia" w:ascii="仿宋_GB2312" w:hAnsi="Times New Roman" w:eastAsia="仿宋_GB2312" w:cs="Times New Roman"/>
          <w:kern w:val="2"/>
          <w:sz w:val="32"/>
          <w:szCs w:val="32"/>
          <w:lang w:val="en-US" w:eastAsia="zh-CN" w:bidi="ar-SA"/>
        </w:rPr>
        <w:t>专职服务队伍力量不足，街道及社区专职工作人员较少，承担起日益繁重的工作任务时压力过大。</w:t>
      </w:r>
    </w:p>
    <w:p>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jc w:val="both"/>
        <w:textAlignment w:val="auto"/>
        <w:rPr>
          <w:rFonts w:hint="eastAsia"/>
          <w:lang w:val="en-US" w:eastAsia="zh-CN"/>
        </w:rPr>
      </w:pPr>
      <w:r>
        <w:rPr>
          <w:rFonts w:hint="eastAsia" w:ascii="楷体" w:hAnsi="楷体" w:eastAsia="楷体" w:cs="仿宋_GB2312"/>
          <w:b/>
          <w:color w:val="000000" w:themeColor="text1"/>
          <w:kern w:val="2"/>
          <w:sz w:val="32"/>
          <w:szCs w:val="32"/>
          <w:lang w:val="en-US" w:eastAsia="zh-CN" w:bidi="ar-SA"/>
          <w14:textFill>
            <w14:solidFill>
              <w14:schemeClr w14:val="tx1"/>
            </w14:solidFill>
          </w14:textFill>
        </w:rPr>
        <w:t>二是经济发展效果还不明显。</w:t>
      </w:r>
      <w:r>
        <w:rPr>
          <w:rFonts w:hint="eastAsia" w:ascii="仿宋_GB2312" w:hAnsi="仿宋_GB2312" w:eastAsia="仿宋_GB2312" w:cs="仿宋_GB2312"/>
          <w:sz w:val="32"/>
          <w:szCs w:val="32"/>
          <w:lang w:val="en-US" w:eastAsia="zh-CN"/>
        </w:rPr>
        <w:t>经济发展陷入瓶颈，缺乏项目支撑，</w:t>
      </w:r>
      <w:r>
        <w:rPr>
          <w:rFonts w:hint="eastAsia" w:ascii="Times New Roman" w:hAnsi="Times New Roman" w:eastAsia="仿宋_GB2312" w:cs="Times New Roman"/>
          <w:b w:val="0"/>
          <w:bCs w:val="0"/>
          <w:kern w:val="2"/>
          <w:sz w:val="32"/>
          <w:szCs w:val="32"/>
          <w:lang w:val="en-US" w:eastAsia="zh-CN" w:bidi="ar-SA"/>
        </w:rPr>
        <w:t>部分项目停滞不前。建北村二期项目现棚改政策与原政策不同，如何适用政策存在困难。八公山区冷链物流产业园因权属移交问题，导致施工无法开展，项目进展困难。</w:t>
      </w:r>
    </w:p>
    <w:p>
      <w:pPr>
        <w:pStyle w:val="12"/>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kern w:val="2"/>
          <w:sz w:val="32"/>
          <w:szCs w:val="32"/>
          <w:lang w:val="en-US" w:eastAsia="zh-CN" w:bidi="ar-SA"/>
        </w:rPr>
      </w:pPr>
      <w:r>
        <w:rPr>
          <w:rFonts w:hint="eastAsia" w:ascii="楷体" w:hAnsi="楷体" w:eastAsia="楷体" w:cs="楷体"/>
          <w:i w:val="0"/>
          <w:iCs w:val="0"/>
          <w:caps w:val="0"/>
          <w:color w:val="333333"/>
          <w:spacing w:val="0"/>
          <w:sz w:val="32"/>
          <w:szCs w:val="32"/>
          <w:lang w:val="en-US" w:eastAsia="zh-CN"/>
        </w:rPr>
        <w:t>三</w:t>
      </w:r>
      <w:r>
        <w:rPr>
          <w:rFonts w:hint="eastAsia" w:ascii="楷体" w:hAnsi="楷体" w:eastAsia="楷体" w:cs="仿宋_GB2312"/>
          <w:b/>
          <w:color w:val="000000" w:themeColor="text1"/>
          <w:kern w:val="2"/>
          <w:sz w:val="32"/>
          <w:szCs w:val="32"/>
          <w:lang w:val="en-US" w:eastAsia="zh-CN" w:bidi="ar-SA"/>
          <w14:textFill>
            <w14:solidFill>
              <w14:schemeClr w14:val="tx1"/>
            </w14:solidFill>
          </w14:textFill>
        </w:rPr>
        <w:t>是基层治理质效还不够好。</w:t>
      </w:r>
      <w:r>
        <w:rPr>
          <w:rFonts w:hint="eastAsia" w:ascii="Times New Roman" w:hAnsi="Times New Roman" w:eastAsia="仿宋_GB2312" w:cs="Times New Roman"/>
          <w:b w:val="0"/>
          <w:bCs w:val="0"/>
          <w:kern w:val="2"/>
          <w:sz w:val="32"/>
          <w:szCs w:val="32"/>
          <w:lang w:val="en-US" w:eastAsia="zh-CN" w:bidi="ar-SA"/>
        </w:rPr>
        <w:t>小区党支部、业委会虽基本组建完成，但功能定位不明确，作用发挥有限，整体合力未能显现；小区党支部、业主委员会和物业服务企业</w:t>
      </w:r>
      <w:r>
        <w:rPr>
          <w:rFonts w:hint="default" w:ascii="Times New Roman" w:hAnsi="Times New Roman" w:eastAsia="仿宋_GB2312" w:cs="Times New Roman"/>
          <w:b w:val="0"/>
          <w:bCs w:val="0"/>
          <w:kern w:val="2"/>
          <w:sz w:val="32"/>
          <w:szCs w:val="32"/>
          <w:lang w:val="en-US" w:eastAsia="zh-CN" w:bidi="ar-SA"/>
        </w:rPr>
        <w:t>“</w:t>
      </w:r>
      <w:r>
        <w:rPr>
          <w:rFonts w:hint="eastAsia" w:ascii="Times New Roman" w:hAnsi="Times New Roman" w:eastAsia="仿宋_GB2312" w:cs="Times New Roman"/>
          <w:b w:val="0"/>
          <w:bCs w:val="0"/>
          <w:kern w:val="2"/>
          <w:sz w:val="32"/>
          <w:szCs w:val="32"/>
          <w:lang w:val="en-US" w:eastAsia="zh-CN" w:bidi="ar-SA"/>
        </w:rPr>
        <w:t>三方议事</w:t>
      </w:r>
      <w:r>
        <w:rPr>
          <w:rFonts w:hint="default" w:ascii="Times New Roman" w:hAnsi="Times New Roman" w:eastAsia="仿宋_GB2312" w:cs="Times New Roman"/>
          <w:b w:val="0"/>
          <w:bCs w:val="0"/>
          <w:kern w:val="2"/>
          <w:sz w:val="32"/>
          <w:szCs w:val="32"/>
          <w:lang w:val="en-US" w:eastAsia="zh-CN" w:bidi="ar-SA"/>
        </w:rPr>
        <w:t>”</w:t>
      </w:r>
      <w:r>
        <w:rPr>
          <w:rFonts w:hint="eastAsia" w:ascii="Times New Roman" w:hAnsi="Times New Roman" w:eastAsia="仿宋_GB2312" w:cs="Times New Roman"/>
          <w:b w:val="0"/>
          <w:bCs w:val="0"/>
          <w:kern w:val="2"/>
          <w:sz w:val="32"/>
          <w:szCs w:val="32"/>
          <w:lang w:val="en-US" w:eastAsia="zh-CN" w:bidi="ar-SA"/>
        </w:rPr>
        <w:t>效果还不明显，市长热线等投诉量下降不明显；物业服务企业的考评结果运用不够充分，对全街8家物业服务企业进行了考评，但奖惩措施不够有力，服务质量还有待提升。</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Times New Roman" w:hAnsi="Times New Roman" w:eastAsia="仿宋_GB2312" w:cs="Times New Roman"/>
          <w:b w:val="0"/>
          <w:bCs w:val="0"/>
          <w:kern w:val="2"/>
          <w:sz w:val="32"/>
          <w:szCs w:val="32"/>
          <w:lang w:val="en-US" w:eastAsia="zh-CN" w:bidi="ar-SA"/>
        </w:rPr>
      </w:pPr>
      <w:r>
        <w:rPr>
          <w:rFonts w:hint="eastAsia" w:ascii="楷体" w:hAnsi="楷体" w:eastAsia="楷体" w:cs="仿宋_GB2312"/>
          <w:b/>
          <w:color w:val="000000" w:themeColor="text1"/>
          <w:kern w:val="2"/>
          <w:sz w:val="32"/>
          <w:szCs w:val="32"/>
          <w:lang w:val="en-US" w:eastAsia="zh-CN" w:bidi="ar-SA"/>
          <w14:textFill>
            <w14:solidFill>
              <w14:schemeClr w14:val="tx1"/>
            </w14:solidFill>
          </w14:textFill>
        </w:rPr>
        <w:t>四是文明创建常态化机制落实不够好。</w:t>
      </w:r>
      <w:r>
        <w:rPr>
          <w:rFonts w:hint="eastAsia" w:ascii="Times New Roman" w:hAnsi="Times New Roman" w:eastAsia="仿宋_GB2312" w:cs="Times New Roman"/>
          <w:b w:val="0"/>
          <w:bCs w:val="0"/>
          <w:kern w:val="2"/>
          <w:sz w:val="32"/>
          <w:szCs w:val="32"/>
          <w:lang w:val="en-US" w:eastAsia="zh-CN" w:bidi="ar-SA"/>
        </w:rPr>
        <w:t>常态化管理还有待加强，重视程度不一，共建合力不够，仍一定程度上存在被动应付、疲于应战的思想，主要以</w:t>
      </w:r>
      <w:r>
        <w:rPr>
          <w:rFonts w:hint="default" w:ascii="Times New Roman" w:hAnsi="Times New Roman" w:eastAsia="仿宋_GB2312" w:cs="Times New Roman"/>
          <w:b w:val="0"/>
          <w:bCs w:val="0"/>
          <w:kern w:val="2"/>
          <w:sz w:val="32"/>
          <w:szCs w:val="32"/>
          <w:lang w:val="en-US" w:eastAsia="zh-CN" w:bidi="ar-SA"/>
        </w:rPr>
        <w:t>“</w:t>
      </w:r>
      <w:r>
        <w:rPr>
          <w:rFonts w:hint="eastAsia" w:ascii="Times New Roman" w:hAnsi="Times New Roman" w:eastAsia="仿宋_GB2312" w:cs="Times New Roman"/>
          <w:b w:val="0"/>
          <w:bCs w:val="0"/>
          <w:kern w:val="2"/>
          <w:sz w:val="32"/>
          <w:szCs w:val="32"/>
          <w:lang w:val="en-US" w:eastAsia="zh-CN" w:bidi="ar-SA"/>
        </w:rPr>
        <w:t>突击性</w:t>
      </w:r>
      <w:r>
        <w:rPr>
          <w:rFonts w:hint="default" w:ascii="Times New Roman" w:hAnsi="Times New Roman" w:eastAsia="仿宋_GB2312" w:cs="Times New Roman"/>
          <w:b w:val="0"/>
          <w:bCs w:val="0"/>
          <w:kern w:val="2"/>
          <w:sz w:val="32"/>
          <w:szCs w:val="32"/>
          <w:lang w:val="en-US" w:eastAsia="zh-CN" w:bidi="ar-SA"/>
        </w:rPr>
        <w:t>”</w:t>
      </w:r>
      <w:r>
        <w:rPr>
          <w:rFonts w:hint="eastAsia" w:ascii="Times New Roman" w:hAnsi="Times New Roman" w:eastAsia="仿宋_GB2312" w:cs="Times New Roman"/>
          <w:b w:val="0"/>
          <w:bCs w:val="0"/>
          <w:kern w:val="2"/>
          <w:sz w:val="32"/>
          <w:szCs w:val="32"/>
          <w:lang w:val="en-US" w:eastAsia="zh-CN" w:bidi="ar-SA"/>
        </w:rPr>
        <w:t>方法为主，没有做到</w:t>
      </w:r>
      <w:r>
        <w:rPr>
          <w:rFonts w:hint="default" w:ascii="Times New Roman" w:hAnsi="Times New Roman" w:eastAsia="仿宋_GB2312" w:cs="Times New Roman"/>
          <w:b w:val="0"/>
          <w:bCs w:val="0"/>
          <w:kern w:val="2"/>
          <w:sz w:val="32"/>
          <w:szCs w:val="32"/>
          <w:lang w:val="en-US" w:eastAsia="zh-CN" w:bidi="ar-SA"/>
        </w:rPr>
        <w:t>“</w:t>
      </w:r>
      <w:r>
        <w:rPr>
          <w:rFonts w:hint="eastAsia" w:ascii="Times New Roman" w:hAnsi="Times New Roman" w:eastAsia="仿宋_GB2312" w:cs="Times New Roman"/>
          <w:b w:val="0"/>
          <w:bCs w:val="0"/>
          <w:kern w:val="2"/>
          <w:sz w:val="32"/>
          <w:szCs w:val="32"/>
          <w:lang w:val="en-US" w:eastAsia="zh-CN" w:bidi="ar-SA"/>
        </w:rPr>
        <w:t>常态化</w:t>
      </w:r>
      <w:r>
        <w:rPr>
          <w:rFonts w:hint="default" w:ascii="Times New Roman" w:hAnsi="Times New Roman" w:eastAsia="仿宋_GB2312" w:cs="Times New Roman"/>
          <w:b w:val="0"/>
          <w:bCs w:val="0"/>
          <w:kern w:val="2"/>
          <w:sz w:val="32"/>
          <w:szCs w:val="32"/>
          <w:lang w:val="en-US" w:eastAsia="zh-CN" w:bidi="ar-SA"/>
        </w:rPr>
        <w:t>”“</w:t>
      </w:r>
      <w:r>
        <w:rPr>
          <w:rFonts w:hint="eastAsia" w:ascii="Times New Roman" w:hAnsi="Times New Roman" w:eastAsia="仿宋_GB2312" w:cs="Times New Roman"/>
          <w:b w:val="0"/>
          <w:bCs w:val="0"/>
          <w:kern w:val="2"/>
          <w:sz w:val="32"/>
          <w:szCs w:val="32"/>
          <w:lang w:val="en-US" w:eastAsia="zh-CN" w:bidi="ar-SA"/>
        </w:rPr>
        <w:t>精细化</w:t>
      </w:r>
      <w:r>
        <w:rPr>
          <w:rFonts w:hint="default" w:ascii="Times New Roman" w:hAnsi="Times New Roman" w:eastAsia="仿宋_GB2312" w:cs="Times New Roman"/>
          <w:b w:val="0"/>
          <w:bCs w:val="0"/>
          <w:kern w:val="2"/>
          <w:sz w:val="32"/>
          <w:szCs w:val="32"/>
          <w:lang w:val="en-US" w:eastAsia="zh-CN" w:bidi="ar-SA"/>
        </w:rPr>
        <w:t>”“</w:t>
      </w:r>
      <w:r>
        <w:rPr>
          <w:rFonts w:hint="eastAsia" w:ascii="Times New Roman" w:hAnsi="Times New Roman" w:eastAsia="仿宋_GB2312" w:cs="Times New Roman"/>
          <w:b w:val="0"/>
          <w:bCs w:val="0"/>
          <w:kern w:val="2"/>
          <w:sz w:val="32"/>
          <w:szCs w:val="32"/>
          <w:lang w:val="en-US" w:eastAsia="zh-CN" w:bidi="ar-SA"/>
        </w:rPr>
        <w:t>持久化</w:t>
      </w:r>
      <w:r>
        <w:rPr>
          <w:rFonts w:hint="default" w:ascii="Times New Roman" w:hAnsi="Times New Roman" w:eastAsia="仿宋_GB2312" w:cs="Times New Roman"/>
          <w:b w:val="0"/>
          <w:bCs w:val="0"/>
          <w:kern w:val="2"/>
          <w:sz w:val="32"/>
          <w:szCs w:val="32"/>
          <w:lang w:val="en-US" w:eastAsia="zh-CN" w:bidi="ar-SA"/>
        </w:rPr>
        <w:t>”</w:t>
      </w:r>
      <w:r>
        <w:rPr>
          <w:rFonts w:hint="eastAsia" w:ascii="Times New Roman" w:hAnsi="Times New Roman" w:eastAsia="仿宋_GB2312" w:cs="Times New Roman"/>
          <w:b w:val="0"/>
          <w:bCs w:val="0"/>
          <w:kern w:val="2"/>
          <w:sz w:val="32"/>
          <w:szCs w:val="32"/>
          <w:lang w:val="en-US" w:eastAsia="zh-CN" w:bidi="ar-SA"/>
        </w:rPr>
        <w:t>管理；同时，部分居民遵守、参与、配合意识淡薄，不文明行为屡禁不止。</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仿宋_GB2312" w:cs="Times New Roman"/>
          <w:b w:val="0"/>
          <w:bCs w:val="0"/>
          <w:kern w:val="2"/>
          <w:sz w:val="32"/>
          <w:szCs w:val="32"/>
          <w:lang w:val="en-US" w:eastAsia="zh-CN" w:bidi="ar-SA"/>
        </w:rPr>
      </w:pPr>
      <w:r>
        <w:rPr>
          <w:rFonts w:hint="eastAsia" w:ascii="楷体" w:hAnsi="楷体" w:eastAsia="楷体" w:cs="仿宋_GB2312"/>
          <w:b/>
          <w:color w:val="000000" w:themeColor="text1"/>
          <w:kern w:val="2"/>
          <w:sz w:val="32"/>
          <w:szCs w:val="32"/>
          <w:lang w:val="en-US" w:eastAsia="zh-CN" w:bidi="ar-SA"/>
          <w14:textFill>
            <w14:solidFill>
              <w14:schemeClr w14:val="tx1"/>
            </w14:solidFill>
          </w14:textFill>
        </w:rPr>
        <w:t>五是信访维稳积案化解还不够有力。</w:t>
      </w:r>
      <w:r>
        <w:rPr>
          <w:rFonts w:hint="eastAsia" w:ascii="Times New Roman" w:hAnsi="Times New Roman" w:eastAsia="仿宋_GB2312" w:cs="Times New Roman"/>
          <w:b w:val="0"/>
          <w:bCs w:val="0"/>
          <w:kern w:val="2"/>
          <w:sz w:val="32"/>
          <w:szCs w:val="32"/>
          <w:lang w:val="en-US" w:eastAsia="zh-CN" w:bidi="ar-SA"/>
        </w:rPr>
        <w:t>街道信访隐患点多面广，其中，历史遗留信访问题较多，且短期内难以解决；征迁群体矛盾及物业管理等问题易发多发；部分重点信访人人户分离，动态难以掌握，存在一定的风险。</w:t>
      </w:r>
    </w:p>
    <w:p>
      <w:pPr>
        <w:pStyle w:val="12"/>
        <w:keepNext w:val="0"/>
        <w:keepLines w:val="0"/>
        <w:pageBreakBefore w:val="0"/>
        <w:numPr>
          <w:ilvl w:val="0"/>
          <w:numId w:val="0"/>
        </w:numPr>
        <w:kinsoku/>
        <w:wordWrap/>
        <w:overflowPunct/>
        <w:topLinePunct w:val="0"/>
        <w:autoSpaceDE/>
        <w:autoSpaceDN/>
        <w:bidi w:val="0"/>
        <w:adjustRightInd/>
        <w:snapToGrid/>
        <w:spacing w:line="560" w:lineRule="exact"/>
        <w:ind w:leftChars="200"/>
        <w:jc w:val="both"/>
        <w:textAlignment w:val="auto"/>
        <w:rPr>
          <w:rFonts w:hint="eastAsia" w:ascii="方正黑体简体" w:hAnsi="方正黑体简体" w:eastAsia="方正黑体简体" w:cs="楷体"/>
          <w:bCs/>
          <w:color w:val="000000" w:themeColor="text1"/>
          <w:kern w:val="2"/>
          <w:sz w:val="32"/>
          <w:szCs w:val="32"/>
          <w:lang w:val="en-US" w:eastAsia="zh-CN" w:bidi="ar-SA"/>
          <w14:textFill>
            <w14:solidFill>
              <w14:schemeClr w14:val="tx1"/>
            </w14:solidFill>
          </w14:textFill>
        </w:rPr>
      </w:pPr>
      <w:r>
        <w:rPr>
          <w:rFonts w:hint="eastAsia" w:ascii="方正黑体简体" w:hAnsi="方正黑体简体" w:eastAsia="方正黑体简体" w:cs="楷体"/>
          <w:bCs/>
          <w:color w:val="000000" w:themeColor="text1"/>
          <w:kern w:val="2"/>
          <w:sz w:val="32"/>
          <w:szCs w:val="32"/>
          <w:lang w:val="en-US" w:eastAsia="zh-CN" w:bidi="ar-SA"/>
          <w14:textFill>
            <w14:solidFill>
              <w14:schemeClr w14:val="tx1"/>
            </w14:solidFill>
          </w14:textFill>
        </w:rPr>
        <w:t>三、下一步工作打算</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宋体" w:cs="Times New Roman"/>
          <w:szCs w:val="24"/>
          <w:lang w:val="en-US" w:eastAsia="zh-CN"/>
        </w:rPr>
      </w:pPr>
      <w:r>
        <w:rPr>
          <w:rFonts w:hint="eastAsia" w:ascii="仿宋_GB2312" w:hAnsi="Times New Roman" w:eastAsia="仿宋_GB2312" w:cs="Times New Roman"/>
          <w:kern w:val="2"/>
          <w:sz w:val="32"/>
          <w:szCs w:val="32"/>
          <w:lang w:val="en-US" w:eastAsia="zh-CN" w:bidi="ar-SA"/>
        </w:rPr>
        <w:t>坚持以人民为中心的发展思想，深入贯彻习近平新时代中国特色社会主义思想，以建设坚强有力的基层组织为引领，着力构建和谐幸福的新格局。</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b w:val="0"/>
          <w:bCs w:val="0"/>
          <w:color w:val="000000"/>
          <w:sz w:val="32"/>
          <w:szCs w:val="32"/>
          <w:lang w:val="en-US" w:eastAsia="zh-CN"/>
        </w:rPr>
      </w:pPr>
      <w:r>
        <w:rPr>
          <w:rFonts w:hint="eastAsia" w:ascii="楷体_GB2312" w:hAnsi="楷体_GB2312" w:eastAsia="楷体_GB2312" w:cs="楷体_GB2312"/>
          <w:b w:val="0"/>
          <w:bCs w:val="0"/>
          <w:color w:val="000000"/>
          <w:sz w:val="32"/>
          <w:szCs w:val="32"/>
          <w:lang w:val="en-US" w:eastAsia="zh-CN"/>
        </w:rPr>
        <w:t>（一）稳增长、</w:t>
      </w:r>
      <w:r>
        <w:rPr>
          <w:rFonts w:hint="eastAsia" w:ascii="楷体_GB2312" w:hAnsi="楷体_GB2312" w:eastAsia="楷体_GB2312" w:cs="楷体_GB2312"/>
          <w:b w:val="0"/>
          <w:bCs/>
          <w:color w:val="000000" w:themeColor="text1"/>
          <w:sz w:val="32"/>
          <w:szCs w:val="32"/>
          <w:lang w:val="en-US" w:eastAsia="zh-CN"/>
          <w14:textFill>
            <w14:solidFill>
              <w14:schemeClr w14:val="tx1"/>
            </w14:solidFill>
          </w14:textFill>
        </w:rPr>
        <w:t>促转型，推动经济发展再上</w:t>
      </w:r>
      <w:r>
        <w:rPr>
          <w:rFonts w:hint="eastAsia" w:ascii="楷体_GB2312" w:hAnsi="楷体_GB2312" w:eastAsia="楷体_GB2312" w:cs="楷体_GB2312"/>
          <w:b w:val="0"/>
          <w:bCs w:val="0"/>
          <w:color w:val="000000"/>
          <w:sz w:val="32"/>
          <w:szCs w:val="32"/>
          <w:lang w:val="en-US" w:eastAsia="zh-CN"/>
        </w:rPr>
        <w:t>新台阶</w:t>
      </w:r>
    </w:p>
    <w:p>
      <w:pPr>
        <w:keepNext w:val="0"/>
        <w:keepLines w:val="0"/>
        <w:pageBreakBefore w:val="0"/>
        <w:widowControl w:val="0"/>
        <w:numPr>
          <w:ilvl w:val="0"/>
          <w:numId w:val="0"/>
        </w:numPr>
        <w:kinsoku/>
        <w:wordWrap/>
        <w:overflowPunct/>
        <w:topLinePunct w:val="0"/>
        <w:autoSpaceDE/>
        <w:autoSpaceDN/>
        <w:bidi w:val="0"/>
        <w:adjustRightInd/>
        <w:snapToGrid/>
        <w:spacing w:after="120" w:line="600" w:lineRule="exact"/>
        <w:ind w:left="420" w:leftChars="200" w:firstLine="643" w:firstLineChars="200"/>
        <w:jc w:val="both"/>
        <w:textAlignment w:val="auto"/>
        <w:rPr>
          <w:rFonts w:hint="eastAsia" w:ascii="楷体" w:hAnsi="楷体" w:eastAsia="楷体" w:cs="楷体"/>
          <w:b w:val="0"/>
          <w:bCs w:val="0"/>
          <w:kern w:val="2"/>
          <w:sz w:val="32"/>
          <w:szCs w:val="32"/>
          <w:lang w:val="en-US" w:eastAsia="zh-CN" w:bidi="ar-SA"/>
        </w:rPr>
      </w:pPr>
      <w:r>
        <w:rPr>
          <w:rFonts w:hint="eastAsia" w:ascii="Times New Roman" w:hAnsi="Times New Roman" w:eastAsia="宋体" w:cs="Times New Roman"/>
          <w:b/>
          <w:bCs/>
          <w:kern w:val="2"/>
          <w:sz w:val="32"/>
          <w:szCs w:val="32"/>
          <w:highlight w:val="none"/>
          <w:lang w:val="en-US" w:eastAsia="zh-CN" w:bidi="ar-SA"/>
        </w:rPr>
        <w:t>一是</w:t>
      </w:r>
      <w:r>
        <w:rPr>
          <w:rFonts w:hint="eastAsia" w:ascii="Times New Roman" w:hAnsi="Times New Roman" w:eastAsia="仿宋_GB2312" w:cs="Times New Roman"/>
          <w:b/>
          <w:bCs/>
          <w:kern w:val="2"/>
          <w:sz w:val="32"/>
          <w:szCs w:val="32"/>
          <w:highlight w:val="none"/>
          <w:lang w:val="en-US" w:eastAsia="zh-CN" w:bidi="ar-SA"/>
        </w:rPr>
        <w:t>以项目建设为突破口，提升经济发展质效。</w:t>
      </w:r>
      <w:r>
        <w:rPr>
          <w:rFonts w:hint="eastAsia" w:ascii="Times New Roman" w:hAnsi="Times New Roman" w:eastAsia="仿宋_GB2312" w:cs="Times New Roman"/>
          <w:kern w:val="2"/>
          <w:sz w:val="32"/>
          <w:szCs w:val="32"/>
          <w:highlight w:val="none"/>
          <w:lang w:val="en-US" w:eastAsia="zh-CN" w:bidi="ar-SA"/>
        </w:rPr>
        <w:t>2024年瞄定亿元以上的大项目，凝聚力量集中攻坚，加快提升新庄孜采煤沉陷区项目实施工程建设速度，推动八公山区冷链物流产业园及基础设施建设项目取得实质性进展，</w:t>
      </w:r>
      <w:r>
        <w:rPr>
          <w:rFonts w:hint="eastAsia" w:ascii="Times New Roman" w:hAnsi="Times New Roman" w:eastAsia="仿宋_GB2312" w:cs="Times New Roman"/>
          <w:b w:val="0"/>
          <w:bCs w:val="0"/>
          <w:kern w:val="2"/>
          <w:sz w:val="32"/>
          <w:szCs w:val="32"/>
          <w:lang w:val="en-US" w:eastAsia="zh-CN" w:bidi="ar-SA"/>
        </w:rPr>
        <w:t>打造佳城国际室内网红美食街、谋划丁山路、商业街道路提升、新庄孜医院医疗康养、治西社区养老服务中心提升改造项目。</w:t>
      </w:r>
      <w:r>
        <w:rPr>
          <w:rFonts w:hint="eastAsia" w:ascii="Times New Roman" w:hAnsi="Times New Roman" w:eastAsia="仿宋_GB2312" w:cs="Times New Roman"/>
          <w:b/>
          <w:bCs/>
          <w:kern w:val="2"/>
          <w:sz w:val="32"/>
          <w:szCs w:val="32"/>
          <w:highlight w:val="none"/>
          <w:lang w:val="en-US" w:eastAsia="zh-CN" w:bidi="ar-SA"/>
        </w:rPr>
        <w:t>二是以优势产业为支撑，推动发展更</w:t>
      </w:r>
      <w:r>
        <w:rPr>
          <w:rFonts w:hint="eastAsia" w:ascii="Times New Roman" w:hAnsi="Times New Roman" w:eastAsia="宋体" w:cs="Times New Roman"/>
          <w:b/>
          <w:bCs/>
          <w:kern w:val="2"/>
          <w:sz w:val="32"/>
          <w:szCs w:val="32"/>
          <w:highlight w:val="none"/>
          <w:lang w:val="en-US" w:eastAsia="zh-CN" w:bidi="ar-SA"/>
        </w:rPr>
        <w:t>具</w:t>
      </w:r>
      <w:r>
        <w:rPr>
          <w:rFonts w:hint="eastAsia" w:ascii="Times New Roman" w:hAnsi="Times New Roman" w:eastAsia="仿宋_GB2312" w:cs="Times New Roman"/>
          <w:b/>
          <w:bCs/>
          <w:kern w:val="2"/>
          <w:sz w:val="32"/>
          <w:szCs w:val="32"/>
          <w:highlight w:val="none"/>
          <w:lang w:val="en-US" w:eastAsia="zh-CN" w:bidi="ar-SA"/>
        </w:rPr>
        <w:t>内涵。</w:t>
      </w:r>
      <w:r>
        <w:rPr>
          <w:rFonts w:hint="eastAsia" w:ascii="Times New Roman" w:hAnsi="Times New Roman" w:eastAsia="仿宋_GB2312" w:cs="Times New Roman"/>
          <w:kern w:val="2"/>
          <w:sz w:val="32"/>
          <w:szCs w:val="32"/>
          <w:highlight w:val="none"/>
          <w:lang w:val="en-US" w:eastAsia="zh-CN" w:bidi="ar-SA"/>
        </w:rPr>
        <w:t>根据本辖区的特色和优势，结合自身定位，制定发展计划，培育具有市场前景和竞争优势的产业。同时加强对新兴产业的跟踪和研究，积极引入符合辖区发展方向的新兴产业和业态。</w:t>
      </w:r>
      <w:r>
        <w:rPr>
          <w:rFonts w:hint="eastAsia" w:ascii="Times New Roman" w:hAnsi="Times New Roman" w:eastAsia="仿宋_GB2312" w:cs="Times New Roman"/>
          <w:b/>
          <w:bCs/>
          <w:kern w:val="2"/>
          <w:sz w:val="32"/>
          <w:szCs w:val="32"/>
          <w:lang w:val="en-US" w:eastAsia="zh-CN" w:bidi="ar-SA"/>
        </w:rPr>
        <w:t>三是以营商环境优化为落脚点，助力企业做大做强。</w:t>
      </w:r>
      <w:r>
        <w:rPr>
          <w:rFonts w:hint="eastAsia" w:ascii="Times New Roman" w:hAnsi="Times New Roman" w:eastAsia="仿宋_GB2312" w:cs="Times New Roman"/>
          <w:kern w:val="2"/>
          <w:sz w:val="32"/>
          <w:szCs w:val="32"/>
          <w:highlight w:val="none"/>
          <w:lang w:val="en-US" w:eastAsia="zh-CN" w:bidi="ar-SA"/>
        </w:rPr>
        <w:t>持续巩固拓展</w:t>
      </w:r>
      <w:r>
        <w:rPr>
          <w:rFonts w:hint="default" w:ascii="Times New Roman" w:hAnsi="Times New Roman" w:eastAsia="仿宋_GB2312" w:cs="Times New Roman"/>
          <w:kern w:val="2"/>
          <w:sz w:val="32"/>
          <w:szCs w:val="32"/>
          <w:highlight w:val="none"/>
          <w:lang w:val="en-US" w:eastAsia="zh-CN" w:bidi="ar-SA"/>
        </w:rPr>
        <w:t>“千名干部入企服务”、“优环境、稳经济”等服务活动</w:t>
      </w:r>
      <w:r>
        <w:rPr>
          <w:rFonts w:hint="eastAsia" w:ascii="Times New Roman" w:hAnsi="Times New Roman" w:eastAsia="仿宋_GB2312" w:cs="Times New Roman"/>
          <w:kern w:val="2"/>
          <w:sz w:val="32"/>
          <w:szCs w:val="32"/>
          <w:highlight w:val="none"/>
          <w:lang w:val="en-US" w:eastAsia="zh-CN" w:bidi="ar-SA"/>
        </w:rPr>
        <w:t>成果；</w:t>
      </w:r>
      <w:r>
        <w:rPr>
          <w:rFonts w:hint="default" w:ascii="Times New Roman" w:hAnsi="Times New Roman" w:eastAsia="仿宋_GB2312" w:cs="Times New Roman"/>
          <w:kern w:val="2"/>
          <w:sz w:val="32"/>
          <w:szCs w:val="32"/>
          <w:highlight w:val="none"/>
          <w:lang w:val="en-US" w:eastAsia="zh-CN" w:bidi="ar-SA"/>
        </w:rPr>
        <w:t>制定党政领导干部联系帮扶企业制度，深入企业了解生产经营实际状况，精准对接企业需求，助力企业纾困解难。</w:t>
      </w:r>
      <w:r>
        <w:rPr>
          <w:rFonts w:hint="eastAsia" w:ascii="Times New Roman" w:hAnsi="Times New Roman" w:eastAsia="仿宋_GB2312" w:cs="Times New Roman"/>
          <w:kern w:val="2"/>
          <w:sz w:val="32"/>
          <w:szCs w:val="32"/>
          <w:highlight w:val="none"/>
          <w:lang w:val="en-US" w:eastAsia="zh-CN" w:bidi="ar-SA"/>
        </w:rPr>
        <w:t>全面开展招大引强工作，精准落实</w:t>
      </w:r>
      <w:r>
        <w:rPr>
          <w:rFonts w:hint="default" w:ascii="Times New Roman" w:hAnsi="Times New Roman" w:eastAsia="仿宋_GB2312" w:cs="Times New Roman"/>
          <w:kern w:val="2"/>
          <w:sz w:val="32"/>
          <w:szCs w:val="32"/>
          <w:highlight w:val="none"/>
          <w:lang w:val="en-US" w:eastAsia="zh-CN" w:bidi="ar-SA"/>
        </w:rPr>
        <w:t>招商引资优惠政策，确保项目引得进、落得下</w:t>
      </w:r>
      <w:r>
        <w:rPr>
          <w:rFonts w:hint="eastAsia" w:ascii="Times New Roman" w:hAnsi="Times New Roman" w:eastAsia="仿宋_GB2312" w:cs="Times New Roman"/>
          <w:kern w:val="2"/>
          <w:sz w:val="32"/>
          <w:szCs w:val="32"/>
          <w:highlight w:val="none"/>
          <w:lang w:val="en-US" w:eastAsia="zh-CN" w:bidi="ar-SA"/>
        </w:rPr>
        <w:t>、</w:t>
      </w:r>
      <w:r>
        <w:rPr>
          <w:rFonts w:hint="default" w:ascii="Times New Roman" w:hAnsi="Times New Roman" w:eastAsia="仿宋_GB2312" w:cs="Times New Roman"/>
          <w:kern w:val="2"/>
          <w:sz w:val="32"/>
          <w:szCs w:val="32"/>
          <w:highlight w:val="none"/>
          <w:lang w:val="en-US" w:eastAsia="zh-CN" w:bidi="ar-SA"/>
        </w:rPr>
        <w:t>建得快、效益好。</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b w:val="0"/>
          <w:bCs w:val="0"/>
          <w:color w:val="000000"/>
          <w:kern w:val="2"/>
          <w:sz w:val="32"/>
          <w:szCs w:val="32"/>
          <w:lang w:val="en-US" w:eastAsia="zh-CN" w:bidi="ar-SA"/>
        </w:rPr>
      </w:pPr>
      <w:r>
        <w:rPr>
          <w:rFonts w:hint="eastAsia" w:ascii="楷体" w:hAnsi="楷体" w:eastAsia="楷体" w:cs="楷体"/>
          <w:b w:val="0"/>
          <w:bCs w:val="0"/>
          <w:kern w:val="2"/>
          <w:sz w:val="32"/>
          <w:szCs w:val="32"/>
          <w:lang w:val="en-US" w:eastAsia="zh-CN" w:bidi="ar-SA"/>
        </w:rPr>
        <w:t>（二）</w:t>
      </w:r>
      <w:r>
        <w:rPr>
          <w:rFonts w:hint="eastAsia" w:ascii="楷体_GB2312" w:hAnsi="楷体_GB2312" w:eastAsia="楷体_GB2312" w:cs="楷体_GB2312"/>
          <w:b w:val="0"/>
          <w:bCs w:val="0"/>
          <w:color w:val="000000"/>
          <w:kern w:val="2"/>
          <w:sz w:val="32"/>
          <w:szCs w:val="32"/>
          <w:lang w:val="en-US" w:eastAsia="zh-CN" w:bidi="ar-SA"/>
        </w:rPr>
        <w:t>惠民生、补短板，推动服务能力再获新提升</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b/>
          <w:bCs/>
          <w:sz w:val="32"/>
          <w:szCs w:val="32"/>
          <w:lang w:val="en-US" w:eastAsia="zh-CN"/>
        </w:rPr>
        <w:t>一是全面强化民生保障。</w:t>
      </w:r>
      <w:r>
        <w:rPr>
          <w:rFonts w:hint="eastAsia" w:ascii="Times New Roman" w:hAnsi="Times New Roman" w:eastAsia="仿宋_GB2312" w:cs="Times New Roman"/>
          <w:sz w:val="32"/>
          <w:szCs w:val="32"/>
          <w:lang w:val="en-US" w:eastAsia="zh-CN"/>
        </w:rPr>
        <w:t>坚持将民生工作摆在突出位置，加大对民生工程资金投入，确保民生实</w:t>
      </w:r>
      <w:bookmarkStart w:id="0" w:name="_GoBack"/>
      <w:bookmarkEnd w:id="0"/>
      <w:r>
        <w:rPr>
          <w:rFonts w:hint="eastAsia" w:ascii="Times New Roman" w:hAnsi="Times New Roman" w:eastAsia="仿宋_GB2312" w:cs="Times New Roman"/>
          <w:sz w:val="32"/>
          <w:szCs w:val="32"/>
          <w:lang w:val="en-US" w:eastAsia="zh-CN"/>
        </w:rPr>
        <w:t>事财政配套资金落实到位。</w:t>
      </w:r>
      <w:r>
        <w:rPr>
          <w:rFonts w:hint="eastAsia" w:ascii="仿宋_GB2312" w:eastAsia="仿宋_GB2312"/>
          <w:sz w:val="32"/>
          <w:szCs w:val="32"/>
          <w:lang w:val="en-US" w:eastAsia="zh-CN"/>
        </w:rPr>
        <w:t>持续推进养老保险、城乡居民基本医疗保险等工作；对辖区低保户、特困户等困难群众实施动态监管，</w:t>
      </w:r>
      <w:r>
        <w:rPr>
          <w:rFonts w:hint="eastAsia" w:ascii="Times New Roman" w:hAnsi="Times New Roman" w:eastAsia="仿宋_GB2312" w:cs="Times New Roman"/>
          <w:sz w:val="32"/>
          <w:szCs w:val="32"/>
          <w:lang w:val="en-US" w:eastAsia="zh-CN"/>
        </w:rPr>
        <w:t>切实提高社会救助水平。千方百计稳定和扩大就业，优化公共就业、创业服务，保持就业形势整体稳定。</w:t>
      </w:r>
      <w:r>
        <w:rPr>
          <w:rFonts w:hint="eastAsia" w:ascii="Times New Roman" w:hAnsi="Times New Roman" w:eastAsia="仿宋_GB2312" w:cs="Times New Roman"/>
          <w:b/>
          <w:bCs/>
          <w:sz w:val="32"/>
          <w:szCs w:val="32"/>
          <w:lang w:val="en-US" w:eastAsia="zh-CN"/>
        </w:rPr>
        <w:t>二是协调做优公共服务。</w:t>
      </w:r>
      <w:r>
        <w:rPr>
          <w:rFonts w:hint="eastAsia" w:ascii="Times New Roman" w:hAnsi="Times New Roman" w:eastAsia="仿宋_GB2312" w:cs="Times New Roman"/>
          <w:sz w:val="32"/>
          <w:szCs w:val="32"/>
          <w:lang w:val="en-US" w:eastAsia="zh-CN"/>
        </w:rPr>
        <w:t>进一步细化、量化民生实事项目，推进道路建设、污水处理等政府民生实事工程建设，夯实工作举措，扎实做好各项民生实事工程，持续提升服务品质。</w:t>
      </w:r>
      <w:r>
        <w:rPr>
          <w:rFonts w:hint="eastAsia" w:ascii="Times New Roman" w:hAnsi="Times New Roman" w:eastAsia="仿宋_GB2312" w:cs="Times New Roman"/>
          <w:b/>
          <w:bCs/>
          <w:sz w:val="32"/>
          <w:szCs w:val="32"/>
          <w:lang w:val="en-US" w:eastAsia="zh-CN"/>
        </w:rPr>
        <w:t>三是丰富精神文化供给</w:t>
      </w:r>
      <w:r>
        <w:rPr>
          <w:rFonts w:hint="eastAsia" w:ascii="Times New Roman" w:hAnsi="Times New Roman" w:eastAsia="仿宋_GB2312" w:cs="Times New Roman"/>
          <w:sz w:val="32"/>
          <w:szCs w:val="32"/>
          <w:lang w:val="en-US" w:eastAsia="zh-CN"/>
        </w:rPr>
        <w:t>。依托新时代文明实践站所、公共文化场所等平台，开展“厉行节约，反对浪费”、“光盘行动”等一系列文明好习惯主题宣传教育活动，培育文明新风；大力实施文化惠民工程，健全公共文化服务体系，建设文化广场、主题公园，依托老年学校开展宣传讲座，丰富老年群众精神文化生活。</w:t>
      </w:r>
    </w:p>
    <w:p>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rightChars="0" w:firstLine="640" w:firstLineChars="200"/>
        <w:jc w:val="left"/>
        <w:textAlignment w:val="auto"/>
        <w:rPr>
          <w:rFonts w:hint="eastAsia" w:ascii="楷体_GB2312" w:hAnsi="楷体_GB2312" w:eastAsia="楷体_GB2312" w:cs="楷体_GB2312"/>
          <w:b w:val="0"/>
          <w:bCs w:val="0"/>
          <w:kern w:val="2"/>
          <w:sz w:val="32"/>
          <w:szCs w:val="32"/>
          <w:lang w:val="en-US" w:eastAsia="zh-CN" w:bidi="ar-SA"/>
        </w:rPr>
      </w:pPr>
      <w:r>
        <w:rPr>
          <w:rFonts w:hint="eastAsia" w:ascii="楷体_GB2312" w:hAnsi="楷体_GB2312" w:eastAsia="楷体_GB2312" w:cs="楷体_GB2312"/>
          <w:b w:val="0"/>
          <w:bCs w:val="0"/>
          <w:kern w:val="2"/>
          <w:sz w:val="32"/>
          <w:szCs w:val="32"/>
          <w:lang w:val="en-US" w:eastAsia="zh-CN" w:bidi="ar-SA"/>
        </w:rPr>
        <w:t>优功能，强基础，城区建设再获新颜值</w:t>
      </w:r>
    </w:p>
    <w:p>
      <w:pPr>
        <w:keepNext w:val="0"/>
        <w:keepLines w:val="0"/>
        <w:pageBreakBefore w:val="0"/>
        <w:widowControl w:val="0"/>
        <w:kinsoku/>
        <w:wordWrap/>
        <w:overflowPunct/>
        <w:topLinePunct w:val="0"/>
        <w:autoSpaceDE/>
        <w:autoSpaceDN/>
        <w:bidi w:val="0"/>
        <w:adjustRightInd/>
        <w:snapToGrid/>
        <w:spacing w:line="600" w:lineRule="exact"/>
        <w:ind w:firstLine="646"/>
        <w:textAlignment w:val="auto"/>
        <w:rPr>
          <w:rFonts w:hint="eastAsia"/>
          <w:lang w:val="en-US" w:eastAsia="zh-CN"/>
        </w:rPr>
      </w:pPr>
      <w:r>
        <w:rPr>
          <w:rFonts w:hint="eastAsia" w:ascii="仿宋_GB2312" w:hAnsi="仿宋_GB2312" w:eastAsia="仿宋_GB2312" w:cs="仿宋_GB2312"/>
          <w:b/>
          <w:bCs/>
          <w:i w:val="0"/>
          <w:iCs w:val="0"/>
          <w:caps w:val="0"/>
          <w:color w:val="auto"/>
          <w:spacing w:val="0"/>
          <w:sz w:val="32"/>
          <w:szCs w:val="32"/>
          <w:shd w:val="clear" w:fill="FFFFFF"/>
          <w:lang w:eastAsia="zh-CN"/>
        </w:rPr>
        <w:t>一是高质量推动棚户区改造项目。</w:t>
      </w:r>
      <w:r>
        <w:rPr>
          <w:rFonts w:hint="eastAsia" w:ascii="仿宋_GB2312" w:hAnsi="仿宋_GB2312" w:eastAsia="仿宋_GB2312" w:cs="仿宋_GB2312"/>
          <w:i w:val="0"/>
          <w:iCs w:val="0"/>
          <w:caps w:val="0"/>
          <w:color w:val="auto"/>
          <w:spacing w:val="0"/>
          <w:sz w:val="32"/>
          <w:szCs w:val="32"/>
          <w:shd w:val="clear" w:fill="FFFFFF"/>
        </w:rPr>
        <w:t>继续推进</w:t>
      </w:r>
      <w:r>
        <w:rPr>
          <w:rFonts w:hint="eastAsia" w:ascii="仿宋_GB2312" w:hAnsi="仿宋_GB2312" w:eastAsia="仿宋_GB2312" w:cs="仿宋_GB2312"/>
          <w:i w:val="0"/>
          <w:iCs w:val="0"/>
          <w:caps w:val="0"/>
          <w:color w:val="auto"/>
          <w:spacing w:val="0"/>
          <w:sz w:val="32"/>
          <w:szCs w:val="32"/>
          <w:shd w:val="clear" w:fill="FFFFFF"/>
          <w:lang w:eastAsia="zh-CN"/>
        </w:rPr>
        <w:t>老旧小区改造及城市更新项目</w:t>
      </w:r>
      <w:r>
        <w:rPr>
          <w:rFonts w:hint="eastAsia" w:ascii="仿宋_GB2312" w:hAnsi="仿宋_GB2312" w:eastAsia="仿宋_GB2312" w:cs="仿宋_GB2312"/>
          <w:i w:val="0"/>
          <w:iCs w:val="0"/>
          <w:caps w:val="0"/>
          <w:color w:val="auto"/>
          <w:spacing w:val="0"/>
          <w:sz w:val="32"/>
          <w:szCs w:val="32"/>
          <w:shd w:val="clear" w:fill="FFFFFF"/>
        </w:rPr>
        <w:t>，</w:t>
      </w:r>
      <w:r>
        <w:rPr>
          <w:rFonts w:hint="eastAsia" w:ascii="Times New Roman" w:hAnsi="Times New Roman" w:eastAsia="仿宋_GB2312" w:cs="Times New Roman"/>
          <w:b w:val="0"/>
          <w:bCs w:val="0"/>
          <w:kern w:val="2"/>
          <w:sz w:val="32"/>
          <w:szCs w:val="32"/>
          <w:lang w:val="en-US" w:eastAsia="zh-CN" w:bidi="ar-SA"/>
        </w:rPr>
        <w:t>有序推进建北村、小珠厂征迁工作。</w:t>
      </w:r>
      <w:r>
        <w:rPr>
          <w:rFonts w:hint="eastAsia" w:ascii="仿宋_GB2312" w:hAnsi="仿宋_GB2312" w:eastAsia="仿宋_GB2312" w:cs="仿宋_GB2312"/>
          <w:i w:val="0"/>
          <w:iCs w:val="0"/>
          <w:caps w:val="0"/>
          <w:color w:val="auto"/>
          <w:spacing w:val="0"/>
          <w:sz w:val="32"/>
          <w:szCs w:val="32"/>
          <w:shd w:val="clear" w:fill="FFFFFF"/>
        </w:rPr>
        <w:t>加大资金筹措力度，提升棚户区改造水平和、质量，加快施工进度</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坚持问题导向，注重解决好拆迁等各类历史遗留问题，</w:t>
      </w:r>
      <w:r>
        <w:rPr>
          <w:rFonts w:hint="eastAsia" w:ascii="仿宋_GB2312" w:hAnsi="仿宋_GB2312" w:eastAsia="仿宋_GB2312" w:cs="仿宋_GB2312"/>
          <w:i w:val="0"/>
          <w:iCs w:val="0"/>
          <w:caps w:val="0"/>
          <w:color w:val="auto"/>
          <w:spacing w:val="0"/>
          <w:sz w:val="32"/>
          <w:szCs w:val="32"/>
          <w:shd w:val="clear" w:fill="FFFFFF"/>
          <w:lang w:eastAsia="zh-CN"/>
        </w:rPr>
        <w:t>同时</w:t>
      </w:r>
      <w:r>
        <w:rPr>
          <w:rFonts w:hint="eastAsia" w:ascii="仿宋_GB2312" w:hAnsi="仿宋_GB2312" w:eastAsia="仿宋_GB2312" w:cs="仿宋_GB2312"/>
          <w:i w:val="0"/>
          <w:iCs w:val="0"/>
          <w:caps w:val="0"/>
          <w:color w:val="auto"/>
          <w:spacing w:val="0"/>
          <w:sz w:val="32"/>
          <w:szCs w:val="32"/>
          <w:shd w:val="clear" w:fill="FFFFFF"/>
        </w:rPr>
        <w:t>加强对相关政策法规的宣传，做到程序合法合规、运作规范有序</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为推进棚户区改造营造和谐的社会环境。</w:t>
      </w:r>
      <w:r>
        <w:rPr>
          <w:rFonts w:hint="eastAsia" w:ascii="仿宋_GB2312" w:hAnsi="仿宋_GB2312" w:eastAsia="仿宋_GB2312" w:cs="仿宋_GB2312"/>
          <w:i w:val="0"/>
          <w:iCs w:val="0"/>
          <w:caps w:val="0"/>
          <w:color w:val="auto"/>
          <w:spacing w:val="0"/>
          <w:sz w:val="32"/>
          <w:szCs w:val="32"/>
          <w:shd w:val="clear" w:fill="FFFFFF"/>
          <w:lang w:val="en-US" w:eastAsia="zh-CN"/>
        </w:rPr>
        <w:t xml:space="preserve">  </w:t>
      </w:r>
      <w:r>
        <w:rPr>
          <w:rFonts w:hint="eastAsia" w:ascii="仿宋_GB2312" w:hAnsi="仿宋_GB2312" w:eastAsia="仿宋_GB2312" w:cs="仿宋_GB2312"/>
          <w:b/>
          <w:bCs/>
          <w:i w:val="0"/>
          <w:iCs w:val="0"/>
          <w:caps w:val="0"/>
          <w:color w:val="auto"/>
          <w:spacing w:val="0"/>
          <w:sz w:val="32"/>
          <w:szCs w:val="32"/>
          <w:shd w:val="clear" w:fill="FFFFFF"/>
          <w:lang w:val="en-US" w:eastAsia="zh-CN"/>
        </w:rPr>
        <w:t>二是不断</w:t>
      </w:r>
      <w:r>
        <w:rPr>
          <w:rFonts w:hint="eastAsia" w:ascii="楷体" w:hAnsi="楷体" w:eastAsia="楷体" w:cs="楷体"/>
          <w:b/>
          <w:bCs/>
          <w:i w:val="0"/>
          <w:iCs w:val="0"/>
          <w:caps w:val="0"/>
          <w:color w:val="000000"/>
          <w:spacing w:val="0"/>
          <w:sz w:val="32"/>
          <w:szCs w:val="32"/>
          <w:shd w:val="clear" w:fill="FFFFFF"/>
        </w:rPr>
        <w:t>激发基层治理活力</w:t>
      </w:r>
      <w:r>
        <w:rPr>
          <w:rFonts w:hint="eastAsia" w:ascii="楷体" w:hAnsi="楷体" w:eastAsia="楷体" w:cs="楷体"/>
          <w:b/>
          <w:bCs/>
          <w:i w:val="0"/>
          <w:iCs w:val="0"/>
          <w:caps w:val="0"/>
          <w:color w:val="000000"/>
          <w:spacing w:val="0"/>
          <w:sz w:val="32"/>
          <w:szCs w:val="32"/>
          <w:shd w:val="clear" w:fill="FFFFFF"/>
          <w:lang w:eastAsia="zh-CN"/>
        </w:rPr>
        <w:t>。</w:t>
      </w:r>
      <w:r>
        <w:rPr>
          <w:rFonts w:hint="eastAsia" w:ascii="Times New Roman" w:hAnsi="Times New Roman" w:eastAsia="仿宋_GB2312" w:cs="Times New Roman"/>
          <w:b w:val="0"/>
          <w:bCs w:val="0"/>
          <w:kern w:val="2"/>
          <w:sz w:val="32"/>
          <w:szCs w:val="32"/>
          <w:lang w:val="en-US" w:eastAsia="zh-CN" w:bidi="ar-SA"/>
        </w:rPr>
        <w:t>推进高标准社区建设，在服务上狠下功夫，着力打造“一居一品”，突出社区特色，拓展社区服务领域，在优化服务上提质升级；不断完善协商议事、矛盾化解、督促督办等方面工作机制，积极开展“业主接待日”活动，推进“皖美红色物业”建设。</w:t>
      </w:r>
      <w:r>
        <w:rPr>
          <w:rFonts w:hint="eastAsia" w:ascii="仿宋_GB2312" w:hAnsi="仿宋_GB2312" w:eastAsia="仿宋_GB2312" w:cs="仿宋_GB2312"/>
          <w:b/>
          <w:bCs/>
          <w:i w:val="0"/>
          <w:iCs w:val="0"/>
          <w:caps w:val="0"/>
          <w:color w:val="auto"/>
          <w:spacing w:val="0"/>
          <w:sz w:val="32"/>
          <w:szCs w:val="32"/>
          <w:shd w:val="clear" w:fill="FFFFFF"/>
          <w:lang w:val="en-US" w:eastAsia="zh-CN"/>
        </w:rPr>
        <w:t>三是大力提升居民生活满意度。</w:t>
      </w:r>
      <w:r>
        <w:rPr>
          <w:rFonts w:hint="eastAsia" w:ascii="Times New Roman" w:hAnsi="Times New Roman" w:eastAsia="仿宋_GB2312" w:cs="Times New Roman"/>
          <w:b w:val="0"/>
          <w:bCs w:val="0"/>
          <w:kern w:val="2"/>
          <w:sz w:val="32"/>
          <w:szCs w:val="32"/>
          <w:lang w:val="en-US" w:eastAsia="zh-CN" w:bidi="ar-SA"/>
        </w:rPr>
        <w:t>统筹一体化推进十大暖民心工程，聚焦老幼群体，开展老年助餐服务、老有所学和安心托育行动；聚焦群众就业需求，常态化开展周边企业岗位推介，组织无业、失业人群培训活动，实现就业有技能；聚焦群众健康习惯养成，常态化开展快乐健身和健康口腔行动；并持续跟进停车场基础</w:t>
      </w:r>
      <w:r>
        <w:rPr>
          <w:rFonts w:hint="eastAsia" w:ascii="仿宋_GB2312" w:hAnsi="仿宋_GB2312" w:eastAsia="仿宋_GB2312" w:cs="仿宋_GB2312"/>
          <w:i w:val="0"/>
          <w:iCs w:val="0"/>
          <w:caps w:val="0"/>
          <w:color w:val="auto"/>
          <w:spacing w:val="0"/>
          <w:sz w:val="32"/>
          <w:szCs w:val="32"/>
          <w:shd w:val="clear" w:fill="FFFFFF"/>
          <w:lang w:eastAsia="zh-CN"/>
        </w:rPr>
        <w:t>设施建设、配套健身等设施建设。</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楷体_GB2312" w:hAnsi="楷体_GB2312" w:eastAsia="楷体_GB2312" w:cs="楷体_GB2312"/>
          <w:b w:val="0"/>
          <w:bCs w:val="0"/>
          <w:kern w:val="2"/>
          <w:sz w:val="32"/>
          <w:szCs w:val="32"/>
          <w:lang w:val="en-US" w:eastAsia="zh-CN" w:bidi="ar-SA"/>
        </w:rPr>
      </w:pPr>
      <w:r>
        <w:rPr>
          <w:rFonts w:hint="eastAsia" w:ascii="楷体" w:hAnsi="楷体" w:eastAsia="楷体" w:cs="楷体"/>
          <w:b w:val="0"/>
          <w:bCs w:val="0"/>
          <w:kern w:val="2"/>
          <w:sz w:val="32"/>
          <w:szCs w:val="32"/>
          <w:lang w:val="en-US" w:eastAsia="zh-CN" w:bidi="ar-SA"/>
        </w:rPr>
        <w:t>（四）</w:t>
      </w:r>
      <w:r>
        <w:rPr>
          <w:rFonts w:hint="eastAsia" w:ascii="楷体_GB2312" w:hAnsi="楷体_GB2312" w:eastAsia="楷体_GB2312" w:cs="楷体_GB2312"/>
          <w:b w:val="0"/>
          <w:bCs w:val="0"/>
          <w:kern w:val="2"/>
          <w:sz w:val="32"/>
          <w:szCs w:val="32"/>
          <w:lang w:val="en-US" w:eastAsia="zh-CN" w:bidi="ar-SA"/>
        </w:rPr>
        <w:t>稳大局、保安全，推动社会治理再取新成效</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default" w:ascii="仿宋_GB2312" w:hAnsi="Times New Roman" w:eastAsia="仿宋_GB2312" w:cs="Times New Roman"/>
          <w:sz w:val="32"/>
          <w:szCs w:val="32"/>
          <w:lang w:val="en-US" w:eastAsia="zh-CN"/>
        </w:rPr>
      </w:pPr>
      <w:r>
        <w:rPr>
          <w:rFonts w:hint="eastAsia" w:ascii="仿宋_GB2312" w:hAnsi="Times New Roman" w:eastAsia="仿宋_GB2312" w:cs="Times New Roman"/>
          <w:b/>
          <w:bCs/>
          <w:sz w:val="32"/>
          <w:szCs w:val="32"/>
          <w:highlight w:val="none"/>
          <w:lang w:val="en-US" w:eastAsia="zh-CN"/>
        </w:rPr>
        <w:t>一是维护社会和谐稳定</w:t>
      </w:r>
      <w:r>
        <w:rPr>
          <w:rFonts w:hint="eastAsia" w:ascii="仿宋_GB2312" w:hAnsi="Times New Roman" w:eastAsia="仿宋_GB2312" w:cs="Times New Roman"/>
          <w:b/>
          <w:bCs/>
          <w:sz w:val="32"/>
          <w:szCs w:val="32"/>
          <w:highlight w:val="none"/>
        </w:rPr>
        <w:t>。</w:t>
      </w:r>
      <w:r>
        <w:rPr>
          <w:rFonts w:hint="eastAsia" w:ascii="Times New Roman" w:hAnsi="Times New Roman" w:eastAsia="仿宋_GB2312" w:cs="Times New Roman"/>
          <w:sz w:val="32"/>
          <w:szCs w:val="32"/>
          <w:highlight w:val="none"/>
          <w:lang w:val="en-US" w:eastAsia="zh-CN"/>
        </w:rPr>
        <w:t>完善信访矛盾纠纷多元预防调处化解综合机制，持续攻坚积案化解，抓早抓小，减存量、控增量；</w:t>
      </w:r>
      <w:r>
        <w:rPr>
          <w:rFonts w:hint="eastAsia" w:ascii="仿宋_GB2312" w:hAnsi="Times New Roman" w:eastAsia="仿宋_GB2312" w:cs="Times New Roman"/>
          <w:sz w:val="32"/>
          <w:szCs w:val="32"/>
          <w:highlight w:val="none"/>
          <w:lang w:val="en-US" w:eastAsia="zh-CN"/>
        </w:rPr>
        <w:t>常态化推进扫黑除恶专项斗争，依法打击“涉邪”等非法活动，扎实开展禁毒教育；深入推进普法工作，开展人民调解推进公共法律服务体系建设。</w:t>
      </w:r>
      <w:r>
        <w:rPr>
          <w:rFonts w:hint="eastAsia" w:ascii="仿宋_GB2312" w:hAnsi="Times New Roman" w:eastAsia="仿宋_GB2312" w:cs="Times New Roman"/>
          <w:b/>
          <w:bCs/>
          <w:sz w:val="32"/>
          <w:szCs w:val="32"/>
          <w:lang w:val="en-US" w:eastAsia="zh-CN"/>
        </w:rPr>
        <w:t>二是严格落</w:t>
      </w:r>
      <w:r>
        <w:rPr>
          <w:rFonts w:hint="eastAsia" w:ascii="仿宋_GB2312" w:hAnsi="Times New Roman" w:eastAsia="仿宋_GB2312" w:cs="Times New Roman"/>
          <w:b/>
          <w:bCs/>
          <w:sz w:val="32"/>
          <w:szCs w:val="32"/>
        </w:rPr>
        <w:t>实安全生产。</w:t>
      </w:r>
      <w:r>
        <w:rPr>
          <w:rFonts w:hint="default" w:ascii="Times New Roman" w:hAnsi="Times New Roman" w:eastAsia="仿宋_GB2312" w:cs="Times New Roman"/>
          <w:sz w:val="32"/>
          <w:szCs w:val="32"/>
          <w:highlight w:val="none"/>
          <w:lang w:val="en-US" w:eastAsia="zh-CN"/>
        </w:rPr>
        <w:t>巩固安全生产大清查、大整治工作的成果，加大安全生产监督检查力度，确保辖区</w:t>
      </w:r>
      <w:r>
        <w:rPr>
          <w:rFonts w:hint="eastAsia" w:ascii="Times New Roman" w:hAnsi="Times New Roman" w:eastAsia="仿宋_GB2312" w:cs="Times New Roman"/>
          <w:sz w:val="32"/>
          <w:szCs w:val="32"/>
          <w:highlight w:val="none"/>
          <w:lang w:val="en-US" w:eastAsia="zh-CN"/>
        </w:rPr>
        <w:t>内</w:t>
      </w:r>
      <w:r>
        <w:rPr>
          <w:rFonts w:hint="default" w:ascii="Times New Roman" w:hAnsi="Times New Roman" w:eastAsia="仿宋_GB2312" w:cs="Times New Roman"/>
          <w:sz w:val="32"/>
          <w:szCs w:val="32"/>
          <w:highlight w:val="none"/>
          <w:lang w:val="en-US" w:eastAsia="zh-CN"/>
        </w:rPr>
        <w:t>安全生产形势稳定。加大安全生产法律法规的宣传力度，努力探索使用新宣传方式、媒体开展宣传活动。</w:t>
      </w:r>
      <w:r>
        <w:rPr>
          <w:rFonts w:hint="eastAsia" w:ascii="仿宋_GB2312" w:hAnsi="Times New Roman" w:eastAsia="仿宋_GB2312" w:cs="Times New Roman"/>
          <w:b/>
          <w:bCs/>
          <w:sz w:val="32"/>
          <w:szCs w:val="32"/>
          <w:lang w:val="en-US" w:eastAsia="zh-CN"/>
        </w:rPr>
        <w:t>三是纵深推进</w:t>
      </w:r>
      <w:r>
        <w:rPr>
          <w:rFonts w:hint="eastAsia" w:ascii="Times New Roman" w:hAnsi="Times New Roman" w:eastAsia="宋体" w:cs="Times New Roman"/>
          <w:b/>
          <w:bCs/>
          <w:sz w:val="32"/>
          <w:szCs w:val="32"/>
          <w:lang w:val="en-US" w:eastAsia="zh-CN"/>
        </w:rPr>
        <w:t>生态环保</w:t>
      </w:r>
      <w:r>
        <w:rPr>
          <w:rFonts w:hint="eastAsia" w:ascii="仿宋_GB2312" w:hAnsi="Times New Roman" w:eastAsia="仿宋_GB2312" w:cs="Times New Roman"/>
          <w:b/>
          <w:bCs/>
          <w:sz w:val="32"/>
          <w:szCs w:val="32"/>
          <w:lang w:val="en-US" w:eastAsia="zh-CN"/>
        </w:rPr>
        <w:t>。</w:t>
      </w:r>
      <w:r>
        <w:rPr>
          <w:rFonts w:hint="eastAsia" w:ascii="仿宋_GB2312" w:hAnsi="Times New Roman" w:eastAsia="仿宋_GB2312" w:cs="Times New Roman"/>
          <w:sz w:val="32"/>
          <w:szCs w:val="32"/>
          <w:lang w:val="en-US" w:eastAsia="zh-CN"/>
        </w:rPr>
        <w:t>持续深入打好蓝天、碧</w:t>
      </w:r>
      <w:r>
        <w:rPr>
          <w:rFonts w:hint="eastAsia" w:ascii="Times New Roman" w:hAnsi="Times New Roman" w:eastAsia="仿宋_GB2312" w:cs="Times New Roman"/>
          <w:sz w:val="32"/>
          <w:szCs w:val="32"/>
          <w:highlight w:val="none"/>
          <w:lang w:val="en-US" w:eastAsia="zh-CN"/>
        </w:rPr>
        <w:t>水、净土保卫</w:t>
      </w:r>
      <w:r>
        <w:rPr>
          <w:rFonts w:hint="eastAsia" w:ascii="仿宋_GB2312" w:hAnsi="Times New Roman" w:eastAsia="仿宋_GB2312" w:cs="Times New Roman"/>
          <w:sz w:val="32"/>
          <w:szCs w:val="32"/>
          <w:lang w:val="en-US" w:eastAsia="zh-CN"/>
        </w:rPr>
        <w:t>战，加强秸秆禁烧和综合利用工作，实行全时段秸秆禁烧，确保全年零火</w:t>
      </w:r>
      <w:r>
        <w:rPr>
          <w:rFonts w:hint="eastAsia" w:ascii="Times New Roman" w:hAnsi="Times New Roman" w:eastAsia="宋体" w:cs="Times New Roman"/>
          <w:sz w:val="32"/>
          <w:szCs w:val="32"/>
          <w:lang w:val="en-US" w:eastAsia="zh-CN"/>
        </w:rPr>
        <w:t>；</w:t>
      </w:r>
      <w:r>
        <w:rPr>
          <w:rFonts w:hint="eastAsia" w:ascii="仿宋_GB2312" w:hAnsi="Times New Roman" w:eastAsia="仿宋_GB2312" w:cs="Times New Roman"/>
          <w:sz w:val="32"/>
          <w:szCs w:val="32"/>
          <w:lang w:val="en-US" w:eastAsia="zh-CN"/>
        </w:rPr>
        <w:t>全面落实河长制、林长制、田长制，加大水</w:t>
      </w:r>
      <w:r>
        <w:rPr>
          <w:rFonts w:hint="eastAsia" w:ascii="楷体_GB2312" w:hAnsi="楷体_GB2312" w:eastAsia="楷体_GB2312" w:cs="楷体_GB2312"/>
          <w:b w:val="0"/>
          <w:bCs w:val="0"/>
          <w:kern w:val="2"/>
          <w:sz w:val="32"/>
          <w:szCs w:val="32"/>
          <w:lang w:val="en-US" w:eastAsia="zh-CN" w:bidi="ar-SA"/>
        </w:rPr>
        <w:t>环境</w:t>
      </w:r>
      <w:r>
        <w:rPr>
          <w:rFonts w:hint="eastAsia" w:ascii="仿宋_GB2312" w:hAnsi="Times New Roman" w:eastAsia="仿宋_GB2312" w:cs="Times New Roman"/>
          <w:sz w:val="32"/>
          <w:szCs w:val="32"/>
          <w:lang w:val="en-US" w:eastAsia="zh-CN"/>
        </w:rPr>
        <w:t>保护力度，常态化开展巡察检查，强化河道监管，促进水质改善提高；加强土壤污染治理管控，统筹推进采煤沉陷区治理修复和土地复垦，确保土地保护工作取得实效。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黑体" w:hAnsi="黑体" w:eastAsia="黑体" w:cs="Times New Roman"/>
          <w:b w:val="0"/>
          <w:bCs/>
          <w:kern w:val="2"/>
          <w:sz w:val="32"/>
          <w:szCs w:val="32"/>
          <w:lang w:val="en-US" w:eastAsia="zh-CN" w:bidi="ar-SA"/>
        </w:rPr>
      </w:pPr>
      <w:r>
        <w:rPr>
          <w:rFonts w:hint="eastAsia" w:ascii="黑体" w:hAnsi="黑体" w:eastAsia="黑体" w:cs="Times New Roman"/>
          <w:b w:val="0"/>
          <w:bCs/>
          <w:kern w:val="2"/>
          <w:sz w:val="32"/>
          <w:szCs w:val="32"/>
          <w:lang w:val="en-US" w:eastAsia="zh-CN" w:bidi="ar-SA"/>
        </w:rPr>
        <w:t>四、对政府自身建设的意见建议</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Times New Roman" w:eastAsia="仿宋_GB2312" w:cs="Times New Roman"/>
          <w:kern w:val="2"/>
          <w:sz w:val="32"/>
          <w:szCs w:val="32"/>
          <w:lang w:val="en-US" w:eastAsia="zh-CN" w:bidi="ar-SA"/>
        </w:rPr>
      </w:pPr>
      <w:r>
        <w:rPr>
          <w:rFonts w:hint="eastAsia" w:ascii="楷体_GB2312" w:hAnsi="Times New Roman" w:eastAsia="楷体_GB2312" w:cs="Times New Roman"/>
          <w:b/>
          <w:bCs/>
          <w:kern w:val="2"/>
          <w:sz w:val="32"/>
          <w:szCs w:val="32"/>
          <w:lang w:val="en-US" w:eastAsia="zh-CN" w:bidi="ar-SA"/>
        </w:rPr>
        <w:t>（一）加强自身建设，打造服务型平台。</w:t>
      </w:r>
      <w:r>
        <w:rPr>
          <w:rFonts w:hint="eastAsia" w:ascii="仿宋_GB2312" w:hAnsi="Times New Roman" w:eastAsia="仿宋_GB2312" w:cs="Times New Roman"/>
          <w:kern w:val="2"/>
          <w:sz w:val="32"/>
          <w:szCs w:val="32"/>
          <w:lang w:val="en-US" w:eastAsia="zh-CN" w:bidi="ar-SA"/>
        </w:rPr>
        <w:t>坚持用习近平新时代中国特色社会主义思想开展工作，切实做到学思用贯通、知信行统一。同时加强业务指导，形成部门互动、上下联动，做好政策、业务、服务等各项工作衔接。</w:t>
      </w:r>
    </w:p>
    <w:p>
      <w:pPr>
        <w:keepNext w:val="0"/>
        <w:keepLines w:val="0"/>
        <w:pageBreakBefore w:val="0"/>
        <w:widowControl w:val="0"/>
        <w:kinsoku/>
        <w:wordWrap/>
        <w:overflowPunct/>
        <w:topLinePunct w:val="0"/>
        <w:autoSpaceDE/>
        <w:autoSpaceDN/>
        <w:bidi w:val="0"/>
        <w:adjustRightInd/>
        <w:snapToGrid/>
        <w:spacing w:after="120" w:line="600" w:lineRule="exact"/>
        <w:ind w:left="0" w:leftChars="0" w:firstLine="643" w:firstLineChars="200"/>
        <w:jc w:val="both"/>
        <w:textAlignment w:val="auto"/>
        <w:rPr>
          <w:rFonts w:hint="eastAsia" w:ascii="仿宋_GB2312" w:hAnsi="Times New Roman" w:eastAsia="仿宋_GB2312" w:cs="Times New Roman"/>
          <w:kern w:val="2"/>
          <w:sz w:val="32"/>
          <w:szCs w:val="32"/>
          <w:lang w:val="en-US" w:eastAsia="zh-CN" w:bidi="ar-SA"/>
        </w:rPr>
      </w:pPr>
      <w:r>
        <w:rPr>
          <w:rFonts w:hint="eastAsia" w:ascii="楷体_GB2312" w:hAnsi="Times New Roman" w:eastAsia="楷体_GB2312" w:cs="Times New Roman"/>
          <w:b/>
          <w:bCs/>
          <w:kern w:val="2"/>
          <w:sz w:val="32"/>
          <w:szCs w:val="32"/>
          <w:lang w:val="en-US" w:eastAsia="zh-CN" w:bidi="ar-SA"/>
        </w:rPr>
        <w:t>（二）严格依法行政，转变工作作风。</w:t>
      </w:r>
      <w:r>
        <w:rPr>
          <w:rFonts w:hint="eastAsia" w:ascii="仿宋_GB2312" w:hAnsi="Times New Roman" w:eastAsia="仿宋_GB2312" w:cs="Times New Roman"/>
          <w:kern w:val="2"/>
          <w:sz w:val="32"/>
          <w:szCs w:val="32"/>
          <w:lang w:val="en-US" w:eastAsia="zh-CN" w:bidi="ar-SA"/>
        </w:rPr>
        <w:t>全面推进政务公开，自觉接受人大法律监督及社会各方面监督，规范行政决策程序，严格落实合法性审查制度，深入推进法治政府建设，全面落实行政执法“三项制度”。</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3" w:firstLineChars="200"/>
        <w:textAlignment w:val="auto"/>
        <w:rPr>
          <w:rFonts w:hint="eastAsia" w:ascii="仿宋_GB2312" w:hAnsi="Times New Roman" w:eastAsia="仿宋_GB2312" w:cs="Times New Roman"/>
          <w:kern w:val="2"/>
          <w:sz w:val="32"/>
          <w:szCs w:val="32"/>
          <w:lang w:val="en-US" w:eastAsia="zh-CN" w:bidi="ar-SA"/>
        </w:rPr>
      </w:pPr>
      <w:r>
        <w:rPr>
          <w:rFonts w:hint="eastAsia" w:ascii="楷体_GB2312" w:hAnsi="Times New Roman" w:eastAsia="楷体_GB2312" w:cs="Times New Roman"/>
          <w:b/>
          <w:bCs/>
          <w:kern w:val="2"/>
          <w:sz w:val="32"/>
          <w:szCs w:val="32"/>
          <w:lang w:val="en-US" w:eastAsia="zh-CN" w:bidi="ar-SA"/>
        </w:rPr>
        <w:t>（三）明确总体规划，绘制发展蓝图。</w:t>
      </w:r>
      <w:r>
        <w:rPr>
          <w:rFonts w:hint="eastAsia" w:ascii="仿宋_GB2312" w:hAnsi="Times New Roman" w:eastAsia="仿宋_GB2312" w:cs="Times New Roman"/>
          <w:kern w:val="2"/>
          <w:sz w:val="32"/>
          <w:szCs w:val="32"/>
          <w:lang w:val="en-US" w:eastAsia="zh-CN" w:bidi="ar-SA"/>
        </w:rPr>
        <w:t>坚持规划引领、招商引资开路、项目保障跟进，做好区域规划、土地利用，拓宽城市发展空间，推进特色旅游区、现代产业区和生态修复示范区建设，推动重大项目落地建设，发挥大项目的辐射带动效应。</w:t>
      </w:r>
    </w:p>
    <w:p>
      <w:pPr>
        <w:pStyle w:val="5"/>
        <w:keepNext w:val="0"/>
        <w:keepLines w:val="0"/>
        <w:pageBreakBefore w:val="0"/>
        <w:kinsoku/>
        <w:wordWrap/>
        <w:overflowPunct/>
        <w:topLinePunct w:val="0"/>
        <w:autoSpaceDE/>
        <w:autoSpaceDN/>
        <w:bidi w:val="0"/>
        <w:adjustRightInd/>
        <w:snapToGrid/>
        <w:spacing w:before="0" w:line="600" w:lineRule="exact"/>
        <w:ind w:left="0" w:leftChars="0" w:firstLine="0" w:firstLineChars="0"/>
        <w:jc w:val="both"/>
        <w:textAlignment w:val="auto"/>
        <w:rPr>
          <w:rFonts w:hint="eastAsia"/>
        </w:rPr>
      </w:pPr>
    </w:p>
    <w:sectPr>
      <w:footerReference r:id="rId3" w:type="default"/>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1BCB325-1BCB-41CB-8FDA-94D9B522FA95}"/>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embedRegular r:id="rId2" w:fontKey="{1A5062A6-EC64-43AD-B9F9-68C4534A44E7}"/>
  </w:font>
  <w:font w:name="方正小标宋_GBK">
    <w:panose1 w:val="03000509000000000000"/>
    <w:charset w:val="86"/>
    <w:family w:val="script"/>
    <w:pitch w:val="default"/>
    <w:sig w:usb0="00000001" w:usb1="080E0000" w:usb2="00000000" w:usb3="00000000" w:csb0="00040000" w:csb1="00000000"/>
    <w:embedRegular r:id="rId3" w:fontKey="{37AA238B-1B33-40B5-8F56-F18B49DD07A4}"/>
  </w:font>
  <w:font w:name="楷体_GB2312">
    <w:panose1 w:val="02010609030101010101"/>
    <w:charset w:val="86"/>
    <w:family w:val="modern"/>
    <w:pitch w:val="default"/>
    <w:sig w:usb0="00000001" w:usb1="080E0000" w:usb2="00000000" w:usb3="00000000" w:csb0="00040000" w:csb1="00000000"/>
    <w:embedRegular r:id="rId4" w:fontKey="{9A8A8A89-1BFE-45F3-AE11-1228A7DACD02}"/>
  </w:font>
  <w:font w:name="仿宋_GB2312">
    <w:panose1 w:val="02010609030101010101"/>
    <w:charset w:val="86"/>
    <w:family w:val="modern"/>
    <w:pitch w:val="default"/>
    <w:sig w:usb0="00000001" w:usb1="080E0000" w:usb2="00000000" w:usb3="00000000" w:csb0="00040000" w:csb1="00000000"/>
    <w:embedRegular r:id="rId5" w:fontKey="{083322CB-C831-497C-9755-1FA10FC8D6E2}"/>
  </w:font>
  <w:font w:name="楷体">
    <w:panose1 w:val="02010609060101010101"/>
    <w:charset w:val="86"/>
    <w:family w:val="modern"/>
    <w:pitch w:val="default"/>
    <w:sig w:usb0="800002BF" w:usb1="38CF7CFA" w:usb2="00000016" w:usb3="00000000" w:csb0="00040001" w:csb1="00000000"/>
    <w:embedRegular r:id="rId6" w:fontKey="{CEB47F49-E6B5-4087-90AF-A7D9AE54AA7C}"/>
  </w:font>
  <w:font w:name="方正黑体简体">
    <w:panose1 w:val="02000000000000000000"/>
    <w:charset w:val="86"/>
    <w:family w:val="auto"/>
    <w:pitch w:val="default"/>
    <w:sig w:usb0="A00002BF" w:usb1="184F6CFA" w:usb2="00000012" w:usb3="00000000" w:csb0="00040001" w:csb1="00000000"/>
    <w:embedRegular r:id="rId7" w:fontKey="{52AC4F57-12B6-43A5-8959-F03AC33BA69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80D1141"/>
    <w:multiLevelType w:val="singleLevel"/>
    <w:tmpl w:val="F80D1141"/>
    <w:lvl w:ilvl="0" w:tentative="0">
      <w:start w:val="1"/>
      <w:numFmt w:val="chineseCounting"/>
      <w:suff w:val="nothing"/>
      <w:lvlText w:val="%1、"/>
      <w:lvlJc w:val="left"/>
      <w:rPr>
        <w:rFonts w:hint="eastAsia" w:ascii="黑体" w:hAnsi="黑体" w:eastAsia="黑体" w:cs="黑体"/>
        <w:sz w:val="32"/>
        <w:szCs w:val="32"/>
      </w:rPr>
    </w:lvl>
  </w:abstractNum>
  <w:abstractNum w:abstractNumId="1">
    <w:nsid w:val="44CC185F"/>
    <w:multiLevelType w:val="singleLevel"/>
    <w:tmpl w:val="44CC185F"/>
    <w:lvl w:ilvl="0" w:tentative="0">
      <w:start w:val="1"/>
      <w:numFmt w:val="chineseCounting"/>
      <w:suff w:val="nothing"/>
      <w:lvlText w:val="（%1）"/>
      <w:lvlJc w:val="left"/>
      <w:rPr>
        <w:rFonts w:hint="eastAsia" w:ascii="楷体_GB2312" w:hAnsi="楷体_GB2312" w:eastAsia="楷体_GB2312" w:cs="楷体_GB2312"/>
        <w:b w:val="0"/>
        <w:bCs w:val="0"/>
        <w:sz w:val="32"/>
        <w:szCs w:val="32"/>
      </w:rPr>
    </w:lvl>
  </w:abstractNum>
  <w:abstractNum w:abstractNumId="2">
    <w:nsid w:val="7D9609D4"/>
    <w:multiLevelType w:val="singleLevel"/>
    <w:tmpl w:val="7D9609D4"/>
    <w:lvl w:ilvl="0" w:tentative="0">
      <w:start w:val="3"/>
      <w:numFmt w:val="chineseCounting"/>
      <w:suff w:val="nothing"/>
      <w:lvlText w:val="（%1）"/>
      <w:lvlJc w:val="left"/>
      <w:rPr>
        <w:rFonts w:hint="eastAsia" w:ascii="楷体" w:hAnsi="楷体" w:eastAsia="楷体" w:cs="楷体"/>
        <w:b w:val="0"/>
        <w:bCs w:val="0"/>
        <w:sz w:val="32"/>
        <w:szCs w:val="32"/>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kwMjFhYmY2ODNiNWVkMWU5YWYzMGIyYTkwOTZhMTMifQ=="/>
  </w:docVars>
  <w:rsids>
    <w:rsidRoot w:val="31E54708"/>
    <w:rsid w:val="041E284B"/>
    <w:rsid w:val="0513197B"/>
    <w:rsid w:val="05804B1A"/>
    <w:rsid w:val="06D24299"/>
    <w:rsid w:val="08D40D03"/>
    <w:rsid w:val="0A047EFB"/>
    <w:rsid w:val="0A316959"/>
    <w:rsid w:val="0A3474A7"/>
    <w:rsid w:val="0B544651"/>
    <w:rsid w:val="0C4D45EC"/>
    <w:rsid w:val="0EB35BA6"/>
    <w:rsid w:val="10B30DDE"/>
    <w:rsid w:val="115D123B"/>
    <w:rsid w:val="186F52C2"/>
    <w:rsid w:val="18EB639E"/>
    <w:rsid w:val="1A2F7787"/>
    <w:rsid w:val="1A537671"/>
    <w:rsid w:val="1AB20468"/>
    <w:rsid w:val="1ABE6FE4"/>
    <w:rsid w:val="1B5D1E0C"/>
    <w:rsid w:val="1B762547"/>
    <w:rsid w:val="1D0A643F"/>
    <w:rsid w:val="1E851BB1"/>
    <w:rsid w:val="1EDC23C2"/>
    <w:rsid w:val="2014477C"/>
    <w:rsid w:val="21B634AE"/>
    <w:rsid w:val="22487203"/>
    <w:rsid w:val="255A175D"/>
    <w:rsid w:val="29EF5ADA"/>
    <w:rsid w:val="2B4A28B0"/>
    <w:rsid w:val="2D6B7AAF"/>
    <w:rsid w:val="306A602F"/>
    <w:rsid w:val="31E54708"/>
    <w:rsid w:val="341A4B4C"/>
    <w:rsid w:val="35CD156F"/>
    <w:rsid w:val="35E90583"/>
    <w:rsid w:val="36301896"/>
    <w:rsid w:val="38AE2FF5"/>
    <w:rsid w:val="39432973"/>
    <w:rsid w:val="3A666016"/>
    <w:rsid w:val="3DB6523D"/>
    <w:rsid w:val="3FDF6807"/>
    <w:rsid w:val="4100168C"/>
    <w:rsid w:val="41911259"/>
    <w:rsid w:val="41E663EE"/>
    <w:rsid w:val="44C74A77"/>
    <w:rsid w:val="45877A91"/>
    <w:rsid w:val="46674E60"/>
    <w:rsid w:val="47EE4A22"/>
    <w:rsid w:val="4809505F"/>
    <w:rsid w:val="4AD26384"/>
    <w:rsid w:val="4B463978"/>
    <w:rsid w:val="4CD40EDA"/>
    <w:rsid w:val="517B53A5"/>
    <w:rsid w:val="53E04933"/>
    <w:rsid w:val="55C36280"/>
    <w:rsid w:val="564F2D9E"/>
    <w:rsid w:val="56AF6690"/>
    <w:rsid w:val="579E0059"/>
    <w:rsid w:val="5D13683A"/>
    <w:rsid w:val="5D7F12BD"/>
    <w:rsid w:val="5FB3729E"/>
    <w:rsid w:val="614E6EF1"/>
    <w:rsid w:val="63DE64E2"/>
    <w:rsid w:val="649C1DB6"/>
    <w:rsid w:val="67B01D93"/>
    <w:rsid w:val="67B76EEF"/>
    <w:rsid w:val="684E1A0C"/>
    <w:rsid w:val="690245EB"/>
    <w:rsid w:val="6AE508C6"/>
    <w:rsid w:val="750000AA"/>
    <w:rsid w:val="781D7CD5"/>
    <w:rsid w:val="7DEF10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4">
    <w:name w:val="Default Paragraph Font"/>
    <w:autoRedefine/>
    <w:semiHidden/>
    <w:qFormat/>
    <w:uiPriority w:val="0"/>
  </w:style>
  <w:style w:type="table" w:default="1" w:styleId="13">
    <w:name w:val="Normal Table"/>
    <w:autoRedefine/>
    <w:semiHidden/>
    <w:qFormat/>
    <w:uiPriority w:val="0"/>
    <w:tblPr>
      <w:tblCellMar>
        <w:top w:w="0" w:type="dxa"/>
        <w:left w:w="108" w:type="dxa"/>
        <w:bottom w:w="0" w:type="dxa"/>
        <w:right w:w="108" w:type="dxa"/>
      </w:tblCellMar>
    </w:tblPr>
  </w:style>
  <w:style w:type="paragraph" w:styleId="2">
    <w:name w:val="Body Text Indent 2"/>
    <w:basedOn w:val="1"/>
    <w:autoRedefine/>
    <w:qFormat/>
    <w:uiPriority w:val="99"/>
    <w:pPr>
      <w:spacing w:after="120" w:line="480" w:lineRule="auto"/>
      <w:ind w:left="420" w:leftChars="200"/>
    </w:pPr>
  </w:style>
  <w:style w:type="paragraph" w:styleId="3">
    <w:name w:val="table of authorities"/>
    <w:basedOn w:val="1"/>
    <w:next w:val="1"/>
    <w:autoRedefine/>
    <w:semiHidden/>
    <w:qFormat/>
    <w:uiPriority w:val="0"/>
    <w:pPr>
      <w:ind w:left="420" w:leftChars="200"/>
    </w:pPr>
  </w:style>
  <w:style w:type="paragraph" w:styleId="4">
    <w:name w:val="Normal Indent"/>
    <w:autoRedefine/>
    <w:qFormat/>
    <w:uiPriority w:val="0"/>
    <w:pPr>
      <w:widowControl w:val="0"/>
      <w:spacing w:line="240" w:lineRule="auto"/>
      <w:ind w:firstLine="420"/>
      <w:jc w:val="both"/>
    </w:pPr>
    <w:rPr>
      <w:rFonts w:ascii="Calibri" w:hAnsi="Calibri" w:eastAsia="宋体" w:cs="黑体"/>
      <w:kern w:val="2"/>
      <w:sz w:val="21"/>
      <w:szCs w:val="24"/>
      <w:lang w:val="en-US" w:eastAsia="zh-CN" w:bidi="ar-SA"/>
    </w:rPr>
  </w:style>
  <w:style w:type="paragraph" w:styleId="5">
    <w:name w:val="Body Text"/>
    <w:basedOn w:val="1"/>
    <w:next w:val="6"/>
    <w:autoRedefine/>
    <w:qFormat/>
    <w:uiPriority w:val="1"/>
    <w:pPr>
      <w:spacing w:before="102"/>
      <w:ind w:left="112"/>
    </w:pPr>
    <w:rPr>
      <w:sz w:val="28"/>
      <w:szCs w:val="28"/>
    </w:rPr>
  </w:style>
  <w:style w:type="paragraph" w:customStyle="1" w:styleId="6">
    <w:name w:val="_Style 2"/>
    <w:basedOn w:val="1"/>
    <w:next w:val="1"/>
    <w:autoRedefine/>
    <w:qFormat/>
    <w:uiPriority w:val="0"/>
    <w:pPr>
      <w:ind w:firstLine="420" w:firstLineChars="200"/>
    </w:pPr>
  </w:style>
  <w:style w:type="paragraph" w:styleId="7">
    <w:name w:val="Body Text Indent"/>
    <w:basedOn w:val="1"/>
    <w:autoRedefine/>
    <w:qFormat/>
    <w:uiPriority w:val="0"/>
    <w:pPr>
      <w:spacing w:line="360" w:lineRule="auto"/>
      <w:ind w:firstLine="640" w:firstLineChars="200"/>
      <w:jc w:val="left"/>
    </w:pPr>
    <w:rPr>
      <w:rFonts w:ascii="宋体" w:hAnsi="宋体" w:eastAsia="宋体"/>
      <w:sz w:val="32"/>
    </w:rPr>
  </w:style>
  <w:style w:type="paragraph" w:styleId="8">
    <w:name w:val="footer"/>
    <w:basedOn w:val="1"/>
    <w:autoRedefine/>
    <w:unhideWhenUsed/>
    <w:qFormat/>
    <w:uiPriority w:val="99"/>
    <w:pPr>
      <w:tabs>
        <w:tab w:val="center" w:pos="4153"/>
        <w:tab w:val="right" w:pos="8306"/>
      </w:tabs>
      <w:snapToGrid w:val="0"/>
      <w:jc w:val="left"/>
    </w:pPr>
    <w:rPr>
      <w:sz w:val="18"/>
      <w:szCs w:val="18"/>
    </w:rPr>
  </w:style>
  <w:style w:type="paragraph" w:styleId="9">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toc 1"/>
    <w:next w:val="1"/>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11">
    <w:name w:val="Normal (Web)"/>
    <w:basedOn w:val="1"/>
    <w:autoRedefine/>
    <w:qFormat/>
    <w:uiPriority w:val="99"/>
    <w:pPr>
      <w:widowControl/>
      <w:spacing w:before="100" w:beforeAutospacing="1" w:after="100" w:afterAutospacing="1"/>
      <w:jc w:val="left"/>
    </w:pPr>
    <w:rPr>
      <w:rFonts w:ascii="宋体" w:hAnsi="宋体" w:eastAsia="宋体" w:cs="宋体"/>
      <w:kern w:val="0"/>
      <w:sz w:val="24"/>
      <w:szCs w:val="24"/>
    </w:rPr>
  </w:style>
  <w:style w:type="paragraph" w:styleId="12">
    <w:name w:val="Body Text First Indent 2"/>
    <w:basedOn w:val="7"/>
    <w:next w:val="1"/>
    <w:autoRedefine/>
    <w:unhideWhenUsed/>
    <w:qFormat/>
    <w:uiPriority w:val="99"/>
    <w:pPr>
      <w:ind w:firstLine="42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5127</Words>
  <Characters>5301</Characters>
  <Lines>0</Lines>
  <Paragraphs>0</Paragraphs>
  <TotalTime>6</TotalTime>
  <ScaleCrop>false</ScaleCrop>
  <LinksUpToDate>false</LinksUpToDate>
  <CharactersWithSpaces>5308</CharactersWithSpaces>
  <Application>WPS Office_12.1.0.16910_F1E327BC-269C-435d-A152-05C5408002CA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2023-05-22T06:45:00Z</dcterms:created>
  <dc:creator>wjx.</dc:creator>
  <cp:lastModifiedBy>WPS_1697186249</cp:lastModifiedBy>
  <cp:lastPrinted>2023-09-28T06:40:00Z</cp:lastPrinted>
  <dcterms:modified xsi:type="dcterms:W3CDTF">2024-05-11T02:01:47Z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2052-12.1.0.16910</vt:lpwstr>
  </property>
  <property fmtid="{D5CDD505-2E9C-101B-9397-08002B2CF9AE}" pid="3" name="ICV">
    <vt:lpwstr>7C71C2227A444679A6D225D223FA8E6B_13</vt:lpwstr>
  </property>
</Properties>
</file>