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91" w:line="224" w:lineRule="auto"/>
        <w:ind w:left="536"/>
        <w:rPr>
          <w:rFonts w:hint="eastAsia" w:ascii="宋体" w:hAnsi="宋体" w:eastAsia="宋体" w:cs="宋体"/>
          <w:sz w:val="28"/>
          <w:szCs w:val="28"/>
        </w:rPr>
      </w:pPr>
      <w:r>
        <w:rPr>
          <w:rFonts w:hint="eastAsia" w:ascii="宋体" w:hAnsi="宋体" w:eastAsia="宋体" w:cs="宋体"/>
          <w:b/>
          <w:bCs/>
          <w:spacing w:val="-15"/>
          <w:sz w:val="28"/>
          <w:szCs w:val="28"/>
        </w:rPr>
        <w:t>附</w:t>
      </w:r>
      <w:r>
        <w:rPr>
          <w:rFonts w:hint="eastAsia" w:ascii="宋体" w:hAnsi="宋体" w:eastAsia="宋体" w:cs="宋体"/>
          <w:spacing w:val="-50"/>
          <w:sz w:val="28"/>
          <w:szCs w:val="28"/>
        </w:rPr>
        <w:t xml:space="preserve"> </w:t>
      </w:r>
      <w:r>
        <w:rPr>
          <w:rFonts w:hint="eastAsia" w:ascii="宋体" w:hAnsi="宋体" w:eastAsia="宋体" w:cs="宋体"/>
          <w:b/>
          <w:bCs/>
          <w:spacing w:val="-15"/>
          <w:sz w:val="28"/>
          <w:szCs w:val="28"/>
        </w:rPr>
        <w:t>件</w:t>
      </w:r>
      <w:r>
        <w:rPr>
          <w:rFonts w:hint="eastAsia" w:ascii="宋体" w:hAnsi="宋体" w:eastAsia="宋体" w:cs="宋体"/>
          <w:spacing w:val="-48"/>
          <w:sz w:val="28"/>
          <w:szCs w:val="28"/>
        </w:rPr>
        <w:t xml:space="preserve"> </w:t>
      </w:r>
      <w:r>
        <w:rPr>
          <w:rFonts w:hint="eastAsia" w:ascii="宋体" w:hAnsi="宋体" w:eastAsia="宋体" w:cs="宋体"/>
          <w:b/>
          <w:bCs/>
          <w:spacing w:val="-15"/>
          <w:sz w:val="28"/>
          <w:szCs w:val="28"/>
        </w:rPr>
        <w:t>3</w:t>
      </w:r>
    </w:p>
    <w:p>
      <w:pPr>
        <w:spacing w:line="315" w:lineRule="auto"/>
        <w:rPr>
          <w:rFonts w:hint="eastAsia" w:ascii="宋体" w:hAnsi="宋体" w:eastAsia="宋体" w:cs="宋体"/>
          <w:sz w:val="21"/>
        </w:rPr>
      </w:pPr>
    </w:p>
    <w:p>
      <w:pPr>
        <w:spacing w:line="315" w:lineRule="auto"/>
        <w:rPr>
          <w:rFonts w:hint="eastAsia" w:ascii="宋体" w:hAnsi="宋体" w:eastAsia="宋体" w:cs="宋体"/>
          <w:sz w:val="21"/>
        </w:rPr>
      </w:pPr>
    </w:p>
    <w:p>
      <w:pPr>
        <w:spacing w:before="111" w:line="218" w:lineRule="auto"/>
        <w:jc w:val="center"/>
        <w:rPr>
          <w:rFonts w:hint="eastAsia" w:ascii="方正小标宋简体" w:hAnsi="方正小标宋简体" w:eastAsia="方正小标宋简体" w:cs="方正小标宋简体"/>
          <w:sz w:val="34"/>
          <w:szCs w:val="34"/>
        </w:rPr>
      </w:pPr>
      <w:r>
        <w:rPr>
          <w:rFonts w:hint="eastAsia" w:ascii="方正小标宋简体" w:hAnsi="方正小标宋简体" w:eastAsia="方正小标宋简体" w:cs="方正小标宋简体"/>
          <w:b/>
          <w:bCs/>
          <w:spacing w:val="-8"/>
          <w:sz w:val="44"/>
          <w:szCs w:val="44"/>
          <w:lang w:eastAsia="zh-CN"/>
        </w:rPr>
        <w:t>基本公共卫生服务补助资金</w:t>
      </w:r>
      <w:r>
        <w:rPr>
          <w:rFonts w:hint="eastAsia" w:ascii="方正小标宋简体" w:hAnsi="方正小标宋简体" w:eastAsia="方正小标宋简体" w:cs="方正小标宋简体"/>
          <w:b/>
          <w:bCs/>
          <w:spacing w:val="-8"/>
          <w:sz w:val="44"/>
          <w:szCs w:val="44"/>
        </w:rPr>
        <w:t>202</w:t>
      </w:r>
      <w:r>
        <w:rPr>
          <w:rFonts w:hint="eastAsia" w:ascii="方正小标宋简体" w:hAnsi="方正小标宋简体" w:eastAsia="方正小标宋简体" w:cs="方正小标宋简体"/>
          <w:b/>
          <w:bCs/>
          <w:spacing w:val="-8"/>
          <w:sz w:val="44"/>
          <w:szCs w:val="44"/>
          <w:lang w:val="en-US" w:eastAsia="zh-CN"/>
        </w:rPr>
        <w:t>3</w:t>
      </w:r>
      <w:r>
        <w:rPr>
          <w:rFonts w:hint="eastAsia" w:ascii="方正小标宋简体" w:hAnsi="方正小标宋简体" w:eastAsia="方正小标宋简体" w:cs="方正小标宋简体"/>
          <w:b/>
          <w:bCs/>
          <w:spacing w:val="-8"/>
          <w:sz w:val="44"/>
          <w:szCs w:val="44"/>
        </w:rPr>
        <w:t>年度绩效</w:t>
      </w:r>
      <w:r>
        <w:rPr>
          <w:rFonts w:hint="eastAsia" w:ascii="方正小标宋简体" w:hAnsi="方正小标宋简体" w:eastAsia="方正小标宋简体" w:cs="方正小标宋简体"/>
          <w:b/>
          <w:bCs/>
          <w:spacing w:val="-8"/>
          <w:sz w:val="44"/>
          <w:szCs w:val="44"/>
          <w:lang w:val="en-US" w:eastAsia="zh-CN"/>
        </w:rPr>
        <w:t xml:space="preserve">   </w:t>
      </w:r>
      <w:r>
        <w:rPr>
          <w:rFonts w:hint="eastAsia" w:ascii="方正小标宋简体" w:hAnsi="方正小标宋简体" w:eastAsia="方正小标宋简体" w:cs="方正小标宋简体"/>
          <w:b/>
          <w:bCs/>
          <w:spacing w:val="-8"/>
          <w:sz w:val="44"/>
          <w:szCs w:val="44"/>
        </w:rPr>
        <w:t>自评报告</w:t>
      </w:r>
    </w:p>
    <w:p>
      <w:pPr>
        <w:spacing w:before="202" w:line="222" w:lineRule="auto"/>
        <w:ind w:left="3722"/>
        <w:rPr>
          <w:rFonts w:hint="eastAsia" w:ascii="宋体" w:hAnsi="宋体" w:eastAsia="宋体" w:cs="宋体"/>
          <w:sz w:val="28"/>
          <w:szCs w:val="28"/>
        </w:rPr>
      </w:pP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一 、绩效目标分解下达情况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黑体" w:hAnsi="黑体" w:eastAsia="黑体" w:cs="黑体"/>
          <w:b/>
          <w:bCs/>
          <w:spacing w:val="-8"/>
          <w:sz w:val="32"/>
          <w:szCs w:val="32"/>
          <w:lang w:val="en-US"/>
        </w:rPr>
      </w:pPr>
      <w:r>
        <w:rPr>
          <w:rFonts w:hint="eastAsia" w:ascii="Times New Roman" w:hAnsi="Times New Roman" w:eastAsia="仿宋_GB2312" w:cs="Times New Roman"/>
          <w:sz w:val="32"/>
          <w:szCs w:val="32"/>
          <w:lang w:val="en-US" w:eastAsia="zh-CN"/>
        </w:rPr>
        <w:t>根据《淮南市财政局 淮南市卫生健康委员会关于下达2023年中央卫生健康部分补助资金的通知》社[2023] 2号、《淮南市财政局 淮南市卫生健康委员会关于下达2023年省级卫生健康部分补助资金的通知》社[2023] 3号、《淮南市财政局 淮南市卫生健康委员会关于清算下达2023年省级财政部分卫生健康补助资金的通知》社[2023] 109号、《淮南市财政局淮南市卫生健康委员会关于下达2023年市级基本公共卫生服务项目资金的通知》社[2023] 134号、《淮南市财政局 淮南市卫生健康委员会关于清算下达2023年中央和省财政部分卫生健康补助资金的通知》社[2023] 443号文件，下达我区基本公共卫生服务补助项目资金904.43万元，区内配套资金99.16万元，我区基本公共卫生服务补助项目资金总额985.59万元。</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二、 绩效情况分析</w:t>
      </w:r>
    </w:p>
    <w:p>
      <w:pPr>
        <w:spacing w:before="213" w:line="221" w:lineRule="auto"/>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(一)资金投入情况分析。</w:t>
      </w:r>
      <w:bookmarkStart w:id="0" w:name="_GoBack"/>
      <w:bookmarkEnd w:id="0"/>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color w:val="auto"/>
          <w:sz w:val="32"/>
          <w:szCs w:val="32"/>
          <w:lang w:val="en-US" w:eastAsia="zh-CN"/>
        </w:rPr>
        <w:t xml:space="preserve"> 202</w:t>
      </w:r>
      <w:r>
        <w:rPr>
          <w:rFonts w:hint="default" w:ascii="Times New Roman" w:hAnsi="Times New Roman" w:eastAsia="仿宋_GB2312" w:cs="Times New Roman"/>
          <w:color w:val="auto"/>
          <w:sz w:val="32"/>
          <w:szCs w:val="32"/>
          <w:lang w:val="en-US" w:eastAsia="zh-CN"/>
        </w:rPr>
        <w:t>3</w:t>
      </w:r>
      <w:r>
        <w:rPr>
          <w:rFonts w:hint="eastAsia" w:ascii="Times New Roman" w:hAnsi="Times New Roman" w:eastAsia="仿宋_GB2312" w:cs="Times New Roman"/>
          <w:color w:val="auto"/>
          <w:sz w:val="32"/>
          <w:szCs w:val="32"/>
          <w:lang w:val="en-US" w:eastAsia="zh-CN"/>
        </w:rPr>
        <w:t>年</w:t>
      </w:r>
      <w:r>
        <w:rPr>
          <w:rFonts w:hint="eastAsia" w:ascii="Times New Roman" w:hAnsi="Times New Roman" w:eastAsia="仿宋_GB2312" w:cs="Times New Roman"/>
          <w:sz w:val="32"/>
          <w:szCs w:val="32"/>
          <w:lang w:val="en-US" w:eastAsia="zh-CN"/>
        </w:rPr>
        <w:t>度基本公共卫生服务补助项目资金合计985.59万元，其中：中央财政资金568.96万元、地方财政资金416.63万元，截至目前，基本公共卫生服务补助项目资金985.59万元已经全部执行完毕，资金使用率100%。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基本公共卫生服务补助</w:t>
      </w:r>
      <w:r>
        <w:rPr>
          <w:rFonts w:hint="default" w:ascii="Times New Roman" w:hAnsi="Times New Roman" w:eastAsia="仿宋_GB2312" w:cs="Times New Roman"/>
          <w:sz w:val="32"/>
          <w:szCs w:val="32"/>
          <w:lang w:val="en-US" w:eastAsia="zh-CN"/>
        </w:rPr>
        <w:t>项目资金严格按照《</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财政厅</w:t>
      </w:r>
      <w:r>
        <w:rPr>
          <w:rFonts w:hint="eastAsia" w:ascii="Times New Roman" w:hAnsi="Times New Roman" w:eastAsia="仿宋_GB2312" w:cs="Times New Roman"/>
          <w:sz w:val="32"/>
          <w:szCs w:val="32"/>
          <w:lang w:val="en-US" w:eastAsia="zh-CN"/>
        </w:rPr>
        <w:t xml:space="preserve"> 安徽</w:t>
      </w:r>
      <w:r>
        <w:rPr>
          <w:rFonts w:hint="default" w:ascii="Times New Roman" w:hAnsi="Times New Roman" w:eastAsia="仿宋_GB2312" w:cs="Times New Roman"/>
          <w:sz w:val="32"/>
          <w:szCs w:val="32"/>
          <w:lang w:val="en-US" w:eastAsia="zh-CN"/>
        </w:rPr>
        <w:t>省卫生健康委</w:t>
      </w:r>
      <w:r>
        <w:rPr>
          <w:rFonts w:hint="eastAsia" w:ascii="Times New Roman" w:hAnsi="Times New Roman" w:eastAsia="仿宋_GB2312" w:cs="Times New Roman"/>
          <w:sz w:val="32"/>
          <w:szCs w:val="32"/>
          <w:lang w:val="en-US" w:eastAsia="zh-CN"/>
        </w:rPr>
        <w:t>员会 安徽</w:t>
      </w:r>
      <w:r>
        <w:rPr>
          <w:rFonts w:hint="default" w:ascii="Times New Roman" w:hAnsi="Times New Roman" w:eastAsia="仿宋_GB2312" w:cs="Times New Roman"/>
          <w:sz w:val="32"/>
          <w:szCs w:val="32"/>
          <w:lang w:val="en-US" w:eastAsia="zh-CN"/>
        </w:rPr>
        <w:t>省医疗保障局关于印发</w:t>
      </w:r>
      <w:r>
        <w:rPr>
          <w:rFonts w:hint="eastAsia" w:ascii="Times New Roman" w:hAnsi="Times New Roman" w:eastAsia="仿宋_GB2312" w:cs="Times New Roman"/>
          <w:sz w:val="32"/>
          <w:szCs w:val="32"/>
          <w:lang w:val="en-US" w:eastAsia="zh-CN"/>
        </w:rPr>
        <w:t>安徽省</w:t>
      </w:r>
      <w:r>
        <w:rPr>
          <w:rFonts w:hint="default" w:ascii="Times New Roman" w:hAnsi="Times New Roman" w:eastAsia="仿宋_GB2312" w:cs="Times New Roman"/>
          <w:sz w:val="32"/>
          <w:szCs w:val="32"/>
          <w:lang w:val="en-US" w:eastAsia="zh-CN"/>
        </w:rPr>
        <w:t>公共卫生服务等4项</w:t>
      </w:r>
      <w:r>
        <w:rPr>
          <w:rFonts w:hint="eastAsia" w:ascii="Times New Roman" w:hAnsi="Times New Roman" w:eastAsia="仿宋_GB2312" w:cs="Times New Roman"/>
          <w:sz w:val="32"/>
          <w:szCs w:val="32"/>
          <w:lang w:val="en-US" w:eastAsia="zh-CN"/>
        </w:rPr>
        <w:t>卫生健康</w:t>
      </w:r>
      <w:r>
        <w:rPr>
          <w:rFonts w:hint="default" w:ascii="Times New Roman" w:hAnsi="Times New Roman" w:eastAsia="仿宋_GB2312" w:cs="Times New Roman"/>
          <w:sz w:val="32"/>
          <w:szCs w:val="32"/>
          <w:lang w:val="en-US" w:eastAsia="zh-CN"/>
        </w:rPr>
        <w:t>补助资金管理</w:t>
      </w:r>
      <w:r>
        <w:rPr>
          <w:rFonts w:hint="eastAsia" w:ascii="Times New Roman" w:hAnsi="Times New Roman" w:eastAsia="仿宋_GB2312" w:cs="Times New Roman"/>
          <w:sz w:val="32"/>
          <w:szCs w:val="32"/>
          <w:lang w:val="en-US" w:eastAsia="zh-CN"/>
        </w:rPr>
        <w:t>实施</w:t>
      </w:r>
      <w:r>
        <w:rPr>
          <w:rFonts w:hint="default" w:ascii="Times New Roman" w:hAnsi="Times New Roman" w:eastAsia="仿宋_GB2312" w:cs="Times New Roman"/>
          <w:sz w:val="32"/>
          <w:szCs w:val="32"/>
          <w:lang w:val="en-US" w:eastAsia="zh-CN"/>
        </w:rPr>
        <w:t>办法的通知》(</w:t>
      </w:r>
      <w:r>
        <w:rPr>
          <w:rFonts w:hint="eastAsia" w:ascii="Times New Roman" w:hAnsi="Times New Roman" w:eastAsia="仿宋_GB2312" w:cs="Times New Roman"/>
          <w:sz w:val="32"/>
          <w:szCs w:val="32"/>
          <w:lang w:val="en-US" w:eastAsia="zh-CN"/>
        </w:rPr>
        <w:t>皖</w:t>
      </w:r>
      <w:r>
        <w:rPr>
          <w:rFonts w:hint="default" w:ascii="Times New Roman" w:hAnsi="Times New Roman" w:eastAsia="仿宋_GB2312" w:cs="Times New Roman"/>
          <w:sz w:val="32"/>
          <w:szCs w:val="32"/>
          <w:lang w:val="en-US" w:eastAsia="zh-CN"/>
        </w:rPr>
        <w:t>财社[20</w:t>
      </w:r>
      <w:r>
        <w:rPr>
          <w:rFonts w:hint="eastAsia" w:ascii="Times New Roman" w:hAnsi="Times New Roman" w:eastAsia="仿宋_GB2312" w:cs="Times New Roman"/>
          <w:sz w:val="32"/>
          <w:szCs w:val="32"/>
          <w:lang w:val="en-US" w:eastAsia="zh-CN"/>
        </w:rPr>
        <w:t>20</w:t>
      </w:r>
      <w:r>
        <w:rPr>
          <w:rFonts w:hint="default" w:ascii="Times New Roman" w:hAnsi="Times New Roman" w:eastAsia="仿宋_GB2312" w:cs="Times New Roman"/>
          <w:sz w:val="32"/>
          <w:szCs w:val="32"/>
          <w:lang w:val="en-US" w:eastAsia="zh-CN"/>
        </w:rPr>
        <w:t>]</w:t>
      </w:r>
      <w:r>
        <w:rPr>
          <w:rFonts w:hint="eastAsia" w:ascii="Times New Roman" w:hAnsi="Times New Roman" w:eastAsia="仿宋_GB2312" w:cs="Times New Roman"/>
          <w:sz w:val="32"/>
          <w:szCs w:val="32"/>
          <w:lang w:val="en-US" w:eastAsia="zh-CN"/>
        </w:rPr>
        <w:t>455</w:t>
      </w:r>
      <w:r>
        <w:rPr>
          <w:rFonts w:hint="default" w:ascii="Times New Roman" w:hAnsi="Times New Roman" w:eastAsia="仿宋_GB2312" w:cs="Times New Roman"/>
          <w:sz w:val="32"/>
          <w:szCs w:val="32"/>
          <w:lang w:val="en-US" w:eastAsia="zh-CN"/>
        </w:rPr>
        <w:t>号)文件精神执行，注重资金使用效益，严格执行财经纪律，加强专项资金的使用、管理和监督，</w:t>
      </w:r>
      <w:r>
        <w:rPr>
          <w:rFonts w:hint="eastAsia" w:ascii="Times New Roman" w:hAnsi="Times New Roman" w:eastAsia="仿宋_GB2312" w:cs="Times New Roman"/>
          <w:sz w:val="32"/>
          <w:szCs w:val="32"/>
          <w:lang w:val="en-US" w:eastAsia="zh-CN"/>
        </w:rPr>
        <w:t>保</w:t>
      </w:r>
      <w:r>
        <w:rPr>
          <w:rFonts w:hint="default" w:ascii="Times New Roman" w:hAnsi="Times New Roman" w:eastAsia="仿宋_GB2312" w:cs="Times New Roman"/>
          <w:sz w:val="32"/>
          <w:szCs w:val="32"/>
          <w:lang w:val="en-US" w:eastAsia="zh-CN"/>
        </w:rPr>
        <w:t>证项目资金专款专用，无挪用或改变专项资金的性质和用途的情况发生。</w:t>
      </w:r>
    </w:p>
    <w:p>
      <w:pPr>
        <w:spacing w:before="215" w:line="553" w:lineRule="exact"/>
        <w:ind w:firstLine="659" w:firstLineChars="200"/>
        <w:jc w:val="both"/>
        <w:rPr>
          <w:rFonts w:hint="eastAsia" w:ascii="宋体" w:hAnsi="宋体" w:eastAsia="宋体" w:cs="宋体"/>
          <w:sz w:val="28"/>
          <w:szCs w:val="28"/>
        </w:rPr>
      </w:pPr>
      <w:r>
        <w:rPr>
          <w:rFonts w:hint="eastAsia" w:ascii="仿宋_GB2312" w:hAnsi="仿宋_GB2312" w:eastAsia="仿宋_GB2312" w:cs="仿宋_GB2312"/>
          <w:b/>
          <w:bCs/>
          <w:spacing w:val="4"/>
          <w:sz w:val="32"/>
          <w:szCs w:val="32"/>
        </w:rPr>
        <w:t xml:space="preserve">(二)资金管理情况分析。 </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资金分配科学性。严格按照转移支付管理制度以及资金管理办法规定的范围和标准分配资金。</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资金下达及时性。严格按照预算法及其实施条例、转移支付管理制度规定以及资金管理办法规定的时限要求分解下达。</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资金拨付合规性。严格按照国库集中支付制度有关规定支付资金，未出现违规将资金从国库转入财政专户或支付到预算单位实有资金账户等问题。</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资金使用规范性。严格按照下达预算的科目和项目执行，未出现截留、挤占、挪用或擅自调整等问题。</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资金执行准确性。按照上级下达和本级预算安排的金额执行，不存在执行数偏离预算数较多的问题。</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预算绩效管理情况。在细化下达预算时同步下达绩效目标，将有关资金纳入本级预算或对下转移支付绩效管理，开展绩效监控和绩效评价。</w:t>
      </w:r>
    </w:p>
    <w:p>
      <w:pPr>
        <w:keepNext w:val="0"/>
        <w:keepLines w:val="0"/>
        <w:pageBreakBefore w:val="0"/>
        <w:widowControl/>
        <w:numPr>
          <w:ilvl w:val="0"/>
          <w:numId w:val="1"/>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支出责任履行情况。对共同财政事权转移支付，按照财政事权和支出责任划分有关规定,足额安排资金履行本级支出责任。</w:t>
      </w:r>
    </w:p>
    <w:p>
      <w:pPr>
        <w:spacing w:before="212" w:line="555" w:lineRule="exact"/>
        <w:ind w:firstLine="659" w:firstLineChars="200"/>
        <w:jc w:val="both"/>
        <w:rPr>
          <w:rFonts w:hint="eastAsia" w:ascii="Times New Roman" w:hAnsi="Times New Roman" w:eastAsia="仿宋_GB2312" w:cs="Times New Roman"/>
          <w:sz w:val="32"/>
          <w:szCs w:val="32"/>
          <w:lang w:val="en-US" w:eastAsia="zh-CN"/>
        </w:rPr>
      </w:pPr>
      <w:r>
        <w:rPr>
          <w:rFonts w:hint="eastAsia" w:ascii="仿宋_GB2312" w:hAnsi="仿宋_GB2312" w:eastAsia="仿宋_GB2312" w:cs="仿宋_GB2312"/>
          <w:b/>
          <w:bCs/>
          <w:spacing w:val="4"/>
          <w:sz w:val="32"/>
          <w:szCs w:val="32"/>
        </w:rPr>
        <w:t xml:space="preserve">(三)总体绩效目标完成情况分析。 </w:t>
      </w:r>
    </w:p>
    <w:p>
      <w:pPr>
        <w:pStyle w:val="5"/>
        <w:keepNext w:val="0"/>
        <w:keepLines w:val="0"/>
        <w:pageBreakBefore w:val="0"/>
        <w:widowControl/>
        <w:wordWrap/>
        <w:overflowPunct/>
        <w:topLinePunct w:val="0"/>
        <w:bidi w:val="0"/>
        <w:spacing w:line="560" w:lineRule="exact"/>
        <w:ind w:firstLine="640" w:firstLineChars="200"/>
        <w:jc w:val="both"/>
        <w:rPr>
          <w:rFonts w:hint="eastAsia" w:ascii="Times New Roman" w:hAnsi="Times New Roman" w:eastAsia="仿宋_GB2312" w:cs="Times New Roman"/>
          <w:snapToGrid w:val="0"/>
          <w:color w:val="000000"/>
          <w:kern w:val="0"/>
          <w:sz w:val="32"/>
          <w:szCs w:val="32"/>
          <w:lang w:val="en-US" w:eastAsia="zh-CN"/>
        </w:rPr>
      </w:pPr>
      <w:r>
        <w:rPr>
          <w:rFonts w:hint="eastAsia" w:ascii="Times New Roman" w:hAnsi="Times New Roman" w:eastAsia="仿宋_GB2312" w:cs="Times New Roman"/>
          <w:snapToGrid w:val="0"/>
          <w:color w:val="000000"/>
          <w:kern w:val="0"/>
          <w:sz w:val="32"/>
          <w:szCs w:val="32"/>
          <w:lang w:val="en-US" w:eastAsia="zh-CN"/>
        </w:rPr>
        <w:t>按照《国家基本公共卫生服务规范（第三版）》要求,在全区乡镇卫生院、村卫生室、社区卫生服务中心和社区卫生服务站开展了建立居民健康档案、健康教育、预防接种、儿童健康管理、孕产妇健康管理、老年人健康管理、高血压和2型糖尿病等慢性病患者健康管理、严重精神障碍患者管理、肺结核患者健康管理、中医药健康管理、传染病和突发公共卫生事件报告和处理、卫生监督和协管等12类项目。单独列项的基本公共卫生服：地方病防治、免费孕前优生健康检查、补服叶酸、妇女健康水平提升（婚检）、妇女健康水平提升（计划免疫）、健康素养促进。</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通过实施基本公共卫生服务12类项目及</w:t>
      </w:r>
      <w:r>
        <w:rPr>
          <w:rFonts w:hint="eastAsia" w:ascii="Times New Roman" w:hAnsi="Times New Roman" w:eastAsia="仿宋_GB2312" w:cs="Times New Roman"/>
          <w:snapToGrid w:val="0"/>
          <w:color w:val="000000"/>
          <w:kern w:val="0"/>
          <w:sz w:val="32"/>
          <w:szCs w:val="32"/>
          <w:lang w:val="en-US" w:eastAsia="zh-CN"/>
        </w:rPr>
        <w:t>单独列项的基本公共卫生服</w:t>
      </w:r>
      <w:r>
        <w:rPr>
          <w:rFonts w:hint="eastAsia" w:ascii="Times New Roman" w:hAnsi="Times New Roman" w:eastAsia="仿宋_GB2312" w:cs="Times New Roman"/>
          <w:sz w:val="32"/>
          <w:szCs w:val="32"/>
          <w:lang w:val="en-US" w:eastAsia="zh-CN"/>
        </w:rPr>
        <w:t>，对影响居民健康的主要卫生问题实施干预，减少主要健康危险因素，有效预防和控制主要传染病及慢性病，使城乡居民逐步享有均等化的公共卫生服务。</w:t>
      </w:r>
    </w:p>
    <w:p>
      <w:pPr>
        <w:numPr>
          <w:ilvl w:val="0"/>
          <w:numId w:val="2"/>
        </w:numPr>
        <w:spacing w:before="208" w:line="554" w:lineRule="exact"/>
        <w:ind w:firstLine="659" w:firstLineChars="200"/>
        <w:jc w:val="both"/>
        <w:rPr>
          <w:rFonts w:hint="eastAsia" w:ascii="仿宋_GB2312" w:hAnsi="仿宋_GB2312" w:eastAsia="仿宋_GB2312" w:cs="仿宋_GB2312"/>
          <w:b/>
          <w:bCs/>
          <w:spacing w:val="4"/>
          <w:sz w:val="32"/>
          <w:szCs w:val="32"/>
        </w:rPr>
      </w:pPr>
      <w:r>
        <w:rPr>
          <w:rFonts w:hint="eastAsia" w:ascii="仿宋_GB2312" w:hAnsi="仿宋_GB2312" w:eastAsia="仿宋_GB2312" w:cs="仿宋_GB2312"/>
          <w:b/>
          <w:bCs/>
          <w:spacing w:val="4"/>
          <w:sz w:val="32"/>
          <w:szCs w:val="32"/>
        </w:rPr>
        <w:t xml:space="preserve">绩效指标完成情况分析。 </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1.数量指标：适龄儿童国家免疫规划疫苗接种率大于等于90%，7岁以下儿童健康管理率大于等于85%，0-6岁儿童眼保健和视力检查覆盖率大于等于90%，孕产妇系统管理率大于等于90%，3岁以下儿童系统管理率大于等于80%，高血压患者管理人数11508人，2型糖尿病患者管理人数3973人，肺结核核患者管理率大于等于90%，社区在册居家严重精神障碍患者健康管理率大于等于80%，老年人中医药健康管理率大于等于70%，儿童中医药健康管理率大于等于77%，卫生监督协管各专业每年巡查（访）2次完成率大于等于90%，均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2.质量指标：居民规范化电子健康档案覆盖率大于等于62%，高血压患者基层规范管理服务率大于等于62%，2型糖尿病患者基层规范管理服务率大于等于62%，65岁及以上老年人城乡社区规范健康管理服务率大于等于62%，传染病和突发公共卫生事件报告率大于等于95%，均已完成。</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3.成本指标：基本公共卫生服务补助资金985.59万元，其中：基本公共卫生服务补助资金937.58万元，单独列项的基本公共卫生服补助资金48.01万元均已支付完成，预算执行进度为100%。</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4.社会效益指标：城乡居民公共卫生差距不断缩小，居民健康素养水平不断提高。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5.可持续影响指标：基本公共卫生服务水平不断提高。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6.服务对象满意度指标：对基本公共卫生服务对象满意度较上年提高，已完成。</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三、 偏离绩效目标的原因和下一步改进措施</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按照项目绩效指标要求，项目全面完成，未偏离预期目标，资金使用规范。下一步将继续加强资金管理，专款专用，提高资金使用效率。</w:t>
      </w:r>
    </w:p>
    <w:p>
      <w:pPr>
        <w:keepNext w:val="0"/>
        <w:keepLines w:val="0"/>
        <w:pageBreakBefore w:val="0"/>
        <w:widowControl/>
        <w:numPr>
          <w:ilvl w:val="0"/>
          <w:numId w:val="3"/>
        </w:numPr>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绩效自评结果拟应用和公开情况</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财政资金平台系统中录入的基本公共卫生服务补助资金支出数据及时准确、真实可靠。资金对应安排项目形成实物工作量情况、项目推进及管理情况，跟踪掌握项目绩效目标执行情况，已经达到预期效果。</w:t>
      </w:r>
      <w:r>
        <w:rPr>
          <w:rFonts w:hint="default" w:ascii="Times New Roman" w:hAnsi="Times New Roman" w:eastAsia="仿宋_GB2312" w:cs="Times New Roman"/>
          <w:sz w:val="32"/>
          <w:szCs w:val="32"/>
          <w:lang w:val="en-US" w:eastAsia="zh-CN"/>
        </w:rPr>
        <w:t>通过绩效自评，我单位进一步掌握了</w:t>
      </w:r>
      <w:r>
        <w:rPr>
          <w:rFonts w:hint="eastAsia" w:ascii="Times New Roman" w:hAnsi="Times New Roman" w:eastAsia="仿宋_GB2312" w:cs="Times New Roman"/>
          <w:sz w:val="32"/>
          <w:szCs w:val="32"/>
          <w:lang w:val="en-US" w:eastAsia="zh-CN"/>
        </w:rPr>
        <w:t>中央财政基本公共卫生服务补助资金</w:t>
      </w:r>
      <w:r>
        <w:rPr>
          <w:rFonts w:hint="default" w:ascii="Times New Roman" w:hAnsi="Times New Roman" w:eastAsia="仿宋_GB2312" w:cs="Times New Roman"/>
          <w:sz w:val="32"/>
          <w:szCs w:val="32"/>
          <w:lang w:val="en-US" w:eastAsia="zh-CN"/>
        </w:rPr>
        <w:t>使用情况和取得的效果，总结了资金管理经验，为</w:t>
      </w:r>
      <w:r>
        <w:rPr>
          <w:rFonts w:hint="eastAsia" w:ascii="Times New Roman" w:hAnsi="Times New Roman" w:eastAsia="仿宋_GB2312" w:cs="Times New Roman"/>
          <w:sz w:val="32"/>
          <w:szCs w:val="32"/>
          <w:lang w:val="en-US" w:eastAsia="zh-CN"/>
        </w:rPr>
        <w:t>以后</w:t>
      </w:r>
      <w:r>
        <w:rPr>
          <w:rFonts w:hint="default" w:ascii="Times New Roman" w:hAnsi="Times New Roman" w:eastAsia="仿宋_GB2312" w:cs="Times New Roman"/>
          <w:sz w:val="32"/>
          <w:szCs w:val="32"/>
          <w:lang w:val="en-US" w:eastAsia="zh-CN"/>
        </w:rPr>
        <w:t>提高资金的使用绩效，加强财政支出的规范管理，健全、完善支出项目和资金使用管理办法，完善预算编制和加强绩效目标管理等工作提供重要的参考依据。</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eastAsia" w:ascii="Times New Roman" w:hAnsi="Times New Roman" w:eastAsia="仿宋_GB2312" w:cs="Times New Roman"/>
          <w:sz w:val="32"/>
          <w:szCs w:val="32"/>
          <w:lang w:val="en-US" w:eastAsia="zh-CN"/>
        </w:rPr>
        <w:t>绩效自评结果已公开，并按文件要求在2024年4月20日之前在门户网站进行公开。</w:t>
      </w:r>
    </w:p>
    <w:p>
      <w:pPr>
        <w:keepNext w:val="0"/>
        <w:keepLines w:val="0"/>
        <w:pageBreakBefore w:val="0"/>
        <w:widowControl/>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rPr>
        <w:t>五、 其他需要说明的问题</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default"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无中央巡视、各级审计和财政监督中发现的问题及其所涉及的金额。</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98" w:line="221" w:lineRule="auto"/>
        <w:ind w:firstLine="611" w:firstLineChars="200"/>
        <w:jc w:val="both"/>
        <w:textAlignment w:val="baseline"/>
        <w:outlineLvl w:val="0"/>
        <w:rPr>
          <w:rFonts w:hint="eastAsia" w:ascii="黑体" w:hAnsi="黑体" w:eastAsia="黑体" w:cs="黑体"/>
          <w:b/>
          <w:bCs/>
          <w:spacing w:val="-8"/>
          <w:sz w:val="32"/>
          <w:szCs w:val="32"/>
        </w:rPr>
      </w:pPr>
      <w:r>
        <w:rPr>
          <w:rFonts w:hint="eastAsia" w:ascii="黑体" w:hAnsi="黑体" w:eastAsia="黑体" w:cs="黑体"/>
          <w:b/>
          <w:bCs/>
          <w:spacing w:val="-8"/>
          <w:sz w:val="32"/>
          <w:szCs w:val="32"/>
          <w:lang w:eastAsia="zh-CN"/>
        </w:rPr>
        <w:t>六、</w:t>
      </w:r>
      <w:r>
        <w:rPr>
          <w:rFonts w:hint="eastAsia" w:ascii="黑体" w:hAnsi="黑体" w:eastAsia="黑体" w:cs="黑体"/>
          <w:b/>
          <w:bCs/>
          <w:spacing w:val="-8"/>
          <w:sz w:val="32"/>
          <w:szCs w:val="32"/>
        </w:rPr>
        <w:t>附件</w:t>
      </w:r>
    </w:p>
    <w:p>
      <w:pPr>
        <w:keepNext w:val="0"/>
        <w:keepLines w:val="0"/>
        <w:pageBreakBefore w:val="0"/>
        <w:widowControl/>
        <w:numPr>
          <w:ilvl w:val="0"/>
          <w:numId w:val="0"/>
        </w:numPr>
        <w:kinsoku w:val="0"/>
        <w:wordWrap/>
        <w:overflowPunct/>
        <w:topLinePunct w:val="0"/>
        <w:autoSpaceDE w:val="0"/>
        <w:autoSpaceDN w:val="0"/>
        <w:bidi w:val="0"/>
        <w:adjustRightInd w:val="0"/>
        <w:snapToGrid w:val="0"/>
        <w:spacing w:before="1" w:line="560" w:lineRule="exact"/>
        <w:ind w:firstLine="640" w:firstLineChars="200"/>
        <w:jc w:val="both"/>
        <w:textAlignment w:val="baseline"/>
        <w:rPr>
          <w:rFonts w:hint="eastAsia" w:ascii="Times New Roman" w:hAnsi="Times New Roman" w:eastAsia="仿宋_GB2312" w:cs="Times New Roman"/>
          <w:sz w:val="32"/>
          <w:szCs w:val="32"/>
          <w:lang w:val="en-US" w:eastAsia="zh-CN"/>
        </w:rPr>
      </w:pPr>
      <w:r>
        <w:rPr>
          <w:rFonts w:hint="default" w:ascii="Times New Roman" w:hAnsi="Times New Roman" w:eastAsia="仿宋_GB2312" w:cs="Times New Roman"/>
          <w:sz w:val="32"/>
          <w:szCs w:val="32"/>
          <w:lang w:val="en-US" w:eastAsia="zh-CN"/>
        </w:rPr>
        <w:t>转移支付区域(项目)绩效目标自评表</w:t>
      </w:r>
      <w:r>
        <w:rPr>
          <w:rFonts w:hint="eastAsia" w:ascii="Times New Roman" w:hAnsi="Times New Roman" w:eastAsia="仿宋_GB2312" w:cs="Times New Roman"/>
          <w:sz w:val="32"/>
          <w:szCs w:val="32"/>
          <w:lang w:val="en-US" w:eastAsia="zh-CN"/>
        </w:rPr>
        <w:t>。</w:t>
      </w:r>
    </w:p>
    <w:p>
      <w:pPr>
        <w:spacing w:before="200" w:line="870" w:lineRule="exact"/>
        <w:textAlignment w:val="center"/>
      </w:pP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eastAsia" w:ascii="仿宋_GB2312" w:hAnsi="仿宋_GB2312" w:eastAsia="仿宋_GB2312" w:cs="仿宋_GB2312"/>
          <w:sz w:val="32"/>
          <w:szCs w:val="32"/>
          <w:lang w:val="en-US" w:eastAsia="zh-CN"/>
        </w:rPr>
      </w:pPr>
      <w:r>
        <w:rPr>
          <w:rFonts w:hint="eastAsia" w:eastAsia="宋体"/>
          <w:lang w:val="en-US" w:eastAsia="zh-CN"/>
        </w:rPr>
        <w:t xml:space="preserve">                                                                    </w:t>
      </w:r>
      <w:r>
        <w:rPr>
          <w:rFonts w:hint="eastAsia" w:ascii="仿宋_GB2312" w:hAnsi="仿宋_GB2312" w:eastAsia="仿宋_GB2312" w:cs="仿宋_GB2312"/>
          <w:sz w:val="32"/>
          <w:szCs w:val="32"/>
          <w:lang w:val="en-US" w:eastAsia="zh-CN"/>
        </w:rPr>
        <w:t>淮南市八公山区卫生健康委员会</w:t>
      </w:r>
    </w:p>
    <w:p>
      <w:pPr>
        <w:keepNext w:val="0"/>
        <w:keepLines w:val="0"/>
        <w:pageBreakBefore w:val="0"/>
        <w:widowControl/>
        <w:kinsoku w:val="0"/>
        <w:wordWrap/>
        <w:overflowPunct/>
        <w:topLinePunct w:val="0"/>
        <w:autoSpaceDE w:val="0"/>
        <w:autoSpaceDN w:val="0"/>
        <w:bidi w:val="0"/>
        <w:adjustRightInd w:val="0"/>
        <w:snapToGrid w:val="0"/>
        <w:spacing w:before="200" w:line="560" w:lineRule="exact"/>
        <w:textAlignment w:val="center"/>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w:t>
      </w:r>
      <w:r>
        <w:rPr>
          <w:rFonts w:hint="eastAsia" w:ascii="Times New Roman" w:hAnsi="Times New Roman" w:eastAsia="仿宋_GB2312" w:cs="Times New Roman"/>
          <w:sz w:val="32"/>
          <w:szCs w:val="32"/>
          <w:lang w:val="en-US" w:eastAsia="zh-CN"/>
        </w:rPr>
        <w:t xml:space="preserve">          2024年4月7日</w:t>
      </w:r>
    </w:p>
    <w:sectPr>
      <w:footerReference r:id="rId5" w:type="default"/>
      <w:type w:val="continuous"/>
      <w:pgSz w:w="11900" w:h="16820"/>
      <w:pgMar w:top="1429" w:right="1785" w:bottom="400" w:left="1619" w:header="0" w:footer="0" w:gutter="0"/>
      <w:cols w:equalWidth="0" w:num="1">
        <w:col w:w="8496"/>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spacing w:line="14" w:lineRule="auto"/>
      <w:rPr>
        <w:rFonts w:ascii="Arial"/>
        <w:sz w:val="2"/>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DAA5DE"/>
    <w:multiLevelType w:val="singleLevel"/>
    <w:tmpl w:val="93DAA5DE"/>
    <w:lvl w:ilvl="0" w:tentative="0">
      <w:start w:val="4"/>
      <w:numFmt w:val="chineseCounting"/>
      <w:suff w:val="space"/>
      <w:lvlText w:val="%1、"/>
      <w:lvlJc w:val="left"/>
      <w:rPr>
        <w:rFonts w:hint="eastAsia"/>
      </w:rPr>
    </w:lvl>
  </w:abstractNum>
  <w:abstractNum w:abstractNumId="1">
    <w:nsid w:val="95FA3C83"/>
    <w:multiLevelType w:val="singleLevel"/>
    <w:tmpl w:val="95FA3C83"/>
    <w:lvl w:ilvl="0" w:tentative="0">
      <w:start w:val="1"/>
      <w:numFmt w:val="decimal"/>
      <w:lvlText w:val="%1."/>
      <w:lvlJc w:val="left"/>
      <w:pPr>
        <w:tabs>
          <w:tab w:val="left" w:pos="312"/>
        </w:tabs>
      </w:pPr>
    </w:lvl>
  </w:abstractNum>
  <w:abstractNum w:abstractNumId="2">
    <w:nsid w:val="2A1928E3"/>
    <w:multiLevelType w:val="singleLevel"/>
    <w:tmpl w:val="2A1928E3"/>
    <w:lvl w:ilvl="0" w:tentative="0">
      <w:start w:val="4"/>
      <w:numFmt w:val="chineseCounting"/>
      <w:lvlText w:val="(%1)"/>
      <w:lvlJc w:val="left"/>
      <w:pPr>
        <w:tabs>
          <w:tab w:val="left" w:pos="312"/>
        </w:tabs>
      </w:pPr>
      <w:rPr>
        <w:rFonts w:hint="eastAsia"/>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bordersDoNotSurroundHeader w:val="0"/>
  <w:bordersDoNotSurroundFooter w:val="0"/>
  <w:documentProtection w:enforcement="0"/>
  <w:displayHorizontalDrawingGridEvery w:val="1"/>
  <w:displayVerticalDrawingGridEvery w:val="1"/>
  <w:noPunctuationKerning w:val="1"/>
  <w:characterSpacingControl w:val="doNotCompress"/>
  <w:footnotePr>
    <w:footnote w:id="0"/>
    <w:footnote w:id="1"/>
  </w:footnotePr>
  <w:endnotePr>
    <w:endnote w:id="0"/>
    <w:endnote w:id="1"/>
  </w:endnotePr>
  <w:compat>
    <w:spaceForUL/>
    <w:ulTrailSpace/>
    <w:doNotExpandShiftReturn/>
    <w:doNotWrapTextWithPunct/>
    <w:doNotUseEastAsianBreakRules/>
    <w:useFELayout/>
    <w:doNotUseIndentAsNumberingTabStop/>
    <w:compatSetting w:name="compatibilityMode" w:uri="http://schemas.microsoft.com/office/word" w:val="14"/>
  </w:compat>
  <w:docVars>
    <w:docVar w:name="commondata" w:val="eyJoZGlkIjoiMzRhMjdhNDZjYjE1ZTE0MzFmZTE5MTY1YjNjYzIwOTAifQ=="/>
  </w:docVars>
  <w:rsids>
    <w:rsidRoot w:val="00000000"/>
    <w:rsid w:val="02B0537A"/>
    <w:rsid w:val="03500781"/>
    <w:rsid w:val="0AE922AB"/>
    <w:rsid w:val="0BC824EB"/>
    <w:rsid w:val="0C77233A"/>
    <w:rsid w:val="10763512"/>
    <w:rsid w:val="10FA71C4"/>
    <w:rsid w:val="13E2347C"/>
    <w:rsid w:val="17D2722C"/>
    <w:rsid w:val="1AC27A2C"/>
    <w:rsid w:val="22EC1AEA"/>
    <w:rsid w:val="25890233"/>
    <w:rsid w:val="28E55011"/>
    <w:rsid w:val="2ABD2F35"/>
    <w:rsid w:val="2C183950"/>
    <w:rsid w:val="2E9F5C62"/>
    <w:rsid w:val="32677044"/>
    <w:rsid w:val="32957D19"/>
    <w:rsid w:val="33AB4E22"/>
    <w:rsid w:val="364A5DE1"/>
    <w:rsid w:val="3A117DCC"/>
    <w:rsid w:val="3B8D2412"/>
    <w:rsid w:val="42BB357B"/>
    <w:rsid w:val="42E47C90"/>
    <w:rsid w:val="4CBF0B25"/>
    <w:rsid w:val="52102850"/>
    <w:rsid w:val="5FB17A7C"/>
    <w:rsid w:val="602045A6"/>
    <w:rsid w:val="60C53344"/>
    <w:rsid w:val="643E324C"/>
    <w:rsid w:val="657276C8"/>
    <w:rsid w:val="67DB144C"/>
    <w:rsid w:val="718B3849"/>
    <w:rsid w:val="737F2F3A"/>
    <w:rsid w:val="76134C16"/>
    <w:rsid w:val="783D32DC"/>
    <w:rsid w:val="7DB83C1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semiHidden/>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 w:type="table" w:customStyle="1" w:styleId="4">
    <w:name w:val="Table Normal"/>
    <w:autoRedefine/>
    <w:semiHidden/>
    <w:unhideWhenUsed/>
    <w:qFormat/>
    <w:uiPriority w:val="0"/>
    <w:tblPr>
      <w:tblCellMar>
        <w:top w:w="0" w:type="dxa"/>
        <w:left w:w="0" w:type="dxa"/>
        <w:bottom w:w="0" w:type="dxa"/>
        <w:right w:w="0" w:type="dxa"/>
      </w:tblCellMar>
    </w:tblPr>
  </w:style>
  <w:style w:type="paragraph" w:customStyle="1" w:styleId="5">
    <w:name w:val="Normal"/>
    <w:autoRedefine/>
    <w:qFormat/>
    <w:uiPriority w:val="0"/>
    <w:pPr>
      <w:jc w:val="both"/>
    </w:pPr>
    <w:rPr>
      <w:rFonts w:ascii="Times New Roman" w:hAnsi="Times New Roman" w:eastAsia="宋体" w:cs="Times New Roman"/>
      <w:kern w:val="2"/>
      <w:sz w:val="21"/>
      <w:szCs w:val="21"/>
      <w:lang w:val="en-US" w:eastAsia="zh-CN" w:bidi="ar-SA"/>
    </w:rPr>
  </w:style>
  <w:style w:type="character" w:customStyle="1" w:styleId="6">
    <w:name w:val="font121"/>
    <w:basedOn w:val="3"/>
    <w:autoRedefine/>
    <w:qFormat/>
    <w:uiPriority w:val="0"/>
    <w:rPr>
      <w:rFonts w:hint="eastAsia" w:ascii="宋体" w:hAnsi="宋体" w:eastAsia="宋体" w:cs="宋体"/>
      <w:color w:val="000000"/>
      <w:sz w:val="32"/>
      <w:szCs w:val="32"/>
      <w:u w:val="none"/>
    </w:rPr>
  </w:style>
  <w:style w:type="character" w:customStyle="1" w:styleId="7">
    <w:name w:val="font131"/>
    <w:basedOn w:val="3"/>
    <w:autoRedefine/>
    <w:qFormat/>
    <w:uiPriority w:val="0"/>
    <w:rPr>
      <w:rFonts w:ascii="Arial" w:hAnsi="Arial" w:cs="Arial"/>
      <w:color w:val="000000"/>
      <w:sz w:val="20"/>
      <w:szCs w:val="20"/>
      <w:u w:val="none"/>
    </w:rPr>
  </w:style>
  <w:style w:type="character" w:customStyle="1" w:styleId="8">
    <w:name w:val="font11"/>
    <w:basedOn w:val="3"/>
    <w:autoRedefine/>
    <w:qFormat/>
    <w:uiPriority w:val="0"/>
    <w:rPr>
      <w:rFonts w:hint="eastAsia" w:ascii="宋体" w:hAnsi="宋体" w:eastAsia="宋体" w:cs="宋体"/>
      <w:color w:val="000000"/>
      <w:sz w:val="20"/>
      <w:szCs w:val="20"/>
      <w:u w:val="none"/>
    </w:rPr>
  </w:style>
  <w:style w:type="character" w:customStyle="1" w:styleId="9">
    <w:name w:val="font112"/>
    <w:basedOn w:val="3"/>
    <w:autoRedefine/>
    <w:qFormat/>
    <w:uiPriority w:val="0"/>
    <w:rPr>
      <w:rFonts w:hint="eastAsia" w:ascii="宋体" w:hAnsi="宋体" w:eastAsia="宋体" w:cs="宋体"/>
      <w:color w:val="000000"/>
      <w:sz w:val="18"/>
      <w:szCs w:val="18"/>
      <w:u w:val="none"/>
    </w:rPr>
  </w:style>
  <w:style w:type="character" w:customStyle="1" w:styleId="10">
    <w:name w:val="font51"/>
    <w:basedOn w:val="3"/>
    <w:autoRedefine/>
    <w:qFormat/>
    <w:uiPriority w:val="0"/>
    <w:rPr>
      <w:rFonts w:hint="eastAsia" w:ascii="宋体" w:hAnsi="宋体" w:eastAsia="宋体" w:cs="宋体"/>
      <w:color w:val="000000"/>
      <w:sz w:val="20"/>
      <w:szCs w:val="20"/>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Pages>6</Pages>
  <Words>3281</Words>
  <Characters>3611</Characters>
  <TotalTime>24</TotalTime>
  <ScaleCrop>false</ScaleCrop>
  <LinksUpToDate>false</LinksUpToDate>
  <CharactersWithSpaces>3738</CharactersWithSpaces>
  <Application>WPS Office_12.1.0.16417_F1E327BC-269C-435d-A152-05C5408002CA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2023-04-18T09:28:00Z</dcterms:created>
  <dc:creator>Kingsoft-PDF</dc:creator>
  <cp:lastModifiedBy>纹羽</cp:lastModifiedBy>
  <dcterms:modified xsi:type="dcterms:W3CDTF">2024-04-08T08:51:06Z</dcterms:modified>
  <dc:subject>pdfbuilder</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O">
    <vt:lpwstr>wqlLaW5nc29mdCBQREYgdG8gV1BTIDg1</vt:lpwstr>
  </property>
  <property fmtid="{D5CDD505-2E9C-101B-9397-08002B2CF9AE}" pid="3" name="Created">
    <vt:filetime>2023-04-18T09:29:00Z</vt:filetime>
  </property>
  <property fmtid="{D5CDD505-2E9C-101B-9397-08002B2CF9AE}" pid="4" name="UsrData">
    <vt:lpwstr>643df24ca2d7b000154435ed</vt:lpwstr>
  </property>
  <property fmtid="{D5CDD505-2E9C-101B-9397-08002B2CF9AE}" pid="5" name="KSOProductBuildVer">
    <vt:lpwstr>2052-12.1.0.16417</vt:lpwstr>
  </property>
  <property fmtid="{D5CDD505-2E9C-101B-9397-08002B2CF9AE}" pid="6" name="ICV">
    <vt:lpwstr>DF77C09F6F5A4EDE887D4E5E392A15D2_12</vt:lpwstr>
  </property>
</Properties>
</file>