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隶书" w:hAnsi="黑体" w:eastAsia="隶书"/>
          <w:sz w:val="52"/>
          <w:szCs w:val="52"/>
          <w:lang w:val="zh-CN"/>
        </w:rPr>
      </w:pPr>
      <w:bookmarkStart w:id="119" w:name="_GoBack"/>
      <w:bookmarkEnd w:id="119"/>
      <w:r>
        <w:rPr>
          <w:rFonts w:hint="eastAsia" w:ascii="隶书" w:hAnsi="黑体" w:eastAsia="隶书"/>
          <w:sz w:val="52"/>
          <w:szCs w:val="52"/>
          <w:lang w:val="zh-CN"/>
        </w:rPr>
        <w:t>八公山区</w:t>
      </w:r>
    </w:p>
    <w:p>
      <w:pPr>
        <w:ind w:firstLine="0" w:firstLineChars="0"/>
        <w:jc w:val="center"/>
        <w:rPr>
          <w:rFonts w:ascii="隶书" w:hAnsi="黑体" w:eastAsia="隶书"/>
          <w:sz w:val="52"/>
          <w:szCs w:val="52"/>
          <w:lang w:val="zh-CN"/>
        </w:rPr>
      </w:pPr>
      <w:r>
        <w:rPr>
          <w:rFonts w:hint="eastAsia" w:ascii="隶书" w:hAnsi="黑体" w:eastAsia="隶书"/>
          <w:sz w:val="52"/>
          <w:szCs w:val="52"/>
          <w:lang w:val="zh-CN"/>
        </w:rPr>
        <w:t>突发环境事件应急预案</w:t>
      </w:r>
    </w:p>
    <w:p>
      <w:pPr>
        <w:ind w:firstLine="0" w:firstLineChars="0"/>
        <w:jc w:val="center"/>
        <w:rPr>
          <w:szCs w:val="24"/>
          <w:lang w:val="zh-CN"/>
        </w:rPr>
      </w:pPr>
    </w:p>
    <w:p>
      <w:pPr>
        <w:ind w:firstLine="0" w:firstLineChars="0"/>
        <w:jc w:val="center"/>
        <w:rPr>
          <w:szCs w:val="24"/>
          <w:lang w:val="zh-CN"/>
        </w:rPr>
      </w:pPr>
    </w:p>
    <w:p>
      <w:pPr>
        <w:ind w:firstLine="0" w:firstLineChars="0"/>
        <w:jc w:val="center"/>
        <w:rPr>
          <w:szCs w:val="24"/>
          <w:lang w:val="zh-CN"/>
        </w:rPr>
      </w:pPr>
    </w:p>
    <w:p>
      <w:pPr>
        <w:ind w:firstLine="0" w:firstLineChars="0"/>
        <w:jc w:val="center"/>
        <w:rPr>
          <w:szCs w:val="24"/>
          <w:lang w:val="zh-CN"/>
        </w:rPr>
      </w:pPr>
    </w:p>
    <w:p>
      <w:pPr>
        <w:ind w:firstLine="0" w:firstLineChars="0"/>
        <w:jc w:val="center"/>
        <w:rPr>
          <w:szCs w:val="24"/>
          <w:lang w:val="zh-CN"/>
        </w:rPr>
      </w:pPr>
    </w:p>
    <w:p>
      <w:pPr>
        <w:ind w:firstLine="0" w:firstLineChars="0"/>
        <w:jc w:val="center"/>
        <w:rPr>
          <w:szCs w:val="24"/>
          <w:lang w:val="zh-CN"/>
        </w:rPr>
      </w:pPr>
    </w:p>
    <w:p>
      <w:pPr>
        <w:ind w:firstLine="0" w:firstLineChars="0"/>
        <w:jc w:val="center"/>
        <w:rPr>
          <w:szCs w:val="24"/>
          <w:lang w:val="zh-CN"/>
        </w:rPr>
      </w:pPr>
    </w:p>
    <w:p>
      <w:pPr>
        <w:ind w:firstLine="0" w:firstLineChars="0"/>
        <w:jc w:val="center"/>
        <w:rPr>
          <w:szCs w:val="24"/>
          <w:lang w:val="zh-CN"/>
        </w:rPr>
      </w:pPr>
    </w:p>
    <w:p>
      <w:pPr>
        <w:ind w:firstLine="0" w:firstLineChars="0"/>
        <w:jc w:val="center"/>
        <w:rPr>
          <w:szCs w:val="24"/>
          <w:lang w:val="zh-CN"/>
        </w:rPr>
      </w:pPr>
    </w:p>
    <w:p>
      <w:pPr>
        <w:ind w:firstLine="0" w:firstLineChars="0"/>
        <w:jc w:val="center"/>
        <w:rPr>
          <w:szCs w:val="24"/>
          <w:lang w:val="zh-CN"/>
        </w:rPr>
      </w:pPr>
    </w:p>
    <w:p>
      <w:pPr>
        <w:ind w:firstLine="0" w:firstLineChars="0"/>
        <w:jc w:val="center"/>
        <w:rPr>
          <w:szCs w:val="24"/>
          <w:lang w:val="zh-CN"/>
        </w:rPr>
      </w:pPr>
    </w:p>
    <w:p>
      <w:pPr>
        <w:ind w:firstLine="0" w:firstLineChars="0"/>
        <w:jc w:val="center"/>
        <w:rPr>
          <w:rFonts w:hAnsi="黑体" w:eastAsia="黑体"/>
          <w:sz w:val="32"/>
          <w:szCs w:val="32"/>
        </w:rPr>
      </w:pPr>
    </w:p>
    <w:p>
      <w:pPr>
        <w:ind w:firstLine="0" w:firstLineChars="0"/>
        <w:jc w:val="center"/>
        <w:rPr>
          <w:rFonts w:hAnsi="黑体" w:eastAsia="黑体"/>
          <w:sz w:val="32"/>
          <w:szCs w:val="32"/>
        </w:rPr>
      </w:pPr>
    </w:p>
    <w:p>
      <w:pPr>
        <w:ind w:firstLine="0" w:firstLineChars="0"/>
        <w:jc w:val="center"/>
        <w:rPr>
          <w:rFonts w:hAnsi="黑体" w:eastAsia="黑体"/>
          <w:sz w:val="32"/>
          <w:szCs w:val="32"/>
        </w:rPr>
      </w:pPr>
    </w:p>
    <w:p>
      <w:pPr>
        <w:ind w:firstLine="0" w:firstLineChars="0"/>
        <w:jc w:val="center"/>
        <w:rPr>
          <w:rFonts w:hAnsi="黑体" w:eastAsia="黑体"/>
          <w:sz w:val="32"/>
          <w:szCs w:val="32"/>
        </w:rPr>
      </w:pPr>
    </w:p>
    <w:p>
      <w:pPr>
        <w:ind w:firstLine="0" w:firstLineChars="0"/>
        <w:jc w:val="center"/>
        <w:rPr>
          <w:rFonts w:hAnsi="黑体" w:eastAsia="黑体"/>
          <w:sz w:val="32"/>
          <w:szCs w:val="32"/>
        </w:rPr>
      </w:pPr>
    </w:p>
    <w:p>
      <w:pPr>
        <w:ind w:firstLine="0" w:firstLineChars="0"/>
        <w:jc w:val="center"/>
        <w:rPr>
          <w:rFonts w:hAnsi="黑体" w:eastAsia="黑体"/>
          <w:sz w:val="32"/>
          <w:szCs w:val="32"/>
        </w:rPr>
      </w:pPr>
    </w:p>
    <w:p>
      <w:pPr>
        <w:ind w:firstLine="0" w:firstLineChars="0"/>
        <w:jc w:val="center"/>
        <w:rPr>
          <w:rFonts w:hAnsi="黑体" w:eastAsia="黑体"/>
          <w:sz w:val="32"/>
          <w:szCs w:val="32"/>
        </w:rPr>
      </w:pPr>
    </w:p>
    <w:p>
      <w:pPr>
        <w:ind w:firstLine="0" w:firstLineChars="0"/>
        <w:jc w:val="center"/>
        <w:rPr>
          <w:rFonts w:hAnsi="黑体" w:eastAsia="黑体"/>
          <w:sz w:val="32"/>
          <w:szCs w:val="32"/>
        </w:rPr>
      </w:pPr>
    </w:p>
    <w:p>
      <w:pPr>
        <w:ind w:firstLine="0" w:firstLineChars="0"/>
        <w:jc w:val="center"/>
        <w:rPr>
          <w:rFonts w:hAnsi="黑体" w:eastAsia="黑体"/>
          <w:sz w:val="32"/>
          <w:szCs w:val="32"/>
        </w:rPr>
      </w:pPr>
    </w:p>
    <w:p>
      <w:pPr>
        <w:ind w:firstLine="0" w:firstLineChars="0"/>
        <w:jc w:val="center"/>
        <w:rPr>
          <w:rFonts w:hAnsi="黑体" w:eastAsia="黑体"/>
          <w:sz w:val="32"/>
          <w:szCs w:val="32"/>
        </w:rPr>
      </w:pPr>
    </w:p>
    <w:p>
      <w:pPr>
        <w:ind w:firstLine="0" w:firstLineChars="0"/>
        <w:jc w:val="center"/>
        <w:rPr>
          <w:b/>
          <w:kern w:val="0"/>
          <w:sz w:val="32"/>
          <w:szCs w:val="32"/>
        </w:rPr>
      </w:pPr>
      <w:r>
        <w:rPr>
          <w:b/>
          <w:kern w:val="0"/>
          <w:sz w:val="32"/>
          <w:szCs w:val="32"/>
        </w:rPr>
        <w:t>目录</w:t>
      </w:r>
    </w:p>
    <w:p>
      <w:pPr>
        <w:pStyle w:val="17"/>
        <w:rPr>
          <w:rFonts w:asciiTheme="minorHAnsi" w:hAnsiTheme="minorHAnsi" w:eastAsiaTheme="minorEastAsia" w:cstheme="minorBidi"/>
          <w:b w:val="0"/>
          <w:sz w:val="21"/>
        </w:rPr>
      </w:pPr>
      <w:r>
        <w:rPr>
          <w:kern w:val="0"/>
        </w:rPr>
        <w:fldChar w:fldCharType="begin"/>
      </w:r>
      <w:r>
        <w:rPr>
          <w:kern w:val="0"/>
        </w:rPr>
        <w:instrText xml:space="preserve"> TOC \o "1-2" \h \z \u </w:instrText>
      </w:r>
      <w:r>
        <w:rPr>
          <w:kern w:val="0"/>
        </w:rPr>
        <w:fldChar w:fldCharType="separate"/>
      </w:r>
      <w:r>
        <w:fldChar w:fldCharType="begin"/>
      </w:r>
      <w:r>
        <w:instrText xml:space="preserve"> HYPERLINK \l "_Toc115418755" </w:instrText>
      </w:r>
      <w:r>
        <w:fldChar w:fldCharType="separate"/>
      </w:r>
      <w:r>
        <w:rPr>
          <w:rStyle w:val="26"/>
        </w:rPr>
        <w:t>1</w:t>
      </w:r>
      <w:r>
        <w:rPr>
          <w:rStyle w:val="26"/>
          <w:rFonts w:hint="eastAsia"/>
        </w:rPr>
        <w:t>总则</w:t>
      </w:r>
      <w:r>
        <w:tab/>
      </w:r>
      <w:r>
        <w:fldChar w:fldCharType="begin"/>
      </w:r>
      <w:r>
        <w:instrText xml:space="preserve"> PAGEREF _Toc115418755 \h </w:instrText>
      </w:r>
      <w:r>
        <w:fldChar w:fldCharType="separate"/>
      </w:r>
      <w:r>
        <w:t>1</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"_Toc115418756" </w:instrText>
      </w:r>
      <w:r>
        <w:fldChar w:fldCharType="separate"/>
      </w:r>
      <w:r>
        <w:rPr>
          <w:rStyle w:val="26"/>
          <w:rFonts w:eastAsia="TimesNewRomanPS-BoldMT"/>
          <w:kern w:val="0"/>
        </w:rPr>
        <w:t xml:space="preserve">1.1 </w:t>
      </w:r>
      <w:r>
        <w:rPr>
          <w:rStyle w:val="26"/>
          <w:rFonts w:hint="eastAsia"/>
          <w:kern w:val="0"/>
        </w:rPr>
        <w:t>编制目的</w:t>
      </w:r>
      <w:r>
        <w:tab/>
      </w:r>
      <w:r>
        <w:fldChar w:fldCharType="begin"/>
      </w:r>
      <w:r>
        <w:instrText xml:space="preserve"> PAGEREF _Toc115418756 \h </w:instrText>
      </w:r>
      <w:r>
        <w:fldChar w:fldCharType="separate"/>
      </w:r>
      <w:r>
        <w:t>1</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"_Toc115418757" </w:instrText>
      </w:r>
      <w:r>
        <w:fldChar w:fldCharType="separate"/>
      </w:r>
      <w:r>
        <w:rPr>
          <w:rStyle w:val="26"/>
        </w:rPr>
        <w:t xml:space="preserve">1.2 </w:t>
      </w:r>
      <w:r>
        <w:rPr>
          <w:rStyle w:val="26"/>
          <w:rFonts w:hint="eastAsia"/>
        </w:rPr>
        <w:t>编制依据</w:t>
      </w:r>
      <w:r>
        <w:tab/>
      </w:r>
      <w:r>
        <w:fldChar w:fldCharType="begin"/>
      </w:r>
      <w:r>
        <w:instrText xml:space="preserve"> PAGEREF _Toc115418757 \h </w:instrText>
      </w:r>
      <w:r>
        <w:fldChar w:fldCharType="separate"/>
      </w:r>
      <w:r>
        <w:t>1</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"_Toc115418758" </w:instrText>
      </w:r>
      <w:r>
        <w:fldChar w:fldCharType="separate"/>
      </w:r>
      <w:r>
        <w:rPr>
          <w:rStyle w:val="26"/>
          <w:rFonts w:eastAsia="TimesNewRomanPS-BoldMT"/>
          <w:kern w:val="0"/>
        </w:rPr>
        <w:t xml:space="preserve">1.3 </w:t>
      </w:r>
      <w:r>
        <w:rPr>
          <w:rStyle w:val="26"/>
          <w:rFonts w:hint="eastAsia"/>
          <w:kern w:val="0"/>
        </w:rPr>
        <w:t>适用范围</w:t>
      </w:r>
      <w:r>
        <w:tab/>
      </w:r>
      <w:r>
        <w:fldChar w:fldCharType="begin"/>
      </w:r>
      <w:r>
        <w:instrText xml:space="preserve"> PAGEREF _Toc115418758 \h </w:instrText>
      </w:r>
      <w:r>
        <w:fldChar w:fldCharType="separate"/>
      </w:r>
      <w:r>
        <w:t>3</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"_Toc115418759" </w:instrText>
      </w:r>
      <w:r>
        <w:fldChar w:fldCharType="separate"/>
      </w:r>
      <w:r>
        <w:rPr>
          <w:rStyle w:val="26"/>
          <w:rFonts w:eastAsia="TimesNewRomanPS-BoldMT"/>
          <w:kern w:val="0"/>
        </w:rPr>
        <w:t xml:space="preserve">1.4 </w:t>
      </w:r>
      <w:r>
        <w:rPr>
          <w:rStyle w:val="26"/>
          <w:rFonts w:hint="eastAsia"/>
          <w:kern w:val="0"/>
        </w:rPr>
        <w:t>工作原则</w:t>
      </w:r>
      <w:r>
        <w:tab/>
      </w:r>
      <w:r>
        <w:fldChar w:fldCharType="begin"/>
      </w:r>
      <w:r>
        <w:instrText xml:space="preserve"> PAGEREF _Toc115418759 \h </w:instrText>
      </w:r>
      <w:r>
        <w:fldChar w:fldCharType="separate"/>
      </w:r>
      <w:r>
        <w:t>3</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"_Toc115418760" </w:instrText>
      </w:r>
      <w:r>
        <w:fldChar w:fldCharType="separate"/>
      </w:r>
      <w:r>
        <w:rPr>
          <w:rStyle w:val="26"/>
        </w:rPr>
        <w:t xml:space="preserve">1.5 </w:t>
      </w:r>
      <w:r>
        <w:rPr>
          <w:rStyle w:val="26"/>
          <w:rFonts w:hint="eastAsia"/>
        </w:rPr>
        <w:t>事件分级</w:t>
      </w:r>
      <w:r>
        <w:tab/>
      </w:r>
      <w:r>
        <w:fldChar w:fldCharType="begin"/>
      </w:r>
      <w:r>
        <w:instrText xml:space="preserve"> PAGEREF _Toc115418760 \h </w:instrText>
      </w:r>
      <w:r>
        <w:fldChar w:fldCharType="separate"/>
      </w:r>
      <w:r>
        <w:t>4</w:t>
      </w:r>
      <w:r>
        <w:fldChar w:fldCharType="end"/>
      </w:r>
      <w:r>
        <w:fldChar w:fldCharType="end"/>
      </w:r>
    </w:p>
    <w:p>
      <w:pPr>
        <w:pStyle w:val="17"/>
        <w:rPr>
          <w:rFonts w:asciiTheme="minorHAnsi" w:hAnsiTheme="minorHAnsi" w:eastAsiaTheme="minorEastAsia" w:cstheme="minorBidi"/>
          <w:b w:val="0"/>
          <w:sz w:val="21"/>
        </w:rPr>
      </w:pPr>
      <w:r>
        <w:fldChar w:fldCharType="begin"/>
      </w:r>
      <w:r>
        <w:instrText xml:space="preserve"> HYPERLINK \l "_Toc115418761" </w:instrText>
      </w:r>
      <w:r>
        <w:fldChar w:fldCharType="separate"/>
      </w:r>
      <w:r>
        <w:rPr>
          <w:rStyle w:val="26"/>
        </w:rPr>
        <w:t>2</w:t>
      </w:r>
      <w:r>
        <w:rPr>
          <w:rStyle w:val="26"/>
          <w:rFonts w:hint="eastAsia"/>
        </w:rPr>
        <w:t>淮南市八公山区基本情况</w:t>
      </w:r>
      <w:r>
        <w:tab/>
      </w:r>
      <w:r>
        <w:fldChar w:fldCharType="begin"/>
      </w:r>
      <w:r>
        <w:instrText xml:space="preserve"> PAGEREF _Toc115418761 \h </w:instrText>
      </w:r>
      <w:r>
        <w:fldChar w:fldCharType="separate"/>
      </w:r>
      <w:r>
        <w:t>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"_Toc115418762" </w:instrText>
      </w:r>
      <w:r>
        <w:fldChar w:fldCharType="separate"/>
      </w:r>
      <w:r>
        <w:rPr>
          <w:rStyle w:val="26"/>
        </w:rPr>
        <w:t xml:space="preserve">2.1 </w:t>
      </w:r>
      <w:r>
        <w:rPr>
          <w:rStyle w:val="26"/>
          <w:rFonts w:hint="eastAsia"/>
        </w:rPr>
        <w:t>淮南市八公山区概况</w:t>
      </w:r>
      <w:r>
        <w:tab/>
      </w:r>
      <w:r>
        <w:fldChar w:fldCharType="begin"/>
      </w:r>
      <w:r>
        <w:instrText xml:space="preserve"> PAGEREF _Toc115418762 \h </w:instrText>
      </w:r>
      <w:r>
        <w:fldChar w:fldCharType="separate"/>
      </w:r>
      <w:r>
        <w:t>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"_Toc115418763" </w:instrText>
      </w:r>
      <w:r>
        <w:fldChar w:fldCharType="separate"/>
      </w:r>
      <w:r>
        <w:rPr>
          <w:rStyle w:val="26"/>
        </w:rPr>
        <w:t xml:space="preserve">2.2 </w:t>
      </w:r>
      <w:r>
        <w:rPr>
          <w:rStyle w:val="26"/>
          <w:rFonts w:hint="eastAsia"/>
        </w:rPr>
        <w:t>环境概况</w:t>
      </w:r>
      <w:r>
        <w:tab/>
      </w:r>
      <w:r>
        <w:fldChar w:fldCharType="begin"/>
      </w:r>
      <w:r>
        <w:instrText xml:space="preserve"> PAGEREF _Toc115418763 \h </w:instrText>
      </w:r>
      <w:r>
        <w:fldChar w:fldCharType="separate"/>
      </w:r>
      <w:r>
        <w:t>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"_Toc115418764" </w:instrText>
      </w:r>
      <w:r>
        <w:fldChar w:fldCharType="separate"/>
      </w:r>
      <w:r>
        <w:rPr>
          <w:rStyle w:val="26"/>
        </w:rPr>
        <w:t xml:space="preserve">2.3 </w:t>
      </w:r>
      <w:r>
        <w:rPr>
          <w:rStyle w:val="26"/>
          <w:rFonts w:hint="eastAsia"/>
        </w:rPr>
        <w:t>区内企业情况</w:t>
      </w:r>
      <w:r>
        <w:tab/>
      </w:r>
      <w:r>
        <w:fldChar w:fldCharType="begin"/>
      </w:r>
      <w:r>
        <w:instrText xml:space="preserve"> PAGEREF _Toc115418764 \h </w:instrText>
      </w:r>
      <w:r>
        <w:fldChar w:fldCharType="separate"/>
      </w:r>
      <w:r>
        <w:t>8</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"_Toc115418765" </w:instrText>
      </w:r>
      <w:r>
        <w:fldChar w:fldCharType="separate"/>
      </w:r>
      <w:r>
        <w:rPr>
          <w:rStyle w:val="26"/>
        </w:rPr>
        <w:t xml:space="preserve">2.4 </w:t>
      </w:r>
      <w:r>
        <w:rPr>
          <w:rStyle w:val="26"/>
          <w:rFonts w:hint="eastAsia"/>
        </w:rPr>
        <w:t>区内其他相关应急预案</w:t>
      </w:r>
      <w:r>
        <w:tab/>
      </w:r>
      <w:r>
        <w:fldChar w:fldCharType="begin"/>
      </w:r>
      <w:r>
        <w:instrText xml:space="preserve"> PAGEREF _Toc115418765 \h </w:instrText>
      </w:r>
      <w:r>
        <w:fldChar w:fldCharType="separate"/>
      </w:r>
      <w:r>
        <w:t>9</w:t>
      </w:r>
      <w:r>
        <w:fldChar w:fldCharType="end"/>
      </w:r>
      <w:r>
        <w:fldChar w:fldCharType="end"/>
      </w:r>
    </w:p>
    <w:p>
      <w:pPr>
        <w:pStyle w:val="17"/>
        <w:rPr>
          <w:rFonts w:asciiTheme="minorHAnsi" w:hAnsiTheme="minorHAnsi" w:eastAsiaTheme="minorEastAsia" w:cstheme="minorBidi"/>
          <w:b w:val="0"/>
          <w:sz w:val="21"/>
        </w:rPr>
      </w:pPr>
      <w:r>
        <w:fldChar w:fldCharType="begin"/>
      </w:r>
      <w:r>
        <w:instrText xml:space="preserve"> HYPERLINK \l "_Toc115418766" </w:instrText>
      </w:r>
      <w:r>
        <w:fldChar w:fldCharType="separate"/>
      </w:r>
      <w:r>
        <w:rPr>
          <w:rStyle w:val="26"/>
        </w:rPr>
        <w:t>3</w:t>
      </w:r>
      <w:r>
        <w:rPr>
          <w:rStyle w:val="26"/>
          <w:rFonts w:hint="eastAsia"/>
        </w:rPr>
        <w:t>组织指挥体系</w:t>
      </w:r>
      <w:r>
        <w:tab/>
      </w:r>
      <w:r>
        <w:fldChar w:fldCharType="begin"/>
      </w:r>
      <w:r>
        <w:instrText xml:space="preserve"> PAGEREF _Toc115418766 \h </w:instrText>
      </w:r>
      <w:r>
        <w:fldChar w:fldCharType="separate"/>
      </w:r>
      <w:r>
        <w:t>10</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"_Toc115418767" </w:instrText>
      </w:r>
      <w:r>
        <w:fldChar w:fldCharType="separate"/>
      </w:r>
      <w:r>
        <w:rPr>
          <w:rStyle w:val="26"/>
        </w:rPr>
        <w:t xml:space="preserve">3.1 </w:t>
      </w:r>
      <w:r>
        <w:rPr>
          <w:rStyle w:val="26"/>
          <w:rFonts w:hint="eastAsia"/>
        </w:rPr>
        <w:t>领导机构</w:t>
      </w:r>
      <w:r>
        <w:tab/>
      </w:r>
      <w:r>
        <w:fldChar w:fldCharType="begin"/>
      </w:r>
      <w:r>
        <w:instrText xml:space="preserve"> PAGEREF _Toc115418767 \h </w:instrText>
      </w:r>
      <w:r>
        <w:fldChar w:fldCharType="separate"/>
      </w:r>
      <w:r>
        <w:t>10</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"_Toc115418768" </w:instrText>
      </w:r>
      <w:r>
        <w:fldChar w:fldCharType="separate"/>
      </w:r>
      <w:r>
        <w:rPr>
          <w:rStyle w:val="26"/>
        </w:rPr>
        <w:t xml:space="preserve">3.2 </w:t>
      </w:r>
      <w:r>
        <w:rPr>
          <w:rStyle w:val="26"/>
          <w:rFonts w:hint="eastAsia"/>
        </w:rPr>
        <w:t>区突发环境事件应急指挥部</w:t>
      </w:r>
      <w:r>
        <w:tab/>
      </w:r>
      <w:r>
        <w:fldChar w:fldCharType="begin"/>
      </w:r>
      <w:r>
        <w:instrText xml:space="preserve"> PAGEREF _Toc115418768 \h </w:instrText>
      </w:r>
      <w:r>
        <w:fldChar w:fldCharType="separate"/>
      </w:r>
      <w:r>
        <w:t>10</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"_Toc115418769" </w:instrText>
      </w:r>
      <w:r>
        <w:fldChar w:fldCharType="separate"/>
      </w:r>
      <w:r>
        <w:rPr>
          <w:rStyle w:val="26"/>
        </w:rPr>
        <w:t xml:space="preserve">3.3 </w:t>
      </w:r>
      <w:r>
        <w:rPr>
          <w:rStyle w:val="26"/>
          <w:rFonts w:hint="eastAsia"/>
        </w:rPr>
        <w:t>区指挥部办公室</w:t>
      </w:r>
      <w:r>
        <w:tab/>
      </w:r>
      <w:r>
        <w:fldChar w:fldCharType="begin"/>
      </w:r>
      <w:r>
        <w:instrText xml:space="preserve"> PAGEREF _Toc115418769 \h </w:instrText>
      </w:r>
      <w:r>
        <w:fldChar w:fldCharType="separate"/>
      </w:r>
      <w:r>
        <w:t>14</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"_Toc115418770" </w:instrText>
      </w:r>
      <w:r>
        <w:fldChar w:fldCharType="separate"/>
      </w:r>
      <w:r>
        <w:rPr>
          <w:rStyle w:val="26"/>
        </w:rPr>
        <w:t xml:space="preserve">3.4 </w:t>
      </w:r>
      <w:r>
        <w:rPr>
          <w:rStyle w:val="26"/>
          <w:rFonts w:hint="eastAsia"/>
        </w:rPr>
        <w:t>区现场指挥机构</w:t>
      </w:r>
      <w:r>
        <w:tab/>
      </w:r>
      <w:r>
        <w:fldChar w:fldCharType="begin"/>
      </w:r>
      <w:r>
        <w:instrText xml:space="preserve"> PAGEREF _Toc115418770 \h </w:instrText>
      </w:r>
      <w:r>
        <w:fldChar w:fldCharType="separate"/>
      </w:r>
      <w:r>
        <w:t>15</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"_Toc115418771" </w:instrText>
      </w:r>
      <w:r>
        <w:fldChar w:fldCharType="separate"/>
      </w:r>
      <w:r>
        <w:rPr>
          <w:rStyle w:val="26"/>
        </w:rPr>
        <w:t xml:space="preserve">3.5 </w:t>
      </w:r>
      <w:r>
        <w:rPr>
          <w:rStyle w:val="26"/>
          <w:rFonts w:hint="eastAsia"/>
        </w:rPr>
        <w:t>外部应急救援指挥机构组成及职责</w:t>
      </w:r>
      <w:r>
        <w:tab/>
      </w:r>
      <w:r>
        <w:fldChar w:fldCharType="begin"/>
      </w:r>
      <w:r>
        <w:instrText xml:space="preserve"> PAGEREF _Toc115418771 \h </w:instrText>
      </w:r>
      <w:r>
        <w:fldChar w:fldCharType="separate"/>
      </w:r>
      <w:r>
        <w:t>15</w:t>
      </w:r>
      <w:r>
        <w:fldChar w:fldCharType="end"/>
      </w:r>
      <w:r>
        <w:fldChar w:fldCharType="end"/>
      </w:r>
    </w:p>
    <w:p>
      <w:pPr>
        <w:pStyle w:val="17"/>
        <w:rPr>
          <w:rFonts w:asciiTheme="minorHAnsi" w:hAnsiTheme="minorHAnsi" w:eastAsiaTheme="minorEastAsia" w:cstheme="minorBidi"/>
          <w:b w:val="0"/>
          <w:sz w:val="21"/>
        </w:rPr>
      </w:pPr>
      <w:r>
        <w:fldChar w:fldCharType="begin"/>
      </w:r>
      <w:r>
        <w:instrText xml:space="preserve"> HYPERLINK \l "_Toc115418772" </w:instrText>
      </w:r>
      <w:r>
        <w:fldChar w:fldCharType="separate"/>
      </w:r>
      <w:r>
        <w:rPr>
          <w:rStyle w:val="26"/>
        </w:rPr>
        <w:t>4</w:t>
      </w:r>
      <w:r>
        <w:rPr>
          <w:rStyle w:val="26"/>
          <w:rFonts w:hint="eastAsia"/>
        </w:rPr>
        <w:t>应急准备</w:t>
      </w:r>
      <w:r>
        <w:tab/>
      </w:r>
      <w:r>
        <w:fldChar w:fldCharType="begin"/>
      </w:r>
      <w:r>
        <w:instrText xml:space="preserve"> PAGEREF _Toc115418772 \h </w:instrText>
      </w:r>
      <w:r>
        <w:fldChar w:fldCharType="separate"/>
      </w:r>
      <w:r>
        <w:t>17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"_Toc115418773" </w:instrText>
      </w:r>
      <w:r>
        <w:fldChar w:fldCharType="separate"/>
      </w:r>
      <w:r>
        <w:rPr>
          <w:rStyle w:val="26"/>
        </w:rPr>
        <w:t xml:space="preserve">4.1 </w:t>
      </w:r>
      <w:r>
        <w:rPr>
          <w:rStyle w:val="26"/>
          <w:rFonts w:hint="eastAsia"/>
        </w:rPr>
        <w:t>预案体系</w:t>
      </w:r>
      <w:r>
        <w:tab/>
      </w:r>
      <w:r>
        <w:fldChar w:fldCharType="begin"/>
      </w:r>
      <w:r>
        <w:instrText xml:space="preserve"> PAGEREF _Toc115418773 \h </w:instrText>
      </w:r>
      <w:r>
        <w:fldChar w:fldCharType="separate"/>
      </w:r>
      <w:r>
        <w:t>17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"_Toc115418774" </w:instrText>
      </w:r>
      <w:r>
        <w:fldChar w:fldCharType="separate"/>
      </w:r>
      <w:r>
        <w:rPr>
          <w:rStyle w:val="26"/>
        </w:rPr>
        <w:t xml:space="preserve">4.2 </w:t>
      </w:r>
      <w:r>
        <w:rPr>
          <w:rStyle w:val="26"/>
          <w:rFonts w:hint="eastAsia"/>
        </w:rPr>
        <w:t>风险控制</w:t>
      </w:r>
      <w:r>
        <w:tab/>
      </w:r>
      <w:r>
        <w:fldChar w:fldCharType="begin"/>
      </w:r>
      <w:r>
        <w:instrText xml:space="preserve"> PAGEREF _Toc115418774 \h </w:instrText>
      </w:r>
      <w:r>
        <w:fldChar w:fldCharType="separate"/>
      </w:r>
      <w:r>
        <w:t>18</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"_Toc115418775" </w:instrText>
      </w:r>
      <w:r>
        <w:fldChar w:fldCharType="separate"/>
      </w:r>
      <w:r>
        <w:rPr>
          <w:rStyle w:val="26"/>
        </w:rPr>
        <w:t xml:space="preserve">4.3 </w:t>
      </w:r>
      <w:r>
        <w:rPr>
          <w:rStyle w:val="26"/>
          <w:rFonts w:hint="eastAsia"/>
        </w:rPr>
        <w:t>应急队伍</w:t>
      </w:r>
      <w:r>
        <w:tab/>
      </w:r>
      <w:r>
        <w:fldChar w:fldCharType="begin"/>
      </w:r>
      <w:r>
        <w:instrText xml:space="preserve"> PAGEREF _Toc115418775 \h </w:instrText>
      </w:r>
      <w:r>
        <w:fldChar w:fldCharType="separate"/>
      </w:r>
      <w:r>
        <w:t>18</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"_Toc115418776" </w:instrText>
      </w:r>
      <w:r>
        <w:fldChar w:fldCharType="separate"/>
      </w:r>
      <w:r>
        <w:rPr>
          <w:rStyle w:val="26"/>
        </w:rPr>
        <w:t xml:space="preserve">4.4 </w:t>
      </w:r>
      <w:r>
        <w:rPr>
          <w:rStyle w:val="26"/>
          <w:rFonts w:hint="eastAsia"/>
        </w:rPr>
        <w:t>物资装备</w:t>
      </w:r>
      <w:r>
        <w:tab/>
      </w:r>
      <w:r>
        <w:fldChar w:fldCharType="begin"/>
      </w:r>
      <w:r>
        <w:instrText xml:space="preserve"> PAGEREF _Toc115418776 \h </w:instrText>
      </w:r>
      <w:r>
        <w:fldChar w:fldCharType="separate"/>
      </w:r>
      <w:r>
        <w:t>19</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"_Toc115418777" </w:instrText>
      </w:r>
      <w:r>
        <w:fldChar w:fldCharType="separate"/>
      </w:r>
      <w:r>
        <w:rPr>
          <w:rStyle w:val="26"/>
        </w:rPr>
        <w:t xml:space="preserve">4.5 </w:t>
      </w:r>
      <w:r>
        <w:rPr>
          <w:rStyle w:val="26"/>
          <w:rFonts w:hint="eastAsia"/>
        </w:rPr>
        <w:t>科技支撑</w:t>
      </w:r>
      <w:r>
        <w:tab/>
      </w:r>
      <w:r>
        <w:fldChar w:fldCharType="begin"/>
      </w:r>
      <w:r>
        <w:instrText xml:space="preserve"> PAGEREF _Toc115418777 \h </w:instrText>
      </w:r>
      <w:r>
        <w:fldChar w:fldCharType="separate"/>
      </w:r>
      <w:r>
        <w:t>19</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"_Toc115418778" </w:instrText>
      </w:r>
      <w:r>
        <w:fldChar w:fldCharType="separate"/>
      </w:r>
      <w:r>
        <w:rPr>
          <w:rStyle w:val="26"/>
        </w:rPr>
        <w:t xml:space="preserve">4.6 </w:t>
      </w:r>
      <w:r>
        <w:rPr>
          <w:rStyle w:val="26"/>
          <w:rFonts w:hint="eastAsia"/>
        </w:rPr>
        <w:t>联动机制</w:t>
      </w:r>
      <w:r>
        <w:tab/>
      </w:r>
      <w:r>
        <w:fldChar w:fldCharType="begin"/>
      </w:r>
      <w:r>
        <w:instrText xml:space="preserve"> PAGEREF _Toc115418778 \h </w:instrText>
      </w:r>
      <w:r>
        <w:fldChar w:fldCharType="separate"/>
      </w:r>
      <w:r>
        <w:t>19</w:t>
      </w:r>
      <w:r>
        <w:fldChar w:fldCharType="end"/>
      </w:r>
      <w:r>
        <w:fldChar w:fldCharType="end"/>
      </w:r>
    </w:p>
    <w:p>
      <w:pPr>
        <w:pStyle w:val="17"/>
        <w:rPr>
          <w:rFonts w:asciiTheme="minorHAnsi" w:hAnsiTheme="minorHAnsi" w:eastAsiaTheme="minorEastAsia" w:cstheme="minorBidi"/>
          <w:b w:val="0"/>
          <w:sz w:val="21"/>
        </w:rPr>
      </w:pPr>
      <w:r>
        <w:fldChar w:fldCharType="begin"/>
      </w:r>
      <w:r>
        <w:instrText xml:space="preserve"> HYPERLINK \l "_Toc115418779" </w:instrText>
      </w:r>
      <w:r>
        <w:fldChar w:fldCharType="separate"/>
      </w:r>
      <w:r>
        <w:rPr>
          <w:rStyle w:val="26"/>
        </w:rPr>
        <w:t>5</w:t>
      </w:r>
      <w:r>
        <w:rPr>
          <w:rStyle w:val="26"/>
          <w:rFonts w:hint="eastAsia"/>
        </w:rPr>
        <w:t>监测预警</w:t>
      </w:r>
      <w:r>
        <w:tab/>
      </w:r>
      <w:r>
        <w:fldChar w:fldCharType="begin"/>
      </w:r>
      <w:r>
        <w:instrText xml:space="preserve"> PAGEREF _Toc115418779 \h </w:instrText>
      </w:r>
      <w:r>
        <w:fldChar w:fldCharType="separate"/>
      </w:r>
      <w:r>
        <w:t>20</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"_Toc115418780" </w:instrText>
      </w:r>
      <w:r>
        <w:fldChar w:fldCharType="separate"/>
      </w:r>
      <w:r>
        <w:rPr>
          <w:rStyle w:val="26"/>
        </w:rPr>
        <w:t xml:space="preserve">5.1 </w:t>
      </w:r>
      <w:r>
        <w:rPr>
          <w:rStyle w:val="26"/>
          <w:rFonts w:hint="eastAsia"/>
        </w:rPr>
        <w:t>监测</w:t>
      </w:r>
      <w:r>
        <w:tab/>
      </w:r>
      <w:r>
        <w:fldChar w:fldCharType="begin"/>
      </w:r>
      <w:r>
        <w:instrText xml:space="preserve"> PAGEREF _Toc115418780 \h </w:instrText>
      </w:r>
      <w:r>
        <w:fldChar w:fldCharType="separate"/>
      </w:r>
      <w:r>
        <w:t>20</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"_Toc115418781" </w:instrText>
      </w:r>
      <w:r>
        <w:fldChar w:fldCharType="separate"/>
      </w:r>
      <w:r>
        <w:rPr>
          <w:rStyle w:val="26"/>
        </w:rPr>
        <w:t xml:space="preserve">5.2 </w:t>
      </w:r>
      <w:r>
        <w:rPr>
          <w:rStyle w:val="26"/>
          <w:rFonts w:hint="eastAsia"/>
        </w:rPr>
        <w:t>预警</w:t>
      </w:r>
      <w:r>
        <w:tab/>
      </w:r>
      <w:r>
        <w:fldChar w:fldCharType="begin"/>
      </w:r>
      <w:r>
        <w:instrText xml:space="preserve"> PAGEREF _Toc115418781 \h </w:instrText>
      </w:r>
      <w:r>
        <w:fldChar w:fldCharType="separate"/>
      </w:r>
      <w:r>
        <w:t>20</w:t>
      </w:r>
      <w:r>
        <w:fldChar w:fldCharType="end"/>
      </w:r>
      <w:r>
        <w:fldChar w:fldCharType="end"/>
      </w:r>
    </w:p>
    <w:p>
      <w:pPr>
        <w:pStyle w:val="17"/>
        <w:rPr>
          <w:rFonts w:asciiTheme="minorHAnsi" w:hAnsiTheme="minorHAnsi" w:eastAsiaTheme="minorEastAsia" w:cstheme="minorBidi"/>
          <w:b w:val="0"/>
          <w:sz w:val="21"/>
        </w:rPr>
      </w:pPr>
      <w:r>
        <w:fldChar w:fldCharType="begin"/>
      </w:r>
      <w:r>
        <w:instrText xml:space="preserve"> HYPERLINK \l "_Toc115418782" </w:instrText>
      </w:r>
      <w:r>
        <w:fldChar w:fldCharType="separate"/>
      </w:r>
      <w:r>
        <w:rPr>
          <w:rStyle w:val="26"/>
        </w:rPr>
        <w:t>6</w:t>
      </w:r>
      <w:r>
        <w:rPr>
          <w:rStyle w:val="26"/>
          <w:rFonts w:hint="eastAsia"/>
        </w:rPr>
        <w:t>信息报告</w:t>
      </w:r>
      <w:r>
        <w:tab/>
      </w:r>
      <w:r>
        <w:fldChar w:fldCharType="begin"/>
      </w:r>
      <w:r>
        <w:instrText xml:space="preserve"> PAGEREF _Toc115418782 \h </w:instrText>
      </w:r>
      <w:r>
        <w:fldChar w:fldCharType="separate"/>
      </w:r>
      <w:r>
        <w:t>23</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"_Toc115418783" </w:instrText>
      </w:r>
      <w:r>
        <w:fldChar w:fldCharType="separate"/>
      </w:r>
      <w:r>
        <w:rPr>
          <w:rStyle w:val="26"/>
        </w:rPr>
        <w:t xml:space="preserve">6.1 </w:t>
      </w:r>
      <w:r>
        <w:rPr>
          <w:rStyle w:val="26"/>
          <w:rFonts w:hint="eastAsia"/>
        </w:rPr>
        <w:t>信息报告</w:t>
      </w:r>
      <w:r>
        <w:tab/>
      </w:r>
      <w:r>
        <w:fldChar w:fldCharType="begin"/>
      </w:r>
      <w:r>
        <w:instrText xml:space="preserve"> PAGEREF _Toc115418783 \h </w:instrText>
      </w:r>
      <w:r>
        <w:fldChar w:fldCharType="separate"/>
      </w:r>
      <w:r>
        <w:t>23</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"_Toc115418784" </w:instrText>
      </w:r>
      <w:r>
        <w:fldChar w:fldCharType="separate"/>
      </w:r>
      <w:r>
        <w:rPr>
          <w:rStyle w:val="26"/>
        </w:rPr>
        <w:t xml:space="preserve">6.2 </w:t>
      </w:r>
      <w:r>
        <w:rPr>
          <w:rStyle w:val="26"/>
          <w:rFonts w:hint="eastAsia"/>
        </w:rPr>
        <w:t>信息通报</w:t>
      </w:r>
      <w:r>
        <w:tab/>
      </w:r>
      <w:r>
        <w:fldChar w:fldCharType="begin"/>
      </w:r>
      <w:r>
        <w:instrText xml:space="preserve"> PAGEREF _Toc115418784 \h </w:instrText>
      </w:r>
      <w:r>
        <w:fldChar w:fldCharType="separate"/>
      </w:r>
      <w:r>
        <w:t>25</w:t>
      </w:r>
      <w:r>
        <w:fldChar w:fldCharType="end"/>
      </w:r>
      <w:r>
        <w:fldChar w:fldCharType="end"/>
      </w:r>
    </w:p>
    <w:p>
      <w:pPr>
        <w:pStyle w:val="17"/>
        <w:rPr>
          <w:rFonts w:asciiTheme="minorHAnsi" w:hAnsiTheme="minorHAnsi" w:eastAsiaTheme="minorEastAsia" w:cstheme="minorBidi"/>
          <w:b w:val="0"/>
          <w:sz w:val="21"/>
        </w:rPr>
      </w:pPr>
      <w:r>
        <w:fldChar w:fldCharType="begin"/>
      </w:r>
      <w:r>
        <w:instrText xml:space="preserve"> HYPERLINK \l "_Toc115418785" </w:instrText>
      </w:r>
      <w:r>
        <w:fldChar w:fldCharType="separate"/>
      </w:r>
      <w:r>
        <w:rPr>
          <w:rStyle w:val="26"/>
        </w:rPr>
        <w:t>7</w:t>
      </w:r>
      <w:r>
        <w:rPr>
          <w:rStyle w:val="26"/>
          <w:rFonts w:hint="eastAsia"/>
        </w:rPr>
        <w:t>应急响应</w:t>
      </w:r>
      <w:r>
        <w:tab/>
      </w:r>
      <w:r>
        <w:fldChar w:fldCharType="begin"/>
      </w:r>
      <w:r>
        <w:instrText xml:space="preserve"> PAGEREF _Toc115418785 \h </w:instrText>
      </w:r>
      <w:r>
        <w:fldChar w:fldCharType="separate"/>
      </w:r>
      <w:r>
        <w:t>26</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"_Toc115418786" </w:instrText>
      </w:r>
      <w:r>
        <w:fldChar w:fldCharType="separate"/>
      </w:r>
      <w:r>
        <w:rPr>
          <w:rStyle w:val="26"/>
        </w:rPr>
        <w:t xml:space="preserve">7.1 </w:t>
      </w:r>
      <w:r>
        <w:rPr>
          <w:rStyle w:val="26"/>
          <w:rFonts w:hint="eastAsia" w:hAnsi="宋体"/>
        </w:rPr>
        <w:t>响应分级</w:t>
      </w:r>
      <w:r>
        <w:tab/>
      </w:r>
      <w:r>
        <w:fldChar w:fldCharType="begin"/>
      </w:r>
      <w:r>
        <w:instrText xml:space="preserve"> PAGEREF _Toc115418786 \h </w:instrText>
      </w:r>
      <w:r>
        <w:fldChar w:fldCharType="separate"/>
      </w:r>
      <w:r>
        <w:t>26</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"_Toc115418787" </w:instrText>
      </w:r>
      <w:r>
        <w:fldChar w:fldCharType="separate"/>
      </w:r>
      <w:r>
        <w:rPr>
          <w:rStyle w:val="26"/>
        </w:rPr>
        <w:t xml:space="preserve">7.2 </w:t>
      </w:r>
      <w:r>
        <w:rPr>
          <w:rStyle w:val="26"/>
          <w:rFonts w:hint="eastAsia" w:hAnsi="宋体"/>
        </w:rPr>
        <w:t>先期处置</w:t>
      </w:r>
      <w:r>
        <w:tab/>
      </w:r>
      <w:r>
        <w:fldChar w:fldCharType="begin"/>
      </w:r>
      <w:r>
        <w:instrText xml:space="preserve"> PAGEREF _Toc115418787 \h </w:instrText>
      </w:r>
      <w:r>
        <w:fldChar w:fldCharType="separate"/>
      </w:r>
      <w:r>
        <w:t>26</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"_Toc115418788" </w:instrText>
      </w:r>
      <w:r>
        <w:fldChar w:fldCharType="separate"/>
      </w:r>
      <w:r>
        <w:rPr>
          <w:rStyle w:val="26"/>
        </w:rPr>
        <w:t xml:space="preserve">7.3 </w:t>
      </w:r>
      <w:r>
        <w:rPr>
          <w:rStyle w:val="26"/>
          <w:rFonts w:hint="eastAsia"/>
        </w:rPr>
        <w:t>响应措施</w:t>
      </w:r>
      <w:r>
        <w:tab/>
      </w:r>
      <w:r>
        <w:fldChar w:fldCharType="begin"/>
      </w:r>
      <w:r>
        <w:instrText xml:space="preserve"> PAGEREF _Toc115418788 \h </w:instrText>
      </w:r>
      <w:r>
        <w:fldChar w:fldCharType="separate"/>
      </w:r>
      <w:r>
        <w:t>27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"_Toc115418789" </w:instrText>
      </w:r>
      <w:r>
        <w:fldChar w:fldCharType="separate"/>
      </w:r>
      <w:r>
        <w:rPr>
          <w:rStyle w:val="26"/>
        </w:rPr>
        <w:t xml:space="preserve">7.4 </w:t>
      </w:r>
      <w:r>
        <w:rPr>
          <w:rStyle w:val="26"/>
          <w:rFonts w:hint="eastAsia"/>
        </w:rPr>
        <w:t>指挥协调</w:t>
      </w:r>
      <w:r>
        <w:tab/>
      </w:r>
      <w:r>
        <w:fldChar w:fldCharType="begin"/>
      </w:r>
      <w:r>
        <w:instrText xml:space="preserve"> PAGEREF _Toc115418789 \h </w:instrText>
      </w:r>
      <w:r>
        <w:fldChar w:fldCharType="separate"/>
      </w:r>
      <w:r>
        <w:t>27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"_Toc115418790" </w:instrText>
      </w:r>
      <w:r>
        <w:fldChar w:fldCharType="separate"/>
      </w:r>
      <w:r>
        <w:rPr>
          <w:rStyle w:val="26"/>
        </w:rPr>
        <w:t xml:space="preserve">7.5 </w:t>
      </w:r>
      <w:r>
        <w:rPr>
          <w:rStyle w:val="26"/>
          <w:rFonts w:hint="eastAsia"/>
        </w:rPr>
        <w:t>应急处置</w:t>
      </w:r>
      <w:r>
        <w:tab/>
      </w:r>
      <w:r>
        <w:fldChar w:fldCharType="begin"/>
      </w:r>
      <w:r>
        <w:instrText xml:space="preserve"> PAGEREF _Toc115418790 \h </w:instrText>
      </w:r>
      <w:r>
        <w:fldChar w:fldCharType="separate"/>
      </w:r>
      <w:r>
        <w:t>28</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"_Toc115418791" </w:instrText>
      </w:r>
      <w:r>
        <w:fldChar w:fldCharType="separate"/>
      </w:r>
      <w:r>
        <w:rPr>
          <w:rStyle w:val="26"/>
        </w:rPr>
        <w:t xml:space="preserve">7.6 </w:t>
      </w:r>
      <w:r>
        <w:rPr>
          <w:rStyle w:val="26"/>
          <w:rFonts w:hint="eastAsia"/>
        </w:rPr>
        <w:t>信息通报</w:t>
      </w:r>
      <w:r>
        <w:tab/>
      </w:r>
      <w:r>
        <w:fldChar w:fldCharType="begin"/>
      </w:r>
      <w:r>
        <w:instrText xml:space="preserve"> PAGEREF _Toc115418791 \h </w:instrText>
      </w:r>
      <w:r>
        <w:fldChar w:fldCharType="separate"/>
      </w:r>
      <w:r>
        <w:t>33</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"_Toc115418792" </w:instrText>
      </w:r>
      <w:r>
        <w:fldChar w:fldCharType="separate"/>
      </w:r>
      <w:r>
        <w:rPr>
          <w:rStyle w:val="26"/>
        </w:rPr>
        <w:t xml:space="preserve">7.7 </w:t>
      </w:r>
      <w:r>
        <w:rPr>
          <w:rStyle w:val="26"/>
          <w:rFonts w:hint="eastAsia"/>
        </w:rPr>
        <w:t>信息发布</w:t>
      </w:r>
      <w:r>
        <w:tab/>
      </w:r>
      <w:r>
        <w:fldChar w:fldCharType="begin"/>
      </w:r>
      <w:r>
        <w:instrText xml:space="preserve"> PAGEREF _Toc115418792 \h </w:instrText>
      </w:r>
      <w:r>
        <w:fldChar w:fldCharType="separate"/>
      </w:r>
      <w:r>
        <w:t>33</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"_Toc115418793" </w:instrText>
      </w:r>
      <w:r>
        <w:fldChar w:fldCharType="separate"/>
      </w:r>
      <w:r>
        <w:rPr>
          <w:rStyle w:val="26"/>
        </w:rPr>
        <w:t xml:space="preserve">7.8 </w:t>
      </w:r>
      <w:r>
        <w:rPr>
          <w:rStyle w:val="26"/>
          <w:rFonts w:hint="eastAsia"/>
        </w:rPr>
        <w:t>安全防护</w:t>
      </w:r>
      <w:r>
        <w:tab/>
      </w:r>
      <w:r>
        <w:fldChar w:fldCharType="begin"/>
      </w:r>
      <w:r>
        <w:instrText xml:space="preserve"> PAGEREF _Toc115418793 \h </w:instrText>
      </w:r>
      <w:r>
        <w:fldChar w:fldCharType="separate"/>
      </w:r>
      <w:r>
        <w:t>34</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"_Toc115418794" </w:instrText>
      </w:r>
      <w:r>
        <w:fldChar w:fldCharType="separate"/>
      </w:r>
      <w:r>
        <w:rPr>
          <w:rStyle w:val="26"/>
        </w:rPr>
        <w:t xml:space="preserve">7.9 </w:t>
      </w:r>
      <w:r>
        <w:rPr>
          <w:rStyle w:val="26"/>
          <w:rFonts w:hint="eastAsia"/>
        </w:rPr>
        <w:t>响应终止</w:t>
      </w:r>
      <w:r>
        <w:tab/>
      </w:r>
      <w:r>
        <w:fldChar w:fldCharType="begin"/>
      </w:r>
      <w:r>
        <w:instrText xml:space="preserve"> PAGEREF _Toc115418794 \h </w:instrText>
      </w:r>
      <w:r>
        <w:fldChar w:fldCharType="separate"/>
      </w:r>
      <w:r>
        <w:t>35</w:t>
      </w:r>
      <w:r>
        <w:fldChar w:fldCharType="end"/>
      </w:r>
      <w:r>
        <w:fldChar w:fldCharType="end"/>
      </w:r>
    </w:p>
    <w:p>
      <w:pPr>
        <w:pStyle w:val="17"/>
        <w:rPr>
          <w:rFonts w:asciiTheme="minorHAnsi" w:hAnsiTheme="minorHAnsi" w:eastAsiaTheme="minorEastAsia" w:cstheme="minorBidi"/>
          <w:b w:val="0"/>
          <w:sz w:val="21"/>
        </w:rPr>
      </w:pPr>
      <w:r>
        <w:fldChar w:fldCharType="begin"/>
      </w:r>
      <w:r>
        <w:instrText xml:space="preserve"> HYPERLINK \l "_Toc115418795" </w:instrText>
      </w:r>
      <w:r>
        <w:fldChar w:fldCharType="separate"/>
      </w:r>
      <w:r>
        <w:rPr>
          <w:rStyle w:val="26"/>
        </w:rPr>
        <w:t>8</w:t>
      </w:r>
      <w:r>
        <w:rPr>
          <w:rStyle w:val="26"/>
          <w:rFonts w:hint="eastAsia"/>
        </w:rPr>
        <w:t>后期工作</w:t>
      </w:r>
      <w:r>
        <w:tab/>
      </w:r>
      <w:r>
        <w:fldChar w:fldCharType="begin"/>
      </w:r>
      <w:r>
        <w:instrText xml:space="preserve"> PAGEREF _Toc115418795 \h </w:instrText>
      </w:r>
      <w:r>
        <w:fldChar w:fldCharType="separate"/>
      </w:r>
      <w:r>
        <w:t>36</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"_Toc115418796" </w:instrText>
      </w:r>
      <w:r>
        <w:fldChar w:fldCharType="separate"/>
      </w:r>
      <w:r>
        <w:rPr>
          <w:rStyle w:val="26"/>
        </w:rPr>
        <w:t xml:space="preserve">8.1 </w:t>
      </w:r>
      <w:r>
        <w:rPr>
          <w:rStyle w:val="26"/>
          <w:rFonts w:hint="eastAsia"/>
        </w:rPr>
        <w:t>损害评估</w:t>
      </w:r>
      <w:r>
        <w:tab/>
      </w:r>
      <w:r>
        <w:fldChar w:fldCharType="begin"/>
      </w:r>
      <w:r>
        <w:instrText xml:space="preserve"> PAGEREF _Toc115418796 \h </w:instrText>
      </w:r>
      <w:r>
        <w:fldChar w:fldCharType="separate"/>
      </w:r>
      <w:r>
        <w:t>36</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"_Toc115418797" </w:instrText>
      </w:r>
      <w:r>
        <w:fldChar w:fldCharType="separate"/>
      </w:r>
      <w:r>
        <w:rPr>
          <w:rStyle w:val="26"/>
        </w:rPr>
        <w:t xml:space="preserve">8.2 </w:t>
      </w:r>
      <w:r>
        <w:rPr>
          <w:rStyle w:val="26"/>
          <w:rFonts w:hint="eastAsia"/>
        </w:rPr>
        <w:t>事件调查</w:t>
      </w:r>
      <w:r>
        <w:tab/>
      </w:r>
      <w:r>
        <w:fldChar w:fldCharType="begin"/>
      </w:r>
      <w:r>
        <w:instrText xml:space="preserve"> PAGEREF _Toc115418797 \h </w:instrText>
      </w:r>
      <w:r>
        <w:fldChar w:fldCharType="separate"/>
      </w:r>
      <w:r>
        <w:t>36</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"_Toc115418798" </w:instrText>
      </w:r>
      <w:r>
        <w:fldChar w:fldCharType="separate"/>
      </w:r>
      <w:r>
        <w:rPr>
          <w:rStyle w:val="26"/>
        </w:rPr>
        <w:t xml:space="preserve">8.3 </w:t>
      </w:r>
      <w:r>
        <w:rPr>
          <w:rStyle w:val="26"/>
          <w:rFonts w:hint="eastAsia"/>
        </w:rPr>
        <w:t>善后处置</w:t>
      </w:r>
      <w:r>
        <w:tab/>
      </w:r>
      <w:r>
        <w:fldChar w:fldCharType="begin"/>
      </w:r>
      <w:r>
        <w:instrText xml:space="preserve"> PAGEREF _Toc115418798 \h </w:instrText>
      </w:r>
      <w:r>
        <w:fldChar w:fldCharType="separate"/>
      </w:r>
      <w:r>
        <w:t>36</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"_Toc115418799" </w:instrText>
      </w:r>
      <w:r>
        <w:fldChar w:fldCharType="separate"/>
      </w:r>
      <w:r>
        <w:rPr>
          <w:rStyle w:val="26"/>
        </w:rPr>
        <w:t xml:space="preserve">8.4 </w:t>
      </w:r>
      <w:r>
        <w:rPr>
          <w:rStyle w:val="26"/>
          <w:rFonts w:hint="eastAsia"/>
        </w:rPr>
        <w:t>总结报告</w:t>
      </w:r>
      <w:r>
        <w:tab/>
      </w:r>
      <w:r>
        <w:fldChar w:fldCharType="begin"/>
      </w:r>
      <w:r>
        <w:instrText xml:space="preserve"> PAGEREF _Toc115418799 \h </w:instrText>
      </w:r>
      <w:r>
        <w:fldChar w:fldCharType="separate"/>
      </w:r>
      <w:r>
        <w:t>36</w:t>
      </w:r>
      <w:r>
        <w:fldChar w:fldCharType="end"/>
      </w:r>
      <w:r>
        <w:fldChar w:fldCharType="end"/>
      </w:r>
    </w:p>
    <w:p>
      <w:pPr>
        <w:pStyle w:val="17"/>
        <w:rPr>
          <w:rFonts w:asciiTheme="minorHAnsi" w:hAnsiTheme="minorHAnsi" w:eastAsiaTheme="minorEastAsia" w:cstheme="minorBidi"/>
          <w:b w:val="0"/>
          <w:sz w:val="21"/>
        </w:rPr>
      </w:pPr>
      <w:r>
        <w:fldChar w:fldCharType="begin"/>
      </w:r>
      <w:r>
        <w:instrText xml:space="preserve"> HYPERLINK \l "_Toc115418800" </w:instrText>
      </w:r>
      <w:r>
        <w:fldChar w:fldCharType="separate"/>
      </w:r>
      <w:r>
        <w:rPr>
          <w:rStyle w:val="26"/>
        </w:rPr>
        <w:t>9</w:t>
      </w:r>
      <w:r>
        <w:rPr>
          <w:rStyle w:val="26"/>
          <w:rFonts w:hint="eastAsia"/>
        </w:rPr>
        <w:t>应急保障</w:t>
      </w:r>
      <w:r>
        <w:tab/>
      </w:r>
      <w:r>
        <w:fldChar w:fldCharType="begin"/>
      </w:r>
      <w:r>
        <w:instrText xml:space="preserve"> PAGEREF _Toc115418800 \h </w:instrText>
      </w:r>
      <w:r>
        <w:fldChar w:fldCharType="separate"/>
      </w:r>
      <w:r>
        <w:t>37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"_Toc115418801" </w:instrText>
      </w:r>
      <w:r>
        <w:fldChar w:fldCharType="separate"/>
      </w:r>
      <w:r>
        <w:rPr>
          <w:rStyle w:val="26"/>
        </w:rPr>
        <w:t xml:space="preserve">9.1 </w:t>
      </w:r>
      <w:r>
        <w:rPr>
          <w:rStyle w:val="26"/>
          <w:rFonts w:hint="eastAsia"/>
        </w:rPr>
        <w:t>预案保障</w:t>
      </w:r>
      <w:r>
        <w:tab/>
      </w:r>
      <w:r>
        <w:fldChar w:fldCharType="begin"/>
      </w:r>
      <w:r>
        <w:instrText xml:space="preserve"> PAGEREF _Toc115418801 \h </w:instrText>
      </w:r>
      <w:r>
        <w:fldChar w:fldCharType="separate"/>
      </w:r>
      <w:r>
        <w:t>37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"_Toc115418802" </w:instrText>
      </w:r>
      <w:r>
        <w:fldChar w:fldCharType="separate"/>
      </w:r>
      <w:r>
        <w:rPr>
          <w:rStyle w:val="26"/>
        </w:rPr>
        <w:t xml:space="preserve">9.2 </w:t>
      </w:r>
      <w:r>
        <w:rPr>
          <w:rStyle w:val="26"/>
          <w:rFonts w:hint="eastAsia"/>
        </w:rPr>
        <w:t>值守保障</w:t>
      </w:r>
      <w:r>
        <w:tab/>
      </w:r>
      <w:r>
        <w:fldChar w:fldCharType="begin"/>
      </w:r>
      <w:r>
        <w:instrText xml:space="preserve"> PAGEREF _Toc115418802 \h </w:instrText>
      </w:r>
      <w:r>
        <w:fldChar w:fldCharType="separate"/>
      </w:r>
      <w:r>
        <w:t>37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"_Toc115418803" </w:instrText>
      </w:r>
      <w:r>
        <w:fldChar w:fldCharType="separate"/>
      </w:r>
      <w:r>
        <w:rPr>
          <w:rStyle w:val="26"/>
        </w:rPr>
        <w:t xml:space="preserve">9.3 </w:t>
      </w:r>
      <w:r>
        <w:rPr>
          <w:rStyle w:val="26"/>
          <w:rFonts w:hint="eastAsia"/>
        </w:rPr>
        <w:t>预警保障</w:t>
      </w:r>
      <w:r>
        <w:tab/>
      </w:r>
      <w:r>
        <w:fldChar w:fldCharType="begin"/>
      </w:r>
      <w:r>
        <w:instrText xml:space="preserve"> PAGEREF _Toc115418803 \h </w:instrText>
      </w:r>
      <w:r>
        <w:fldChar w:fldCharType="separate"/>
      </w:r>
      <w:r>
        <w:t>37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"_Toc115418804" </w:instrText>
      </w:r>
      <w:r>
        <w:fldChar w:fldCharType="separate"/>
      </w:r>
      <w:r>
        <w:rPr>
          <w:rStyle w:val="26"/>
        </w:rPr>
        <w:t xml:space="preserve">9.4 </w:t>
      </w:r>
      <w:r>
        <w:rPr>
          <w:rStyle w:val="26"/>
          <w:rFonts w:hint="eastAsia"/>
        </w:rPr>
        <w:t>机制保障</w:t>
      </w:r>
      <w:r>
        <w:tab/>
      </w:r>
      <w:r>
        <w:fldChar w:fldCharType="begin"/>
      </w:r>
      <w:r>
        <w:instrText xml:space="preserve"> PAGEREF _Toc115418804 \h </w:instrText>
      </w:r>
      <w:r>
        <w:fldChar w:fldCharType="separate"/>
      </w:r>
      <w:r>
        <w:t>37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"_Toc115418805" </w:instrText>
      </w:r>
      <w:r>
        <w:fldChar w:fldCharType="separate"/>
      </w:r>
      <w:r>
        <w:rPr>
          <w:rStyle w:val="26"/>
        </w:rPr>
        <w:t xml:space="preserve">9.5 </w:t>
      </w:r>
      <w:r>
        <w:rPr>
          <w:rStyle w:val="26"/>
          <w:rFonts w:hint="eastAsia"/>
        </w:rPr>
        <w:t>队伍保障</w:t>
      </w:r>
      <w:r>
        <w:tab/>
      </w:r>
      <w:r>
        <w:fldChar w:fldCharType="begin"/>
      </w:r>
      <w:r>
        <w:instrText xml:space="preserve"> PAGEREF _Toc115418805 \h </w:instrText>
      </w:r>
      <w:r>
        <w:fldChar w:fldCharType="separate"/>
      </w:r>
      <w:r>
        <w:t>37</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"_Toc115418806" </w:instrText>
      </w:r>
      <w:r>
        <w:fldChar w:fldCharType="separate"/>
      </w:r>
      <w:r>
        <w:rPr>
          <w:rStyle w:val="26"/>
        </w:rPr>
        <w:t xml:space="preserve">9.6 </w:t>
      </w:r>
      <w:r>
        <w:rPr>
          <w:rStyle w:val="26"/>
          <w:rFonts w:hint="eastAsia"/>
        </w:rPr>
        <w:t>物资装备保障</w:t>
      </w:r>
      <w:r>
        <w:tab/>
      </w:r>
      <w:r>
        <w:fldChar w:fldCharType="begin"/>
      </w:r>
      <w:r>
        <w:instrText xml:space="preserve"> PAGEREF _Toc115418806 \h </w:instrText>
      </w:r>
      <w:r>
        <w:fldChar w:fldCharType="separate"/>
      </w:r>
      <w:r>
        <w:t>38</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"_Toc115418807" </w:instrText>
      </w:r>
      <w:r>
        <w:fldChar w:fldCharType="separate"/>
      </w:r>
      <w:r>
        <w:rPr>
          <w:rStyle w:val="26"/>
        </w:rPr>
        <w:t xml:space="preserve">9.7 </w:t>
      </w:r>
      <w:r>
        <w:rPr>
          <w:rStyle w:val="26"/>
          <w:rFonts w:hint="eastAsia"/>
        </w:rPr>
        <w:t>技术保障</w:t>
      </w:r>
      <w:r>
        <w:tab/>
      </w:r>
      <w:r>
        <w:fldChar w:fldCharType="begin"/>
      </w:r>
      <w:r>
        <w:instrText xml:space="preserve"> PAGEREF _Toc115418807 \h </w:instrText>
      </w:r>
      <w:r>
        <w:fldChar w:fldCharType="separate"/>
      </w:r>
      <w:r>
        <w:t>38</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"_Toc115418808" </w:instrText>
      </w:r>
      <w:r>
        <w:fldChar w:fldCharType="separate"/>
      </w:r>
      <w:r>
        <w:rPr>
          <w:rStyle w:val="26"/>
        </w:rPr>
        <w:t xml:space="preserve">9.8 </w:t>
      </w:r>
      <w:r>
        <w:rPr>
          <w:rStyle w:val="26"/>
          <w:rFonts w:hint="eastAsia"/>
        </w:rPr>
        <w:t>资金保障</w:t>
      </w:r>
      <w:r>
        <w:tab/>
      </w:r>
      <w:r>
        <w:fldChar w:fldCharType="begin"/>
      </w:r>
      <w:r>
        <w:instrText xml:space="preserve"> PAGEREF _Toc115418808 \h </w:instrText>
      </w:r>
      <w:r>
        <w:fldChar w:fldCharType="separate"/>
      </w:r>
      <w:r>
        <w:t>38</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"_Toc115418809" </w:instrText>
      </w:r>
      <w:r>
        <w:fldChar w:fldCharType="separate"/>
      </w:r>
      <w:r>
        <w:rPr>
          <w:rStyle w:val="26"/>
        </w:rPr>
        <w:t xml:space="preserve">9.9 </w:t>
      </w:r>
      <w:r>
        <w:rPr>
          <w:rStyle w:val="26"/>
          <w:rFonts w:hint="eastAsia"/>
        </w:rPr>
        <w:t>通信、交通与运输保障</w:t>
      </w:r>
      <w:r>
        <w:tab/>
      </w:r>
      <w:r>
        <w:fldChar w:fldCharType="begin"/>
      </w:r>
      <w:r>
        <w:instrText xml:space="preserve"> PAGEREF _Toc115418809 \h </w:instrText>
      </w:r>
      <w:r>
        <w:fldChar w:fldCharType="separate"/>
      </w:r>
      <w:r>
        <w:t>39</w:t>
      </w:r>
      <w:r>
        <w:fldChar w:fldCharType="end"/>
      </w:r>
      <w:r>
        <w:fldChar w:fldCharType="end"/>
      </w:r>
    </w:p>
    <w:p>
      <w:pPr>
        <w:pStyle w:val="17"/>
        <w:rPr>
          <w:rFonts w:asciiTheme="minorHAnsi" w:hAnsiTheme="minorHAnsi" w:eastAsiaTheme="minorEastAsia" w:cstheme="minorBidi"/>
          <w:b w:val="0"/>
          <w:sz w:val="21"/>
        </w:rPr>
      </w:pPr>
      <w:r>
        <w:fldChar w:fldCharType="begin"/>
      </w:r>
      <w:r>
        <w:instrText xml:space="preserve"> HYPERLINK \l "_Toc115418810" </w:instrText>
      </w:r>
      <w:r>
        <w:fldChar w:fldCharType="separate"/>
      </w:r>
      <w:r>
        <w:rPr>
          <w:rStyle w:val="26"/>
        </w:rPr>
        <w:t>10</w:t>
      </w:r>
      <w:r>
        <w:rPr>
          <w:rStyle w:val="26"/>
          <w:rFonts w:hint="eastAsia"/>
        </w:rPr>
        <w:t>监督管理</w:t>
      </w:r>
      <w:r>
        <w:tab/>
      </w:r>
      <w:r>
        <w:fldChar w:fldCharType="begin"/>
      </w:r>
      <w:r>
        <w:instrText xml:space="preserve"> PAGEREF _Toc115418810 \h </w:instrText>
      </w:r>
      <w:r>
        <w:fldChar w:fldCharType="separate"/>
      </w:r>
      <w:r>
        <w:t>40</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"_Toc115418811" </w:instrText>
      </w:r>
      <w:r>
        <w:fldChar w:fldCharType="separate"/>
      </w:r>
      <w:r>
        <w:rPr>
          <w:rStyle w:val="26"/>
        </w:rPr>
        <w:t xml:space="preserve">10.1 </w:t>
      </w:r>
      <w:r>
        <w:rPr>
          <w:rStyle w:val="26"/>
          <w:rFonts w:hint="eastAsia"/>
        </w:rPr>
        <w:t>宣传教育</w:t>
      </w:r>
      <w:r>
        <w:tab/>
      </w:r>
      <w:r>
        <w:fldChar w:fldCharType="begin"/>
      </w:r>
      <w:r>
        <w:instrText xml:space="preserve"> PAGEREF _Toc115418811 \h </w:instrText>
      </w:r>
      <w:r>
        <w:fldChar w:fldCharType="separate"/>
      </w:r>
      <w:r>
        <w:t>40</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"_Toc115418812" </w:instrText>
      </w:r>
      <w:r>
        <w:fldChar w:fldCharType="separate"/>
      </w:r>
      <w:r>
        <w:rPr>
          <w:rStyle w:val="26"/>
        </w:rPr>
        <w:t xml:space="preserve">10.2 </w:t>
      </w:r>
      <w:r>
        <w:rPr>
          <w:rStyle w:val="26"/>
          <w:rFonts w:hint="eastAsia"/>
        </w:rPr>
        <w:t>培训</w:t>
      </w:r>
      <w:r>
        <w:tab/>
      </w:r>
      <w:r>
        <w:fldChar w:fldCharType="begin"/>
      </w:r>
      <w:r>
        <w:instrText xml:space="preserve"> PAGEREF _Toc115418812 \h </w:instrText>
      </w:r>
      <w:r>
        <w:fldChar w:fldCharType="separate"/>
      </w:r>
      <w:r>
        <w:t>40</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"_Toc115418813" </w:instrText>
      </w:r>
      <w:r>
        <w:fldChar w:fldCharType="separate"/>
      </w:r>
      <w:r>
        <w:rPr>
          <w:rStyle w:val="26"/>
        </w:rPr>
        <w:t xml:space="preserve">10.3 </w:t>
      </w:r>
      <w:r>
        <w:rPr>
          <w:rStyle w:val="26"/>
          <w:rFonts w:hint="eastAsia"/>
        </w:rPr>
        <w:t>演练</w:t>
      </w:r>
      <w:r>
        <w:tab/>
      </w:r>
      <w:r>
        <w:fldChar w:fldCharType="begin"/>
      </w:r>
      <w:r>
        <w:instrText xml:space="preserve"> PAGEREF _Toc115418813 \h </w:instrText>
      </w:r>
      <w:r>
        <w:fldChar w:fldCharType="separate"/>
      </w:r>
      <w:r>
        <w:t>41</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"_Toc115418814" </w:instrText>
      </w:r>
      <w:r>
        <w:fldChar w:fldCharType="separate"/>
      </w:r>
      <w:r>
        <w:rPr>
          <w:rStyle w:val="26"/>
        </w:rPr>
        <w:t xml:space="preserve">10.4 </w:t>
      </w:r>
      <w:r>
        <w:rPr>
          <w:rStyle w:val="26"/>
          <w:rFonts w:hint="eastAsia"/>
        </w:rPr>
        <w:t>责任与奖惩</w:t>
      </w:r>
      <w:r>
        <w:tab/>
      </w:r>
      <w:r>
        <w:fldChar w:fldCharType="begin"/>
      </w:r>
      <w:r>
        <w:instrText xml:space="preserve"> PAGEREF _Toc115418814 \h </w:instrText>
      </w:r>
      <w:r>
        <w:fldChar w:fldCharType="separate"/>
      </w:r>
      <w:r>
        <w:t>41</w:t>
      </w:r>
      <w:r>
        <w:fldChar w:fldCharType="end"/>
      </w:r>
      <w:r>
        <w:fldChar w:fldCharType="end"/>
      </w:r>
    </w:p>
    <w:p>
      <w:pPr>
        <w:pStyle w:val="17"/>
        <w:rPr>
          <w:rFonts w:asciiTheme="minorHAnsi" w:hAnsiTheme="minorHAnsi" w:eastAsiaTheme="minorEastAsia" w:cstheme="minorBidi"/>
          <w:b w:val="0"/>
          <w:sz w:val="21"/>
        </w:rPr>
      </w:pPr>
      <w:r>
        <w:fldChar w:fldCharType="begin"/>
      </w:r>
      <w:r>
        <w:instrText xml:space="preserve"> HYPERLINK \l "_Toc115418815" </w:instrText>
      </w:r>
      <w:r>
        <w:fldChar w:fldCharType="separate"/>
      </w:r>
      <w:r>
        <w:rPr>
          <w:rStyle w:val="26"/>
        </w:rPr>
        <w:t>11</w:t>
      </w:r>
      <w:r>
        <w:rPr>
          <w:rStyle w:val="26"/>
          <w:rFonts w:hint="eastAsia"/>
        </w:rPr>
        <w:t>附则</w:t>
      </w:r>
      <w:r>
        <w:tab/>
      </w:r>
      <w:r>
        <w:fldChar w:fldCharType="begin"/>
      </w:r>
      <w:r>
        <w:instrText xml:space="preserve"> PAGEREF _Toc115418815 \h </w:instrText>
      </w:r>
      <w:r>
        <w:fldChar w:fldCharType="separate"/>
      </w:r>
      <w:r>
        <w:t>43</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"_Toc115418816" </w:instrText>
      </w:r>
      <w:r>
        <w:fldChar w:fldCharType="separate"/>
      </w:r>
      <w:r>
        <w:rPr>
          <w:rStyle w:val="26"/>
        </w:rPr>
        <w:t xml:space="preserve">11.1 </w:t>
      </w:r>
      <w:r>
        <w:rPr>
          <w:rStyle w:val="26"/>
          <w:rFonts w:hint="eastAsia"/>
        </w:rPr>
        <w:t>预案管理</w:t>
      </w:r>
      <w:r>
        <w:tab/>
      </w:r>
      <w:r>
        <w:fldChar w:fldCharType="begin"/>
      </w:r>
      <w:r>
        <w:instrText xml:space="preserve"> PAGEREF _Toc115418816 \h </w:instrText>
      </w:r>
      <w:r>
        <w:fldChar w:fldCharType="separate"/>
      </w:r>
      <w:r>
        <w:t>43</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"_Toc115418817" </w:instrText>
      </w:r>
      <w:r>
        <w:fldChar w:fldCharType="separate"/>
      </w:r>
      <w:r>
        <w:rPr>
          <w:rStyle w:val="26"/>
        </w:rPr>
        <w:t xml:space="preserve">11.2 </w:t>
      </w:r>
      <w:r>
        <w:rPr>
          <w:rStyle w:val="26"/>
          <w:rFonts w:hint="eastAsia"/>
        </w:rPr>
        <w:t>预案解释单位</w:t>
      </w:r>
      <w:r>
        <w:tab/>
      </w:r>
      <w:r>
        <w:fldChar w:fldCharType="begin"/>
      </w:r>
      <w:r>
        <w:instrText xml:space="preserve"> PAGEREF _Toc115418817 \h </w:instrText>
      </w:r>
      <w:r>
        <w:fldChar w:fldCharType="separate"/>
      </w:r>
      <w:r>
        <w:t>43</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"_Toc115418818" </w:instrText>
      </w:r>
      <w:r>
        <w:fldChar w:fldCharType="separate"/>
      </w:r>
      <w:r>
        <w:rPr>
          <w:rStyle w:val="26"/>
        </w:rPr>
        <w:t xml:space="preserve">11.3 </w:t>
      </w:r>
      <w:r>
        <w:rPr>
          <w:rStyle w:val="26"/>
          <w:rFonts w:hint="eastAsia"/>
        </w:rPr>
        <w:t>预案实施时间</w:t>
      </w:r>
      <w:r>
        <w:tab/>
      </w:r>
      <w:r>
        <w:fldChar w:fldCharType="begin"/>
      </w:r>
      <w:r>
        <w:instrText xml:space="preserve"> PAGEREF _Toc115418818 \h </w:instrText>
      </w:r>
      <w:r>
        <w:fldChar w:fldCharType="separate"/>
      </w:r>
      <w:r>
        <w:t>43</w:t>
      </w:r>
      <w:r>
        <w:fldChar w:fldCharType="end"/>
      </w:r>
      <w:r>
        <w:fldChar w:fldCharType="end"/>
      </w:r>
    </w:p>
    <w:p>
      <w:pPr>
        <w:pStyle w:val="18"/>
        <w:tabs>
          <w:tab w:val="right" w:leader="dot" w:pos="8296"/>
        </w:tabs>
        <w:ind w:left="0" w:leftChars="0" w:firstLine="480"/>
        <w:rPr>
          <w:rFonts w:asciiTheme="minorHAnsi" w:hAnsiTheme="minorHAnsi" w:eastAsiaTheme="minorEastAsia" w:cstheme="minorBidi"/>
          <w:sz w:val="21"/>
        </w:rPr>
      </w:pPr>
      <w:r>
        <w:fldChar w:fldCharType="begin"/>
      </w:r>
      <w:r>
        <w:instrText xml:space="preserve"> HYPERLINK \l "_Toc115418819" </w:instrText>
      </w:r>
      <w:r>
        <w:fldChar w:fldCharType="separate"/>
      </w:r>
      <w:r>
        <w:rPr>
          <w:rStyle w:val="26"/>
        </w:rPr>
        <w:t xml:space="preserve">11.4 </w:t>
      </w:r>
      <w:r>
        <w:rPr>
          <w:rStyle w:val="26"/>
          <w:rFonts w:hint="eastAsia"/>
        </w:rPr>
        <w:t>名词术语解释</w:t>
      </w:r>
      <w:r>
        <w:tab/>
      </w:r>
      <w:r>
        <w:fldChar w:fldCharType="begin"/>
      </w:r>
      <w:r>
        <w:instrText xml:space="preserve"> PAGEREF _Toc115418819 \h </w:instrText>
      </w:r>
      <w:r>
        <w:fldChar w:fldCharType="separate"/>
      </w:r>
      <w:r>
        <w:t>43</w:t>
      </w:r>
      <w:r>
        <w:fldChar w:fldCharType="end"/>
      </w:r>
      <w:r>
        <w:fldChar w:fldCharType="end"/>
      </w:r>
    </w:p>
    <w:p>
      <w:pPr>
        <w:ind w:firstLine="0" w:firstLineChars="0"/>
        <w:rPr>
          <w:kern w:val="0"/>
        </w:rPr>
      </w:pPr>
      <w:r>
        <w:rPr>
          <w:kern w:val="0"/>
        </w:rPr>
        <w:fldChar w:fldCharType="end"/>
      </w:r>
    </w:p>
    <w:p>
      <w:pPr>
        <w:ind w:firstLine="0" w:firstLineChars="0"/>
        <w:rPr>
          <w:kern w:val="0"/>
        </w:rPr>
        <w:sectPr>
          <w:footerReference r:id="rId7" w:type="first"/>
          <w:headerReference r:id="rId5" w:type="default"/>
          <w:footerReference r:id="rId6" w:type="default"/>
          <w:pgSz w:w="11906" w:h="16838"/>
          <w:pgMar w:top="1440" w:right="1800" w:bottom="1440" w:left="1800" w:header="720" w:footer="720" w:gutter="0"/>
          <w:pgNumType w:fmt="upperRoman" w:start="1"/>
          <w:cols w:space="720" w:num="1"/>
          <w:docGrid w:type="lines" w:linePitch="326" w:charSpace="0"/>
        </w:sectPr>
      </w:pPr>
    </w:p>
    <w:p>
      <w:pPr>
        <w:pStyle w:val="2"/>
      </w:pPr>
      <w:bookmarkStart w:id="0" w:name="_Toc54945187"/>
      <w:bookmarkStart w:id="1" w:name="_Toc115418755"/>
      <w:r>
        <w:t>1</w:t>
      </w:r>
      <w:r>
        <w:rPr>
          <w:rFonts w:hint="eastAsia"/>
        </w:rPr>
        <w:t>总</w:t>
      </w:r>
      <w:r>
        <w:t>则</w:t>
      </w:r>
      <w:bookmarkEnd w:id="0"/>
      <w:bookmarkEnd w:id="1"/>
    </w:p>
    <w:p>
      <w:pPr>
        <w:pStyle w:val="3"/>
        <w:rPr>
          <w:kern w:val="0"/>
        </w:rPr>
      </w:pPr>
      <w:bookmarkStart w:id="2" w:name="_Toc115418756"/>
      <w:bookmarkStart w:id="3" w:name="_Toc54945188"/>
      <w:r>
        <w:rPr>
          <w:rFonts w:eastAsia="TimesNewRomanPS-BoldMT"/>
          <w:kern w:val="0"/>
        </w:rPr>
        <w:t xml:space="preserve">1.1 </w:t>
      </w:r>
      <w:r>
        <w:rPr>
          <w:kern w:val="0"/>
        </w:rPr>
        <w:t>编制目的</w:t>
      </w:r>
      <w:bookmarkEnd w:id="2"/>
      <w:bookmarkEnd w:id="3"/>
    </w:p>
    <w:p>
      <w:pPr>
        <w:ind w:firstLine="480"/>
        <w:rPr>
          <w:kern w:val="0"/>
        </w:rPr>
      </w:pPr>
      <w:r>
        <w:rPr>
          <w:rFonts w:hint="eastAsia"/>
          <w:lang w:val="zh-TW"/>
        </w:rPr>
        <w:t>为了规范和强化我区突发环境事件的应急处置工作，建立健全应对突发环境事件的应急机制，切实做好我区突发环境事件防控和处置工作，提高我区应对突发环境事件的预防、预警和应急处置能力，控制、减轻和消除突发环境事件的风险和危害，保护生态环境，保障公众生命安全、环境安全和财产安全，建设生态文明，促进社会全面、协调、可持续发展。</w:t>
      </w:r>
    </w:p>
    <w:p>
      <w:pPr>
        <w:pStyle w:val="3"/>
      </w:pPr>
      <w:bookmarkStart w:id="4" w:name="_Toc115418757"/>
      <w:bookmarkStart w:id="5" w:name="_Toc54945189"/>
      <w:r>
        <w:t>1.2 编制依据</w:t>
      </w:r>
      <w:bookmarkEnd w:id="4"/>
      <w:bookmarkEnd w:id="5"/>
    </w:p>
    <w:p>
      <w:pPr>
        <w:pStyle w:val="4"/>
      </w:pPr>
      <w:r>
        <w:rPr>
          <w:rFonts w:hint="eastAsia"/>
        </w:rPr>
        <w:t>1.2.1 相关法律</w:t>
      </w:r>
    </w:p>
    <w:p>
      <w:pPr>
        <w:ind w:firstLine="480"/>
        <w:rPr>
          <w:lang w:bidi="en-US"/>
        </w:rPr>
      </w:pPr>
      <w:r>
        <w:rPr>
          <w:rFonts w:hint="eastAsia"/>
          <w:lang w:bidi="en-US"/>
        </w:rPr>
        <w:t>（</w:t>
      </w:r>
      <w:r>
        <w:rPr>
          <w:lang w:bidi="en-US"/>
        </w:rPr>
        <w:t>1</w:t>
      </w:r>
      <w:r>
        <w:rPr>
          <w:rFonts w:hint="eastAsia"/>
          <w:lang w:bidi="en-US"/>
        </w:rPr>
        <w:t>）《中华人民共和国环境保护法》（中华人民共和国主席令第九号），</w:t>
      </w:r>
      <w:r>
        <w:rPr>
          <w:lang w:bidi="en-US"/>
        </w:rPr>
        <w:t>2014</w:t>
      </w:r>
      <w:r>
        <w:rPr>
          <w:rFonts w:hint="eastAsia"/>
          <w:lang w:bidi="en-US"/>
        </w:rPr>
        <w:t>年</w:t>
      </w:r>
      <w:r>
        <w:rPr>
          <w:lang w:bidi="en-US"/>
        </w:rPr>
        <w:t>4</w:t>
      </w:r>
      <w:r>
        <w:rPr>
          <w:rFonts w:hint="eastAsia"/>
          <w:lang w:bidi="en-US"/>
        </w:rPr>
        <w:t>月</w:t>
      </w:r>
      <w:r>
        <w:rPr>
          <w:lang w:bidi="en-US"/>
        </w:rPr>
        <w:t>24</w:t>
      </w:r>
      <w:r>
        <w:rPr>
          <w:rFonts w:hint="eastAsia"/>
          <w:lang w:bidi="en-US"/>
        </w:rPr>
        <w:t>日修订，</w:t>
      </w:r>
      <w:r>
        <w:rPr>
          <w:lang w:bidi="en-US"/>
        </w:rPr>
        <w:t>2015</w:t>
      </w:r>
      <w:r>
        <w:rPr>
          <w:rFonts w:hint="eastAsia"/>
          <w:lang w:bidi="en-US"/>
        </w:rPr>
        <w:t>年</w:t>
      </w:r>
      <w:r>
        <w:rPr>
          <w:lang w:bidi="en-US"/>
        </w:rPr>
        <w:t>1</w:t>
      </w:r>
      <w:r>
        <w:rPr>
          <w:rFonts w:hint="eastAsia"/>
          <w:lang w:bidi="en-US"/>
        </w:rPr>
        <w:t>月</w:t>
      </w:r>
      <w:r>
        <w:rPr>
          <w:lang w:bidi="en-US"/>
        </w:rPr>
        <w:t>1</w:t>
      </w:r>
      <w:r>
        <w:rPr>
          <w:rFonts w:hint="eastAsia"/>
          <w:lang w:bidi="en-US"/>
        </w:rPr>
        <w:t>日施行；</w:t>
      </w:r>
    </w:p>
    <w:p>
      <w:pPr>
        <w:ind w:firstLine="480"/>
        <w:rPr>
          <w:lang w:bidi="en-US"/>
        </w:rPr>
      </w:pPr>
      <w:r>
        <w:rPr>
          <w:rFonts w:hint="eastAsia"/>
          <w:lang w:bidi="en-US"/>
        </w:rPr>
        <w:t>（</w:t>
      </w:r>
      <w:r>
        <w:rPr>
          <w:lang w:bidi="en-US"/>
        </w:rPr>
        <w:t>2</w:t>
      </w:r>
      <w:r>
        <w:rPr>
          <w:rFonts w:hint="eastAsia"/>
          <w:lang w:bidi="en-US"/>
        </w:rPr>
        <w:t>）《中华人民共和国水污染防治法》，</w:t>
      </w:r>
      <w:r>
        <w:rPr>
          <w:lang w:bidi="en-US"/>
        </w:rPr>
        <w:t>2017</w:t>
      </w:r>
      <w:r>
        <w:rPr>
          <w:rFonts w:hint="eastAsia"/>
          <w:lang w:bidi="en-US"/>
        </w:rPr>
        <w:t>年修正，</w:t>
      </w:r>
      <w:r>
        <w:rPr>
          <w:lang w:bidi="en-US"/>
        </w:rPr>
        <w:t>2018</w:t>
      </w:r>
      <w:r>
        <w:rPr>
          <w:rFonts w:hint="eastAsia"/>
          <w:lang w:bidi="en-US"/>
        </w:rPr>
        <w:t>年</w:t>
      </w:r>
      <w:r>
        <w:rPr>
          <w:lang w:bidi="en-US"/>
        </w:rPr>
        <w:t>1</w:t>
      </w:r>
      <w:r>
        <w:rPr>
          <w:rFonts w:hint="eastAsia"/>
          <w:lang w:bidi="en-US"/>
        </w:rPr>
        <w:t>月</w:t>
      </w:r>
      <w:r>
        <w:rPr>
          <w:lang w:bidi="en-US"/>
        </w:rPr>
        <w:t>1</w:t>
      </w:r>
      <w:r>
        <w:rPr>
          <w:rFonts w:hint="eastAsia"/>
          <w:lang w:bidi="en-US"/>
        </w:rPr>
        <w:t>日起施行；</w:t>
      </w:r>
    </w:p>
    <w:p>
      <w:pPr>
        <w:ind w:firstLine="480"/>
        <w:rPr>
          <w:lang w:bidi="en-US"/>
        </w:rPr>
      </w:pPr>
      <w:r>
        <w:rPr>
          <w:lang w:bidi="en-US"/>
        </w:rPr>
        <w:t>（3）《中华人民共和国大气污染防治法》，2018年10月26日修正；</w:t>
      </w:r>
    </w:p>
    <w:p>
      <w:pPr>
        <w:ind w:firstLine="480"/>
        <w:rPr>
          <w:lang w:bidi="en-US"/>
        </w:rPr>
      </w:pPr>
      <w:r>
        <w:rPr>
          <w:lang w:bidi="en-US"/>
        </w:rPr>
        <w:t>（4）《中华人民共和国突发事件应对法》，2007年</w:t>
      </w:r>
      <w:r>
        <w:rPr>
          <w:rFonts w:hint="eastAsia"/>
          <w:lang w:bidi="en-US"/>
        </w:rPr>
        <w:t>11</w:t>
      </w:r>
      <w:r>
        <w:rPr>
          <w:lang w:bidi="en-US"/>
        </w:rPr>
        <w:t>月</w:t>
      </w:r>
      <w:r>
        <w:rPr>
          <w:rFonts w:hint="eastAsia"/>
          <w:lang w:bidi="en-US"/>
        </w:rPr>
        <w:t>1</w:t>
      </w:r>
      <w:r>
        <w:rPr>
          <w:lang w:bidi="en-US"/>
        </w:rPr>
        <w:t>日施行；</w:t>
      </w:r>
    </w:p>
    <w:p>
      <w:pPr>
        <w:ind w:firstLine="480"/>
        <w:rPr>
          <w:lang w:bidi="en-US"/>
        </w:rPr>
      </w:pPr>
      <w:r>
        <w:rPr>
          <w:lang w:bidi="en-US"/>
        </w:rPr>
        <w:t>（5）</w:t>
      </w:r>
      <w:r>
        <w:t>《中华人民共和国安全生产法》（2021年修订版），2021年9月1日施行</w:t>
      </w:r>
      <w:r>
        <w:rPr>
          <w:lang w:bidi="en-US"/>
        </w:rPr>
        <w:t>；</w:t>
      </w:r>
    </w:p>
    <w:p>
      <w:pPr>
        <w:ind w:firstLine="480"/>
        <w:rPr>
          <w:lang w:bidi="en-US"/>
        </w:rPr>
      </w:pPr>
      <w:r>
        <w:rPr>
          <w:lang w:bidi="en-US"/>
        </w:rPr>
        <w:t>（6）</w:t>
      </w:r>
      <w:r>
        <w:t>《中华人民共和国消防法》（2021年修订版），2021年4月29日</w:t>
      </w:r>
      <w:r>
        <w:rPr>
          <w:rFonts w:hint="eastAsia"/>
        </w:rPr>
        <w:t>修正</w:t>
      </w:r>
      <w:r>
        <w:t>；</w:t>
      </w:r>
    </w:p>
    <w:p>
      <w:pPr>
        <w:ind w:firstLine="480"/>
        <w:rPr>
          <w:lang w:bidi="en-US"/>
        </w:rPr>
      </w:pPr>
      <w:r>
        <w:rPr>
          <w:lang w:bidi="en-US"/>
        </w:rPr>
        <w:t>（7）《中华人民共和国固体废物污染环境防治法》，2020年9月1日施行；</w:t>
      </w:r>
    </w:p>
    <w:p>
      <w:pPr>
        <w:ind w:firstLine="480"/>
        <w:rPr>
          <w:lang w:bidi="en-US"/>
        </w:rPr>
      </w:pPr>
      <w:r>
        <w:rPr>
          <w:lang w:bidi="en-US"/>
        </w:rPr>
        <w:t>（8）《中华人民共和国海洋环境保护法》，2017年11月5日施行；</w:t>
      </w:r>
    </w:p>
    <w:p>
      <w:pPr>
        <w:ind w:firstLine="480"/>
        <w:rPr>
          <w:lang w:bidi="en-US"/>
        </w:rPr>
      </w:pPr>
      <w:r>
        <w:rPr>
          <w:rFonts w:hint="eastAsia"/>
          <w:lang w:bidi="en-US"/>
        </w:rPr>
        <w:t>（9）《地表水环境质量标准》（GB3838-2002）；</w:t>
      </w:r>
    </w:p>
    <w:p>
      <w:pPr>
        <w:ind w:firstLine="480"/>
        <w:rPr>
          <w:lang w:bidi="en-US"/>
        </w:rPr>
      </w:pPr>
      <w:r>
        <w:rPr>
          <w:rFonts w:hint="eastAsia"/>
          <w:lang w:bidi="en-US"/>
        </w:rPr>
        <w:t>（10）《环境空气质量标准》（GB3095-2012）。</w:t>
      </w:r>
    </w:p>
    <w:p>
      <w:pPr>
        <w:pStyle w:val="4"/>
      </w:pPr>
      <w:r>
        <w:rPr>
          <w:rFonts w:hint="eastAsia"/>
        </w:rPr>
        <w:t>1.2.2 相关法规及政策性文件</w:t>
      </w:r>
    </w:p>
    <w:p>
      <w:pPr>
        <w:ind w:firstLine="480"/>
        <w:rPr>
          <w:lang w:bidi="en-US"/>
        </w:rPr>
      </w:pPr>
      <w:r>
        <w:rPr>
          <w:rFonts w:hint="eastAsia"/>
          <w:lang w:bidi="en-US"/>
        </w:rPr>
        <w:t>（</w:t>
      </w:r>
      <w:r>
        <w:rPr>
          <w:lang w:bidi="en-US"/>
        </w:rPr>
        <w:t>1</w:t>
      </w:r>
      <w:r>
        <w:rPr>
          <w:rFonts w:hint="eastAsia"/>
          <w:lang w:bidi="en-US"/>
        </w:rPr>
        <w:t>）《突发环境事件应急管理办法》（中华人民共和国环境保护部令第</w:t>
      </w:r>
      <w:r>
        <w:rPr>
          <w:lang w:bidi="en-US"/>
        </w:rPr>
        <w:t>34</w:t>
      </w:r>
      <w:r>
        <w:rPr>
          <w:rFonts w:hint="eastAsia"/>
          <w:lang w:bidi="en-US"/>
        </w:rPr>
        <w:t>号）；</w:t>
      </w:r>
    </w:p>
    <w:p>
      <w:pPr>
        <w:ind w:firstLine="480"/>
        <w:rPr>
          <w:lang w:bidi="en-US"/>
        </w:rPr>
      </w:pPr>
      <w:r>
        <w:rPr>
          <w:rFonts w:hint="eastAsia"/>
          <w:lang w:bidi="en-US"/>
        </w:rPr>
        <w:t>（</w:t>
      </w:r>
      <w:r>
        <w:rPr>
          <w:lang w:bidi="en-US"/>
        </w:rPr>
        <w:t>2</w:t>
      </w:r>
      <w:r>
        <w:rPr>
          <w:rFonts w:hint="eastAsia"/>
          <w:lang w:bidi="en-US"/>
        </w:rPr>
        <w:t>）《企业事业单位突发环境事件应急预案备案管理办法（试行）》，（环发〔2015</w:t>
      </w:r>
      <w:r>
        <w:rPr>
          <w:lang w:bidi="en-US"/>
        </w:rPr>
        <w:t>〕4</w:t>
      </w:r>
      <w:r>
        <w:rPr>
          <w:rFonts w:hint="eastAsia"/>
          <w:lang w:bidi="en-US"/>
        </w:rPr>
        <w:t>号）；</w:t>
      </w:r>
    </w:p>
    <w:p>
      <w:pPr>
        <w:ind w:firstLine="480"/>
        <w:rPr>
          <w:lang w:bidi="en-US"/>
        </w:rPr>
      </w:pPr>
      <w:r>
        <w:rPr>
          <w:rFonts w:hint="eastAsia"/>
          <w:lang w:bidi="en-US"/>
        </w:rPr>
        <w:t>（</w:t>
      </w:r>
      <w:r>
        <w:rPr>
          <w:lang w:bidi="en-US"/>
        </w:rPr>
        <w:t>3</w:t>
      </w:r>
      <w:r>
        <w:rPr>
          <w:rFonts w:hint="eastAsia"/>
          <w:lang w:bidi="en-US"/>
        </w:rPr>
        <w:t>）《危险化学品安全管理条例》（国务院令第645号），</w:t>
      </w:r>
      <w:r>
        <w:rPr>
          <w:lang w:bidi="en-US"/>
        </w:rPr>
        <w:t>2013</w:t>
      </w:r>
      <w:r>
        <w:rPr>
          <w:rFonts w:hint="eastAsia"/>
          <w:lang w:bidi="en-US"/>
        </w:rPr>
        <w:t>年</w:t>
      </w:r>
      <w:r>
        <w:rPr>
          <w:lang w:bidi="en-US"/>
        </w:rPr>
        <w:t>12</w:t>
      </w:r>
      <w:r>
        <w:rPr>
          <w:rFonts w:hint="eastAsia"/>
          <w:lang w:bidi="en-US"/>
        </w:rPr>
        <w:t>月</w:t>
      </w:r>
      <w:r>
        <w:rPr>
          <w:lang w:bidi="en-US"/>
        </w:rPr>
        <w:t>7</w:t>
      </w:r>
      <w:r>
        <w:rPr>
          <w:rFonts w:hint="eastAsia"/>
          <w:lang w:bidi="en-US"/>
        </w:rPr>
        <w:t>日施行；</w:t>
      </w:r>
    </w:p>
    <w:p>
      <w:pPr>
        <w:ind w:firstLine="480"/>
        <w:rPr>
          <w:lang w:bidi="en-US"/>
        </w:rPr>
      </w:pPr>
      <w:r>
        <w:rPr>
          <w:rFonts w:hint="eastAsia"/>
          <w:lang w:bidi="en-US"/>
        </w:rPr>
        <w:t>（</w:t>
      </w:r>
      <w:r>
        <w:rPr>
          <w:lang w:bidi="en-US"/>
        </w:rPr>
        <w:t>4</w:t>
      </w:r>
      <w:r>
        <w:rPr>
          <w:rFonts w:hint="eastAsia"/>
          <w:lang w:bidi="en-US"/>
        </w:rPr>
        <w:t>）《突发环境事件信息报告办法》（中华人民共和国环境保护部令第</w:t>
      </w:r>
      <w:r>
        <w:rPr>
          <w:lang w:bidi="en-US"/>
        </w:rPr>
        <w:t>17</w:t>
      </w:r>
      <w:r>
        <w:rPr>
          <w:rFonts w:hint="eastAsia"/>
          <w:lang w:bidi="en-US"/>
        </w:rPr>
        <w:t>号）；</w:t>
      </w:r>
    </w:p>
    <w:p>
      <w:pPr>
        <w:ind w:firstLine="480"/>
        <w:rPr>
          <w:lang w:bidi="en-US"/>
        </w:rPr>
      </w:pPr>
      <w:r>
        <w:rPr>
          <w:rFonts w:hint="eastAsia"/>
          <w:lang w:bidi="en-US"/>
        </w:rPr>
        <w:t>（</w:t>
      </w:r>
      <w:r>
        <w:rPr>
          <w:lang w:bidi="en-US"/>
        </w:rPr>
        <w:t>5</w:t>
      </w:r>
      <w:r>
        <w:rPr>
          <w:rFonts w:hint="eastAsia"/>
          <w:lang w:bidi="en-US"/>
        </w:rPr>
        <w:t>）《危险化学品生产企业安全生产许可证实施办法》，</w:t>
      </w:r>
      <w:r>
        <w:rPr>
          <w:lang w:bidi="en-US"/>
        </w:rPr>
        <w:t>2011</w:t>
      </w:r>
      <w:r>
        <w:rPr>
          <w:rFonts w:hint="eastAsia"/>
          <w:lang w:bidi="en-US"/>
        </w:rPr>
        <w:t>年</w:t>
      </w:r>
      <w:r>
        <w:rPr>
          <w:lang w:bidi="en-US"/>
        </w:rPr>
        <w:t>12</w:t>
      </w:r>
      <w:r>
        <w:rPr>
          <w:rFonts w:hint="eastAsia"/>
          <w:lang w:bidi="en-US"/>
        </w:rPr>
        <w:t>月</w:t>
      </w:r>
      <w:r>
        <w:rPr>
          <w:lang w:bidi="en-US"/>
        </w:rPr>
        <w:t>1</w:t>
      </w:r>
      <w:r>
        <w:rPr>
          <w:rFonts w:hint="eastAsia"/>
          <w:lang w:bidi="en-US"/>
        </w:rPr>
        <w:t>日施行；</w:t>
      </w:r>
    </w:p>
    <w:p>
      <w:pPr>
        <w:ind w:firstLine="480"/>
        <w:rPr>
          <w:lang w:bidi="en-US"/>
        </w:rPr>
      </w:pPr>
      <w:r>
        <w:rPr>
          <w:rFonts w:hint="eastAsia"/>
          <w:lang w:bidi="en-US"/>
        </w:rPr>
        <w:t>（</w:t>
      </w:r>
      <w:r>
        <w:rPr>
          <w:lang w:bidi="en-US"/>
        </w:rPr>
        <w:t>6</w:t>
      </w:r>
      <w:r>
        <w:rPr>
          <w:rFonts w:hint="eastAsia"/>
          <w:lang w:bidi="en-US"/>
        </w:rPr>
        <w:t>）《危险化学品建设项目安全监督管理办法》，</w:t>
      </w:r>
      <w:r>
        <w:rPr>
          <w:lang w:bidi="en-US"/>
        </w:rPr>
        <w:t>2015</w:t>
      </w:r>
      <w:r>
        <w:rPr>
          <w:rFonts w:hint="eastAsia"/>
          <w:lang w:bidi="en-US"/>
        </w:rPr>
        <w:t>年</w:t>
      </w:r>
      <w:r>
        <w:rPr>
          <w:lang w:bidi="en-US"/>
        </w:rPr>
        <w:t>6</w:t>
      </w:r>
      <w:r>
        <w:rPr>
          <w:rFonts w:hint="eastAsia"/>
          <w:lang w:bidi="en-US"/>
        </w:rPr>
        <w:t>月</w:t>
      </w:r>
      <w:r>
        <w:rPr>
          <w:lang w:bidi="en-US"/>
        </w:rPr>
        <w:t>29</w:t>
      </w:r>
      <w:r>
        <w:rPr>
          <w:rFonts w:hint="eastAsia"/>
          <w:lang w:bidi="en-US"/>
        </w:rPr>
        <w:t>日修订；</w:t>
      </w:r>
    </w:p>
    <w:p>
      <w:pPr>
        <w:ind w:firstLine="480"/>
        <w:rPr>
          <w:lang w:bidi="en-US"/>
        </w:rPr>
      </w:pPr>
      <w:r>
        <w:rPr>
          <w:rFonts w:hint="eastAsia"/>
          <w:lang w:bidi="en-US"/>
        </w:rPr>
        <w:t>（7）《产业结构调整指导目录》（</w:t>
      </w:r>
      <w:r>
        <w:rPr>
          <w:lang w:bidi="en-US"/>
        </w:rPr>
        <w:t>2019</w:t>
      </w:r>
      <w:r>
        <w:rPr>
          <w:rFonts w:hint="eastAsia"/>
          <w:lang w:bidi="en-US"/>
        </w:rPr>
        <w:t>年本）；</w:t>
      </w:r>
    </w:p>
    <w:p>
      <w:pPr>
        <w:ind w:firstLine="480"/>
        <w:rPr>
          <w:lang w:bidi="en-US"/>
        </w:rPr>
      </w:pPr>
      <w:r>
        <w:rPr>
          <w:rFonts w:hint="eastAsia"/>
          <w:lang w:bidi="en-US"/>
        </w:rPr>
        <w:t>（8）《重点监管危险化工工艺目录》</w:t>
      </w:r>
      <w:r>
        <w:rPr>
          <w:lang w:bidi="en-US"/>
        </w:rPr>
        <w:t>(2013</w:t>
      </w:r>
      <w:r>
        <w:rPr>
          <w:rFonts w:hint="eastAsia"/>
          <w:lang w:bidi="en-US"/>
        </w:rPr>
        <w:t>年完整版</w:t>
      </w:r>
      <w:r>
        <w:rPr>
          <w:lang w:bidi="en-US"/>
        </w:rPr>
        <w:t>)</w:t>
      </w:r>
      <w:r>
        <w:rPr>
          <w:rFonts w:hint="eastAsia"/>
          <w:lang w:bidi="en-US"/>
        </w:rPr>
        <w:t>；</w:t>
      </w:r>
    </w:p>
    <w:p>
      <w:pPr>
        <w:ind w:firstLine="480"/>
        <w:rPr>
          <w:lang w:bidi="en-US"/>
        </w:rPr>
      </w:pPr>
      <w:r>
        <w:rPr>
          <w:rFonts w:hint="eastAsia"/>
          <w:lang w:bidi="en-US"/>
        </w:rPr>
        <w:t>（9）《突发事件应急预案管理办法》（国办发〔2013</w:t>
      </w:r>
      <w:r>
        <w:rPr>
          <w:lang w:bidi="en-US"/>
        </w:rPr>
        <w:t>〕101</w:t>
      </w:r>
      <w:r>
        <w:rPr>
          <w:rFonts w:hint="eastAsia"/>
          <w:lang w:bidi="en-US"/>
        </w:rPr>
        <w:t>号），</w:t>
      </w:r>
      <w:r>
        <w:rPr>
          <w:lang w:bidi="en-US"/>
        </w:rPr>
        <w:t>2013</w:t>
      </w:r>
      <w:r>
        <w:rPr>
          <w:rFonts w:hint="eastAsia"/>
          <w:lang w:bidi="en-US"/>
        </w:rPr>
        <w:t>年</w:t>
      </w:r>
      <w:r>
        <w:rPr>
          <w:lang w:bidi="en-US"/>
        </w:rPr>
        <w:t>10</w:t>
      </w:r>
      <w:r>
        <w:rPr>
          <w:rFonts w:hint="eastAsia"/>
          <w:lang w:bidi="en-US"/>
        </w:rPr>
        <w:t>月</w:t>
      </w:r>
      <w:r>
        <w:rPr>
          <w:lang w:bidi="en-US"/>
        </w:rPr>
        <w:t>25</w:t>
      </w:r>
      <w:r>
        <w:rPr>
          <w:rFonts w:hint="eastAsia"/>
          <w:lang w:bidi="en-US"/>
        </w:rPr>
        <w:t>日；</w:t>
      </w:r>
    </w:p>
    <w:p>
      <w:pPr>
        <w:ind w:firstLine="480"/>
        <w:rPr>
          <w:lang w:bidi="en-US"/>
        </w:rPr>
      </w:pPr>
      <w:r>
        <w:rPr>
          <w:rFonts w:hint="eastAsia"/>
          <w:lang w:bidi="en-US"/>
        </w:rPr>
        <w:t>（</w:t>
      </w:r>
      <w:r>
        <w:rPr>
          <w:lang w:bidi="en-US"/>
        </w:rPr>
        <w:t>1</w:t>
      </w:r>
      <w:r>
        <w:rPr>
          <w:rFonts w:hint="eastAsia"/>
          <w:lang w:bidi="en-US"/>
        </w:rPr>
        <w:t>0）《危险化学品名录》（2015版）；</w:t>
      </w:r>
    </w:p>
    <w:p>
      <w:pPr>
        <w:ind w:firstLine="480"/>
        <w:rPr>
          <w:lang w:bidi="en-US"/>
        </w:rPr>
      </w:pPr>
      <w:r>
        <w:rPr>
          <w:rFonts w:hint="eastAsia"/>
          <w:lang w:bidi="en-US"/>
        </w:rPr>
        <w:t>（</w:t>
      </w:r>
      <w:r>
        <w:rPr>
          <w:lang w:bidi="en-US"/>
        </w:rPr>
        <w:t>1</w:t>
      </w:r>
      <w:r>
        <w:rPr>
          <w:rFonts w:hint="eastAsia"/>
          <w:lang w:bidi="en-US"/>
        </w:rPr>
        <w:t>1）《剧毒化学品目录》（</w:t>
      </w:r>
      <w:r>
        <w:rPr>
          <w:lang w:bidi="en-US"/>
        </w:rPr>
        <w:t>2015</w:t>
      </w:r>
      <w:r>
        <w:rPr>
          <w:rFonts w:hint="eastAsia"/>
          <w:lang w:bidi="en-US"/>
        </w:rPr>
        <w:t>版）；</w:t>
      </w:r>
    </w:p>
    <w:p>
      <w:pPr>
        <w:ind w:firstLine="480"/>
        <w:rPr>
          <w:lang w:bidi="en-US"/>
        </w:rPr>
      </w:pPr>
      <w:r>
        <w:rPr>
          <w:rFonts w:hint="eastAsia"/>
          <w:lang w:bidi="en-US"/>
        </w:rPr>
        <w:t>（</w:t>
      </w:r>
      <w:r>
        <w:rPr>
          <w:lang w:bidi="en-US"/>
        </w:rPr>
        <w:t>1</w:t>
      </w:r>
      <w:r>
        <w:rPr>
          <w:rFonts w:hint="eastAsia"/>
          <w:lang w:bidi="en-US"/>
        </w:rPr>
        <w:t>2）《国家危险废物名录》（2021年版）；</w:t>
      </w:r>
    </w:p>
    <w:p>
      <w:pPr>
        <w:ind w:firstLine="480"/>
        <w:rPr>
          <w:lang w:bidi="en-US"/>
        </w:rPr>
      </w:pPr>
      <w:r>
        <w:rPr>
          <w:rFonts w:hint="eastAsia"/>
          <w:lang w:bidi="en-US"/>
        </w:rPr>
        <w:t>（13）《危险废物鉴别标准腐蚀性鉴别》（GB5085.1-2007）；</w:t>
      </w:r>
    </w:p>
    <w:p>
      <w:pPr>
        <w:ind w:firstLine="480"/>
        <w:rPr>
          <w:lang w:bidi="en-US"/>
        </w:rPr>
      </w:pPr>
      <w:r>
        <w:rPr>
          <w:rFonts w:hint="eastAsia"/>
          <w:lang w:bidi="en-US"/>
        </w:rPr>
        <w:t>（14）《危险废物鉴别标准急性毒性初筛》（GB5085.2-2007）；</w:t>
      </w:r>
    </w:p>
    <w:p>
      <w:pPr>
        <w:ind w:firstLine="480"/>
        <w:rPr>
          <w:lang w:bidi="en-US"/>
        </w:rPr>
      </w:pPr>
      <w:r>
        <w:rPr>
          <w:rFonts w:hint="eastAsia"/>
          <w:lang w:bidi="en-US"/>
        </w:rPr>
        <w:t>（15）《危险废物鉴别标准浸出毒性鉴别》（GB5085.3-2007）；</w:t>
      </w:r>
    </w:p>
    <w:p>
      <w:pPr>
        <w:ind w:firstLine="480"/>
        <w:rPr>
          <w:lang w:bidi="en-US"/>
        </w:rPr>
      </w:pPr>
      <w:r>
        <w:rPr>
          <w:rFonts w:hint="eastAsia"/>
          <w:lang w:bidi="en-US"/>
        </w:rPr>
        <w:t>（16）《危险废物鉴别标准易燃性鉴别》（GB5085.4-2007）；</w:t>
      </w:r>
    </w:p>
    <w:p>
      <w:pPr>
        <w:ind w:firstLine="480"/>
        <w:rPr>
          <w:lang w:bidi="en-US"/>
        </w:rPr>
      </w:pPr>
      <w:r>
        <w:rPr>
          <w:rFonts w:hint="eastAsia"/>
          <w:lang w:bidi="en-US"/>
        </w:rPr>
        <w:t>（17）《危险废物鉴别标准反应性鉴别》（GB5085.5-2007）；</w:t>
      </w:r>
    </w:p>
    <w:p>
      <w:pPr>
        <w:ind w:firstLine="480"/>
        <w:rPr>
          <w:lang w:bidi="en-US"/>
        </w:rPr>
      </w:pPr>
      <w:r>
        <w:rPr>
          <w:rFonts w:hint="eastAsia"/>
          <w:lang w:bidi="en-US"/>
        </w:rPr>
        <w:t>（18）《危险废物鉴别标准毒性物质含量鉴别》（GB5085.6-2007）；</w:t>
      </w:r>
    </w:p>
    <w:p>
      <w:pPr>
        <w:ind w:firstLine="480"/>
        <w:rPr>
          <w:lang w:bidi="en-US"/>
        </w:rPr>
      </w:pPr>
      <w:r>
        <w:rPr>
          <w:rFonts w:hint="eastAsia"/>
          <w:lang w:bidi="en-US"/>
        </w:rPr>
        <w:t>（19）《危险废物鉴别标准通则》（GB5085.7-2019）；</w:t>
      </w:r>
    </w:p>
    <w:p>
      <w:pPr>
        <w:ind w:firstLine="480"/>
        <w:rPr>
          <w:lang w:bidi="en-US"/>
        </w:rPr>
      </w:pPr>
      <w:r>
        <w:rPr>
          <w:rFonts w:hint="eastAsia"/>
          <w:lang w:bidi="en-US"/>
        </w:rPr>
        <w:t>（20）《危险废物鉴别技术规范》（HJ/T298-2019）；</w:t>
      </w:r>
    </w:p>
    <w:p>
      <w:pPr>
        <w:ind w:firstLine="480"/>
        <w:rPr>
          <w:lang w:bidi="en-US"/>
        </w:rPr>
      </w:pPr>
      <w:r>
        <w:rPr>
          <w:rFonts w:hint="eastAsia"/>
          <w:lang w:bidi="en-US"/>
        </w:rPr>
        <w:t>（21）《关于加强重污染天气应对夯实应急减排措施的指导意见》（环办大气函〔2019〕648号）；</w:t>
      </w:r>
    </w:p>
    <w:p>
      <w:pPr>
        <w:ind w:firstLine="480"/>
        <w:rPr>
          <w:lang w:bidi="en-US"/>
        </w:rPr>
      </w:pPr>
      <w:r>
        <w:rPr>
          <w:rFonts w:hint="eastAsia"/>
          <w:lang w:bidi="en-US"/>
        </w:rPr>
        <w:t>（22）《国家突发环境事件应急预案》（国办函〔2014〕119号）；</w:t>
      </w:r>
    </w:p>
    <w:p>
      <w:pPr>
        <w:ind w:firstLine="480"/>
        <w:rPr>
          <w:lang w:bidi="en-US"/>
        </w:rPr>
      </w:pPr>
      <w:r>
        <w:rPr>
          <w:rFonts w:hint="eastAsia"/>
          <w:lang w:bidi="en-US"/>
        </w:rPr>
        <w:t>（23）《安徽省环境保护条例》（2018年1月1日施行）；</w:t>
      </w:r>
    </w:p>
    <w:p>
      <w:pPr>
        <w:ind w:firstLine="480"/>
        <w:rPr>
          <w:lang w:bidi="en-US"/>
        </w:rPr>
      </w:pPr>
      <w:r>
        <w:rPr>
          <w:rFonts w:hint="eastAsia"/>
          <w:lang w:bidi="en-US"/>
        </w:rPr>
        <w:t>（24）《安徽省突发事件应对条例》（2013年3月1日施行）；</w:t>
      </w:r>
    </w:p>
    <w:p>
      <w:pPr>
        <w:ind w:firstLine="480"/>
        <w:rPr>
          <w:lang w:bidi="en-US"/>
        </w:rPr>
      </w:pPr>
      <w:r>
        <w:rPr>
          <w:rFonts w:hint="eastAsia"/>
          <w:lang w:bidi="en-US"/>
        </w:rPr>
        <w:t>（25）《安徽省突发事件总体应急预案》（皖政秘〔2020〕147号）。</w:t>
      </w:r>
    </w:p>
    <w:p>
      <w:pPr>
        <w:pStyle w:val="4"/>
      </w:pPr>
      <w:r>
        <w:rPr>
          <w:rFonts w:hint="eastAsia"/>
        </w:rPr>
        <w:t>1.2.3 标准、技术规范</w:t>
      </w:r>
    </w:p>
    <w:p>
      <w:pPr>
        <w:ind w:firstLine="480"/>
        <w:rPr>
          <w:szCs w:val="24"/>
          <w:lang w:bidi="en-US"/>
        </w:rPr>
      </w:pPr>
      <w:r>
        <w:rPr>
          <w:rFonts w:hint="eastAsia" w:hAnsi="宋体"/>
          <w:szCs w:val="24"/>
          <w:lang w:bidi="en-US"/>
        </w:rPr>
        <w:t>（</w:t>
      </w:r>
      <w:r>
        <w:rPr>
          <w:szCs w:val="24"/>
          <w:lang w:bidi="en-US"/>
        </w:rPr>
        <w:t>1</w:t>
      </w:r>
      <w:r>
        <w:rPr>
          <w:rFonts w:hint="eastAsia" w:hAnsi="宋体"/>
          <w:szCs w:val="24"/>
          <w:lang w:bidi="en-US"/>
        </w:rPr>
        <w:t>）《企业突发环境事件风险分级方法》（环境保护部令），</w:t>
      </w:r>
      <w:r>
        <w:rPr>
          <w:szCs w:val="24"/>
          <w:lang w:bidi="en-US"/>
        </w:rPr>
        <w:t>2018</w:t>
      </w:r>
      <w:r>
        <w:rPr>
          <w:rFonts w:hint="eastAsia" w:hAnsi="宋体"/>
          <w:szCs w:val="24"/>
          <w:lang w:bidi="en-US"/>
        </w:rPr>
        <w:t>年</w:t>
      </w:r>
      <w:r>
        <w:rPr>
          <w:szCs w:val="24"/>
          <w:lang w:bidi="en-US"/>
        </w:rPr>
        <w:t>2</w:t>
      </w:r>
      <w:r>
        <w:rPr>
          <w:rFonts w:hint="eastAsia" w:hAnsi="宋体"/>
          <w:szCs w:val="24"/>
          <w:lang w:bidi="en-US"/>
        </w:rPr>
        <w:t>月</w:t>
      </w:r>
      <w:r>
        <w:rPr>
          <w:szCs w:val="24"/>
          <w:lang w:bidi="en-US"/>
        </w:rPr>
        <w:t>5</w:t>
      </w:r>
      <w:r>
        <w:rPr>
          <w:rFonts w:hint="eastAsia" w:hAnsi="宋体"/>
          <w:szCs w:val="24"/>
          <w:lang w:bidi="en-US"/>
        </w:rPr>
        <w:t>日发布，</w:t>
      </w:r>
      <w:r>
        <w:rPr>
          <w:szCs w:val="24"/>
          <w:lang w:bidi="en-US"/>
        </w:rPr>
        <w:t>2018</w:t>
      </w:r>
      <w:r>
        <w:rPr>
          <w:rFonts w:hint="eastAsia" w:hAnsi="宋体"/>
          <w:szCs w:val="24"/>
          <w:lang w:bidi="en-US"/>
        </w:rPr>
        <w:t>年</w:t>
      </w:r>
      <w:r>
        <w:rPr>
          <w:szCs w:val="24"/>
          <w:lang w:bidi="en-US"/>
        </w:rPr>
        <w:t>3</w:t>
      </w:r>
      <w:r>
        <w:rPr>
          <w:rFonts w:hint="eastAsia" w:hAnsi="宋体"/>
          <w:szCs w:val="24"/>
          <w:lang w:bidi="en-US"/>
        </w:rPr>
        <w:t>月</w:t>
      </w:r>
      <w:r>
        <w:rPr>
          <w:szCs w:val="24"/>
          <w:lang w:bidi="en-US"/>
        </w:rPr>
        <w:t>1</w:t>
      </w:r>
      <w:r>
        <w:rPr>
          <w:rFonts w:hint="eastAsia" w:hAnsi="宋体"/>
          <w:szCs w:val="24"/>
          <w:lang w:bidi="en-US"/>
        </w:rPr>
        <w:t>日实施；</w:t>
      </w:r>
    </w:p>
    <w:p>
      <w:pPr>
        <w:ind w:firstLine="480"/>
        <w:rPr>
          <w:szCs w:val="24"/>
          <w:lang w:bidi="en-US"/>
        </w:rPr>
      </w:pPr>
      <w:r>
        <w:rPr>
          <w:rFonts w:hint="eastAsia" w:hAnsi="宋体"/>
          <w:szCs w:val="24"/>
          <w:lang w:bidi="en-US"/>
        </w:rPr>
        <w:t>（</w:t>
      </w:r>
      <w:r>
        <w:rPr>
          <w:szCs w:val="24"/>
          <w:lang w:bidi="en-US"/>
        </w:rPr>
        <w:t>2</w:t>
      </w:r>
      <w:r>
        <w:rPr>
          <w:rFonts w:hint="eastAsia" w:hAnsi="宋体"/>
          <w:szCs w:val="24"/>
          <w:lang w:bidi="en-US"/>
        </w:rPr>
        <w:t>）《建设项目环境风险评价技术导则》（</w:t>
      </w:r>
      <w:r>
        <w:rPr>
          <w:szCs w:val="24"/>
          <w:lang w:bidi="en-US"/>
        </w:rPr>
        <w:t>HJ169-2018</w:t>
      </w:r>
      <w:r>
        <w:rPr>
          <w:rFonts w:hint="eastAsia" w:hAnsi="宋体"/>
          <w:szCs w:val="24"/>
          <w:lang w:bidi="en-US"/>
        </w:rPr>
        <w:t>）；</w:t>
      </w:r>
    </w:p>
    <w:p>
      <w:pPr>
        <w:ind w:firstLine="480"/>
        <w:rPr>
          <w:szCs w:val="24"/>
          <w:lang w:bidi="en-US"/>
        </w:rPr>
      </w:pPr>
      <w:r>
        <w:rPr>
          <w:rFonts w:hint="eastAsia" w:hAnsi="宋体"/>
          <w:szCs w:val="24"/>
          <w:lang w:bidi="en-US"/>
        </w:rPr>
        <w:t>（</w:t>
      </w:r>
      <w:r>
        <w:rPr>
          <w:szCs w:val="24"/>
          <w:lang w:bidi="en-US"/>
        </w:rPr>
        <w:t>3</w:t>
      </w:r>
      <w:r>
        <w:rPr>
          <w:rFonts w:hint="eastAsia" w:hAnsi="宋体"/>
          <w:szCs w:val="24"/>
          <w:lang w:bidi="en-US"/>
        </w:rPr>
        <w:t>）《危险化学品重大危险源辨识》（</w:t>
      </w:r>
      <w:r>
        <w:rPr>
          <w:szCs w:val="24"/>
          <w:lang w:bidi="en-US"/>
        </w:rPr>
        <w:t>GB18218-2018</w:t>
      </w:r>
      <w:r>
        <w:rPr>
          <w:rFonts w:hint="eastAsia" w:hAnsi="宋体"/>
          <w:szCs w:val="24"/>
          <w:lang w:bidi="en-US"/>
        </w:rPr>
        <w:t>）；</w:t>
      </w:r>
    </w:p>
    <w:p>
      <w:pPr>
        <w:ind w:firstLine="480"/>
        <w:rPr>
          <w:szCs w:val="24"/>
          <w:lang w:bidi="en-US"/>
        </w:rPr>
      </w:pPr>
      <w:r>
        <w:rPr>
          <w:rFonts w:hint="eastAsia" w:hAnsi="宋体"/>
          <w:szCs w:val="24"/>
          <w:lang w:bidi="en-US"/>
        </w:rPr>
        <w:t>（</w:t>
      </w:r>
      <w:r>
        <w:rPr>
          <w:szCs w:val="24"/>
          <w:lang w:bidi="en-US"/>
        </w:rPr>
        <w:t>4</w:t>
      </w:r>
      <w:r>
        <w:rPr>
          <w:rFonts w:hint="eastAsia" w:hAnsi="宋体"/>
          <w:szCs w:val="24"/>
          <w:lang w:bidi="en-US"/>
        </w:rPr>
        <w:t>）《建筑设计防火规范》（</w:t>
      </w:r>
      <w:r>
        <w:rPr>
          <w:szCs w:val="24"/>
          <w:lang w:bidi="en-US"/>
        </w:rPr>
        <w:t>GB50016-2014</w:t>
      </w:r>
      <w:r>
        <w:rPr>
          <w:rFonts w:hint="eastAsia" w:hAnsi="宋体"/>
          <w:szCs w:val="24"/>
          <w:lang w:bidi="en-US"/>
        </w:rPr>
        <w:t>）；</w:t>
      </w:r>
    </w:p>
    <w:p>
      <w:pPr>
        <w:ind w:firstLine="480"/>
        <w:rPr>
          <w:szCs w:val="24"/>
          <w:lang w:bidi="en-US"/>
        </w:rPr>
      </w:pPr>
      <w:r>
        <w:rPr>
          <w:rFonts w:hint="eastAsia" w:hAnsi="宋体"/>
          <w:szCs w:val="24"/>
          <w:lang w:bidi="en-US"/>
        </w:rPr>
        <w:t>（</w:t>
      </w:r>
      <w:r>
        <w:rPr>
          <w:szCs w:val="24"/>
          <w:lang w:bidi="en-US"/>
        </w:rPr>
        <w:t>5</w:t>
      </w:r>
      <w:r>
        <w:rPr>
          <w:rFonts w:hint="eastAsia" w:hAnsi="宋体"/>
          <w:szCs w:val="24"/>
          <w:lang w:bidi="en-US"/>
        </w:rPr>
        <w:t>）《储罐区防火堤设计规范》（</w:t>
      </w:r>
      <w:r>
        <w:rPr>
          <w:szCs w:val="24"/>
          <w:lang w:bidi="en-US"/>
        </w:rPr>
        <w:t>GB50351-2014</w:t>
      </w:r>
      <w:r>
        <w:rPr>
          <w:rFonts w:hint="eastAsia" w:hAnsi="宋体"/>
          <w:szCs w:val="24"/>
          <w:lang w:bidi="en-US"/>
        </w:rPr>
        <w:t>）；</w:t>
      </w:r>
    </w:p>
    <w:p>
      <w:pPr>
        <w:ind w:firstLine="480"/>
        <w:rPr>
          <w:szCs w:val="24"/>
          <w:lang w:bidi="en-US"/>
        </w:rPr>
      </w:pPr>
      <w:r>
        <w:rPr>
          <w:rFonts w:hint="eastAsia" w:hAnsi="宋体"/>
          <w:szCs w:val="24"/>
          <w:lang w:bidi="en-US"/>
        </w:rPr>
        <w:t>（</w:t>
      </w:r>
      <w:r>
        <w:rPr>
          <w:szCs w:val="24"/>
          <w:lang w:bidi="en-US"/>
        </w:rPr>
        <w:t>6</w:t>
      </w:r>
      <w:r>
        <w:rPr>
          <w:rFonts w:hint="eastAsia" w:hAnsi="宋体"/>
          <w:szCs w:val="24"/>
          <w:lang w:bidi="en-US"/>
        </w:rPr>
        <w:t>）《化学品毒性鉴定技术规范》（卫监督发〔</w:t>
      </w:r>
      <w:r>
        <w:rPr>
          <w:szCs w:val="24"/>
          <w:lang w:bidi="en-US"/>
        </w:rPr>
        <w:t>2005</w:t>
      </w:r>
      <w:r>
        <w:rPr>
          <w:rFonts w:hint="eastAsia" w:hAnsi="宋体"/>
          <w:szCs w:val="24"/>
          <w:lang w:bidi="en-US"/>
        </w:rPr>
        <w:t>〕</w:t>
      </w:r>
      <w:r>
        <w:rPr>
          <w:szCs w:val="24"/>
          <w:lang w:bidi="en-US"/>
        </w:rPr>
        <w:t>272</w:t>
      </w:r>
      <w:r>
        <w:rPr>
          <w:rFonts w:hint="eastAsia" w:hAnsi="宋体"/>
          <w:szCs w:val="24"/>
          <w:lang w:bidi="en-US"/>
        </w:rPr>
        <w:t>号）；</w:t>
      </w:r>
    </w:p>
    <w:p>
      <w:pPr>
        <w:ind w:firstLine="480"/>
        <w:rPr>
          <w:szCs w:val="24"/>
          <w:lang w:bidi="en-US"/>
        </w:rPr>
      </w:pPr>
      <w:r>
        <w:rPr>
          <w:rFonts w:hint="eastAsia" w:hAnsi="宋体"/>
          <w:szCs w:val="24"/>
          <w:lang w:bidi="en-US"/>
        </w:rPr>
        <w:t>（</w:t>
      </w:r>
      <w:r>
        <w:rPr>
          <w:szCs w:val="24"/>
          <w:lang w:bidi="en-US"/>
        </w:rPr>
        <w:t>7</w:t>
      </w:r>
      <w:r>
        <w:rPr>
          <w:rFonts w:hint="eastAsia" w:hAnsi="宋体"/>
          <w:szCs w:val="24"/>
          <w:lang w:bidi="en-US"/>
        </w:rPr>
        <w:t>）《工作场所有害因素职业接触限值化学有害因素》（</w:t>
      </w:r>
      <w:r>
        <w:rPr>
          <w:szCs w:val="24"/>
          <w:lang w:bidi="en-US"/>
        </w:rPr>
        <w:t>GBZ2.1-2019</w:t>
      </w:r>
      <w:r>
        <w:rPr>
          <w:rFonts w:hint="eastAsia" w:hAnsi="宋体"/>
          <w:szCs w:val="24"/>
          <w:lang w:bidi="en-US"/>
        </w:rPr>
        <w:t>）；</w:t>
      </w:r>
    </w:p>
    <w:p>
      <w:pPr>
        <w:ind w:firstLine="480"/>
        <w:rPr>
          <w:rFonts w:hAnsi="宋体"/>
          <w:szCs w:val="24"/>
          <w:lang w:bidi="en-US"/>
        </w:rPr>
      </w:pPr>
      <w:r>
        <w:rPr>
          <w:rFonts w:hint="eastAsia" w:hAnsi="宋体"/>
          <w:szCs w:val="24"/>
          <w:lang w:bidi="en-US"/>
        </w:rPr>
        <w:t>（</w:t>
      </w:r>
      <w:r>
        <w:rPr>
          <w:szCs w:val="24"/>
          <w:lang w:bidi="en-US"/>
        </w:rPr>
        <w:t>8</w:t>
      </w:r>
      <w:r>
        <w:rPr>
          <w:rFonts w:hint="eastAsia" w:hAnsi="宋体"/>
          <w:szCs w:val="24"/>
          <w:lang w:bidi="en-US"/>
        </w:rPr>
        <w:t>）《企业突发环境事件隐患排查和治理工作指南》（试行）；</w:t>
      </w:r>
    </w:p>
    <w:p>
      <w:pPr>
        <w:ind w:firstLine="480"/>
        <w:rPr>
          <w:szCs w:val="24"/>
          <w:lang w:bidi="en-US"/>
        </w:rPr>
      </w:pPr>
      <w:r>
        <w:rPr>
          <w:rFonts w:hint="eastAsia" w:hAnsi="宋体"/>
          <w:szCs w:val="24"/>
          <w:lang w:bidi="en-US"/>
        </w:rPr>
        <w:t>（9）《突发环境事件应急监测技术规范》（HJ589-2021）。</w:t>
      </w:r>
    </w:p>
    <w:p>
      <w:pPr>
        <w:pStyle w:val="4"/>
      </w:pPr>
      <w:r>
        <w:rPr>
          <w:rFonts w:hint="eastAsia"/>
        </w:rPr>
        <w:t>1.2.4 其他文件</w:t>
      </w:r>
    </w:p>
    <w:p>
      <w:pPr>
        <w:ind w:firstLine="480"/>
        <w:rPr>
          <w:rFonts w:hAnsi="宋体"/>
          <w:szCs w:val="24"/>
          <w:lang w:bidi="en-US"/>
        </w:rPr>
      </w:pPr>
      <w:bookmarkStart w:id="6" w:name="_Toc13876"/>
      <w:r>
        <w:rPr>
          <w:rFonts w:hint="eastAsia" w:hAnsi="宋体"/>
          <w:szCs w:val="24"/>
          <w:lang w:bidi="en-US"/>
        </w:rPr>
        <w:t>（1）</w:t>
      </w:r>
      <w:r>
        <w:rPr>
          <w:rFonts w:hAnsi="宋体"/>
          <w:szCs w:val="24"/>
          <w:lang w:bidi="en-US"/>
        </w:rPr>
        <w:t>《淮南市突发环境事件应急预案》</w:t>
      </w:r>
      <w:r>
        <w:rPr>
          <w:rFonts w:hint="eastAsia"/>
          <w:lang w:bidi="en-US"/>
        </w:rPr>
        <w:t>（淮府办秘〔2022〕28号）；</w:t>
      </w:r>
    </w:p>
    <w:p>
      <w:pPr>
        <w:ind w:firstLine="480"/>
        <w:rPr>
          <w:lang w:bidi="en-US"/>
        </w:rPr>
      </w:pPr>
      <w:r>
        <w:rPr>
          <w:rFonts w:hint="eastAsia" w:hAnsi="宋体"/>
          <w:szCs w:val="24"/>
          <w:lang w:bidi="en-US"/>
        </w:rPr>
        <w:t>（2）</w:t>
      </w:r>
      <w:r>
        <w:rPr>
          <w:rFonts w:hAnsi="宋体"/>
          <w:szCs w:val="24"/>
          <w:lang w:bidi="en-US"/>
        </w:rPr>
        <w:t>《淮南市突发事件总体应急预案》</w:t>
      </w:r>
      <w:r>
        <w:rPr>
          <w:rFonts w:hint="eastAsia"/>
          <w:lang w:bidi="en-US"/>
        </w:rPr>
        <w:t>（淮府秘〔2020〕114号）；</w:t>
      </w:r>
    </w:p>
    <w:p>
      <w:pPr>
        <w:ind w:firstLine="480"/>
        <w:rPr>
          <w:lang w:bidi="en-US"/>
        </w:rPr>
      </w:pPr>
      <w:r>
        <w:rPr>
          <w:rFonts w:hint="eastAsia"/>
          <w:lang w:bidi="en-US"/>
        </w:rPr>
        <w:t>（3）《八公山区突发事件总体应急预案》（淮八府办〔2021〕9号）；</w:t>
      </w:r>
    </w:p>
    <w:p>
      <w:pPr>
        <w:ind w:firstLine="480"/>
        <w:rPr>
          <w:rFonts w:hAnsi="宋体"/>
          <w:szCs w:val="24"/>
          <w:lang w:bidi="en-US"/>
        </w:rPr>
      </w:pPr>
      <w:r>
        <w:rPr>
          <w:rFonts w:hint="eastAsia"/>
          <w:lang w:bidi="en-US"/>
        </w:rPr>
        <w:t>（4）《八公山区生产安全事故应急预案》（淮八府办〔2022〕4号）。</w:t>
      </w:r>
    </w:p>
    <w:bookmarkEnd w:id="6"/>
    <w:p>
      <w:pPr>
        <w:pStyle w:val="3"/>
        <w:rPr>
          <w:kern w:val="0"/>
        </w:rPr>
      </w:pPr>
      <w:bookmarkStart w:id="7" w:name="_Toc115418758"/>
      <w:r>
        <w:rPr>
          <w:rFonts w:eastAsia="TimesNewRomanPS-BoldMT"/>
          <w:kern w:val="0"/>
        </w:rPr>
        <w:t>1.</w:t>
      </w:r>
      <w:r>
        <w:rPr>
          <w:rFonts w:hint="eastAsia" w:eastAsia="TimesNewRomanPS-BoldMT"/>
          <w:kern w:val="0"/>
        </w:rPr>
        <w:t xml:space="preserve">3 </w:t>
      </w:r>
      <w:r>
        <w:rPr>
          <w:rFonts w:hint="eastAsia"/>
          <w:kern w:val="0"/>
        </w:rPr>
        <w:t>适用范围</w:t>
      </w:r>
      <w:bookmarkEnd w:id="7"/>
    </w:p>
    <w:p>
      <w:pPr>
        <w:ind w:firstLine="480"/>
        <w:rPr>
          <w:lang w:bidi="en-US"/>
        </w:rPr>
      </w:pPr>
      <w:r>
        <w:rPr>
          <w:rFonts w:hint="eastAsia"/>
          <w:lang w:bidi="en-US"/>
        </w:rPr>
        <w:t>本预案适用于八公山区区域内突发环境事件应对工作，指导本区突发环境事件应对工作，适用于以下各类突发环境事件。</w:t>
      </w:r>
    </w:p>
    <w:p>
      <w:pPr>
        <w:ind w:firstLine="480"/>
        <w:rPr>
          <w:lang w:bidi="en-US"/>
        </w:rPr>
      </w:pPr>
      <w:r>
        <w:rPr>
          <w:rFonts w:hint="eastAsia"/>
          <w:lang w:bidi="en-US"/>
        </w:rPr>
        <w:t>（1）本区范围内发生的突发环境事件；</w:t>
      </w:r>
    </w:p>
    <w:p>
      <w:pPr>
        <w:ind w:firstLine="480"/>
        <w:rPr>
          <w:lang w:bidi="en-US"/>
        </w:rPr>
      </w:pPr>
      <w:r>
        <w:rPr>
          <w:rFonts w:hint="eastAsia"/>
          <w:lang w:bidi="en-US"/>
        </w:rPr>
        <w:t>（2）本区范围内发生的其他需要区生态环境分局指导、协调、指挥处置的突发环境事件或其他突发事件次生、衍生的环境事件。</w:t>
      </w:r>
    </w:p>
    <w:p>
      <w:pPr>
        <w:ind w:firstLine="480"/>
        <w:rPr>
          <w:lang w:bidi="en-US"/>
        </w:rPr>
      </w:pPr>
      <w:r>
        <w:rPr>
          <w:rFonts w:hint="eastAsia"/>
          <w:lang w:bidi="en-US"/>
        </w:rPr>
        <w:t>（3）外地发生但可能对本区造成重大影响的突发环境事件。</w:t>
      </w:r>
    </w:p>
    <w:p>
      <w:pPr>
        <w:ind w:firstLine="480"/>
        <w:rPr>
          <w:lang w:bidi="en-US"/>
        </w:rPr>
      </w:pPr>
      <w:r>
        <w:rPr>
          <w:rFonts w:hint="eastAsia"/>
          <w:lang w:bidi="en-US"/>
        </w:rPr>
        <w:t>本预案指导本区突发环境事件应对工作。</w:t>
      </w:r>
    </w:p>
    <w:p>
      <w:pPr>
        <w:ind w:firstLine="480"/>
        <w:rPr>
          <w:lang w:bidi="en-US"/>
        </w:rPr>
      </w:pPr>
      <w:r>
        <w:rPr>
          <w:rFonts w:hint="eastAsia"/>
          <w:lang w:bidi="en-US"/>
        </w:rPr>
        <w:t>核、辐射和重污染天气应急预案另行制定，不包括在本预案范围内。</w:t>
      </w:r>
    </w:p>
    <w:p>
      <w:pPr>
        <w:pStyle w:val="3"/>
        <w:rPr>
          <w:kern w:val="0"/>
        </w:rPr>
      </w:pPr>
      <w:bookmarkStart w:id="8" w:name="_Toc115418759"/>
      <w:r>
        <w:rPr>
          <w:rFonts w:eastAsia="TimesNewRomanPS-BoldMT"/>
          <w:kern w:val="0"/>
        </w:rPr>
        <w:t>1.</w:t>
      </w:r>
      <w:r>
        <w:rPr>
          <w:rFonts w:hint="eastAsia" w:eastAsia="TimesNewRomanPS-BoldMT"/>
          <w:kern w:val="0"/>
        </w:rPr>
        <w:t xml:space="preserve">4 </w:t>
      </w:r>
      <w:r>
        <w:rPr>
          <w:rFonts w:hint="eastAsia"/>
          <w:kern w:val="0"/>
        </w:rPr>
        <w:t>工作原则</w:t>
      </w:r>
      <w:bookmarkEnd w:id="8"/>
    </w:p>
    <w:p>
      <w:pPr>
        <w:ind w:firstLine="480"/>
      </w:pPr>
      <w:r>
        <w:t>以人为本，预防为主</w:t>
      </w:r>
      <w:r>
        <w:rPr>
          <w:rFonts w:hint="eastAsia"/>
        </w:rPr>
        <w:t>：</w:t>
      </w:r>
      <w:r>
        <w:rPr>
          <w:rFonts w:hint="eastAsia" w:hAnsi="宋体"/>
          <w:szCs w:val="24"/>
          <w:lang w:bidi="en-US"/>
        </w:rPr>
        <w:t>宣传普及环境污染防治知识，提高公众防护意识。加强对风险源的监测、监控并实施监督管理，积极预防、及时控制、消除隐患，提高突发环境事件防范和处理能力，尽可能地避免或减少突发环境事件的发生。发现环境污染事件，及时采取有效的预防与控制措施，迅速向相关部门报告</w:t>
      </w:r>
      <w:r>
        <w:t>。</w:t>
      </w:r>
      <w:r>
        <w:rPr>
          <w:rFonts w:hint="eastAsia" w:hAnsi="宋体"/>
          <w:szCs w:val="24"/>
          <w:lang w:bidi="en-US"/>
        </w:rPr>
        <w:t>把保障公众健康和生命安全作为首要任务，最大程度地避免和减少环境污染和生态破坏突发事件造成的危害，保护人民群众生命财产安全，维护社会稳定。凡是可能造成人员伤亡的突发环境事件发生前，要及时采取人员避险措施；突发环境事件发生后，要优先开展抢救人员的紧急行动；要加强抢险救援人员的安全防护，最大程度地避免和减少突发环境事件造成的人员伤亡和危害。</w:t>
      </w:r>
    </w:p>
    <w:p>
      <w:pPr>
        <w:ind w:firstLine="480"/>
      </w:pPr>
      <w:r>
        <w:t>统一领导、分级管理</w:t>
      </w:r>
      <w:r>
        <w:rPr>
          <w:rFonts w:hint="eastAsia"/>
        </w:rPr>
        <w:t>：</w:t>
      </w:r>
      <w:r>
        <w:t>建立政府统一领导、部门分工协作、企业主要落实、公众有序参与的应急组织体系。完善部门联动机制，充分发挥部门专业优势和专业应急救援力量作用，引导、鼓励实现“一专多能”，共同应对突发环境事件。</w:t>
      </w:r>
    </w:p>
    <w:p>
      <w:pPr>
        <w:ind w:firstLine="480"/>
      </w:pPr>
      <w:r>
        <w:rPr>
          <w:rFonts w:hint="eastAsia"/>
        </w:rPr>
        <w:t>属地为主，先期处置：建立分级负责、分类指挥、综合协调、逐级响应的突发环境事件处置体系。事发地和受事件影响的地区在第一时间对突发环境事件进行先期处置，迅速采取措施，控制事态、减轻后果，并及时上报情况。</w:t>
      </w:r>
    </w:p>
    <w:p>
      <w:pPr>
        <w:ind w:firstLine="480"/>
      </w:pPr>
      <w:r>
        <w:rPr>
          <w:rFonts w:hint="eastAsia"/>
        </w:rPr>
        <w:t>分类管理，科学处置：针对不同污染源所造成的环境污染、生态污染、放射性污染等特点，实行分类管理，充分发挥部门专业优势实施应急处置，使采取的措施与突发环境事件造成的危害和社会影响相适应。</w:t>
      </w:r>
    </w:p>
    <w:p>
      <w:pPr>
        <w:ind w:firstLine="480"/>
      </w:pPr>
      <w:r>
        <w:rPr>
          <w:rFonts w:hint="eastAsia"/>
        </w:rPr>
        <w:t>平战结合，专兼结合：利用现有资源，积极做好各项应对准备，加强培训演练，充分发挥现有专业及社会环境应急救援力量的作用。</w:t>
      </w:r>
    </w:p>
    <w:p>
      <w:pPr>
        <w:ind w:firstLine="480"/>
      </w:pPr>
      <w:r>
        <w:rPr>
          <w:rFonts w:hint="eastAsia"/>
        </w:rPr>
        <w:t>资源共享，保障有力：利用网络平台建立环境应急专家、危险化学品资料、应急物资、典型案例等信息库，做好队伍、经费、装备、通讯、交通、运输及技术保障。</w:t>
      </w:r>
    </w:p>
    <w:p>
      <w:pPr>
        <w:pStyle w:val="3"/>
      </w:pPr>
      <w:bookmarkStart w:id="9" w:name="_Toc54945190"/>
      <w:bookmarkStart w:id="10" w:name="_Toc115418760"/>
      <w:r>
        <w:t>1.</w:t>
      </w:r>
      <w:r>
        <w:rPr>
          <w:rFonts w:hint="eastAsia"/>
        </w:rPr>
        <w:t>5</w:t>
      </w:r>
      <w:bookmarkEnd w:id="9"/>
      <w:r>
        <w:rPr>
          <w:rFonts w:hint="eastAsia"/>
        </w:rPr>
        <w:t xml:space="preserve"> 事件分级</w:t>
      </w:r>
      <w:bookmarkEnd w:id="10"/>
    </w:p>
    <w:p>
      <w:pPr>
        <w:ind w:firstLine="480"/>
      </w:pPr>
      <w:r>
        <w:t>按照突发事件的诱因，突发环境事件可以分为事故次生、企业排污、自然灾害引发等三类。其中事故次生类主要包括由于危险化学品火灾爆炸、有毒气体泄漏、陆源溢油污染以及危险化学品交通运输事故次生等；企业排污类包括企业排污导致的水污染、大气污染、土壤污染、固体废弃物污染、有毒化学品污染等</w:t>
      </w:r>
      <w:r>
        <w:rPr>
          <w:rFonts w:hint="eastAsia"/>
        </w:rPr>
        <w:t>；</w:t>
      </w:r>
      <w:r>
        <w:t>自然灾害引发类包括因自然灾害引发的水污染、大气污染等。</w:t>
      </w:r>
    </w:p>
    <w:p>
      <w:pPr>
        <w:ind w:firstLine="480"/>
      </w:pPr>
      <w:r>
        <w:t>按照突发事件严重性和紧急程度，突发环境事件分为特别重大（Ⅰ级）、重大（Ⅱ级）、较大（Ⅲ级）、一般（Ⅳ级）四级。</w:t>
      </w:r>
    </w:p>
    <w:p>
      <w:pPr>
        <w:pStyle w:val="4"/>
      </w:pPr>
      <w:r>
        <w:rPr>
          <w:rFonts w:hint="eastAsia"/>
        </w:rPr>
        <w:t>1.5.1 特别重大突发环境事件</w:t>
      </w:r>
    </w:p>
    <w:p>
      <w:pPr>
        <w:ind w:firstLine="480"/>
      </w:pPr>
      <w:r>
        <w:t>凡符合下列情形之一的，为特别重大突发环境事件：</w:t>
      </w:r>
    </w:p>
    <w:p>
      <w:pPr>
        <w:ind w:firstLine="480"/>
      </w:pPr>
      <w:r>
        <w:t>（1）因环境污染直接导致30人以上死亡或100人以上中毒或重伤的；</w:t>
      </w:r>
    </w:p>
    <w:p>
      <w:pPr>
        <w:ind w:firstLine="480"/>
      </w:pPr>
      <w:r>
        <w:t>（2）因环境污染疏散、转移人员5万人以上的；</w:t>
      </w:r>
    </w:p>
    <w:p>
      <w:pPr>
        <w:ind w:firstLine="480"/>
      </w:pPr>
      <w:r>
        <w:t>（3）因环境污染造成直接经济损失1亿元以上的；</w:t>
      </w:r>
    </w:p>
    <w:p>
      <w:pPr>
        <w:ind w:firstLine="480"/>
      </w:pPr>
      <w:r>
        <w:t>（4）因环境污染造成区域生态功能丧失或该区域国家重点保护物种灭绝的；</w:t>
      </w:r>
    </w:p>
    <w:p>
      <w:pPr>
        <w:ind w:firstLine="480"/>
      </w:pPr>
      <w:r>
        <w:t>（5）因环境污染造成设区的市级以上城市集中式饮用水水源地取水中断的。</w:t>
      </w:r>
    </w:p>
    <w:p>
      <w:pPr>
        <w:pStyle w:val="4"/>
      </w:pPr>
      <w:r>
        <w:rPr>
          <w:rFonts w:hint="eastAsia"/>
        </w:rPr>
        <w:t>1.5.2 重大突发环境事件</w:t>
      </w:r>
    </w:p>
    <w:p>
      <w:pPr>
        <w:ind w:firstLine="480"/>
      </w:pPr>
      <w:r>
        <w:rPr>
          <w:rFonts w:hAnsi="宋体"/>
        </w:rPr>
        <w:t>凡符合下列情形之一的，为重大突发环境事件：</w:t>
      </w:r>
    </w:p>
    <w:p>
      <w:pPr>
        <w:ind w:firstLine="480"/>
      </w:pPr>
      <w:r>
        <w:rPr>
          <w:rFonts w:hAnsi="宋体"/>
        </w:rPr>
        <w:t>（</w:t>
      </w:r>
      <w:r>
        <w:t>1</w:t>
      </w:r>
      <w:r>
        <w:rPr>
          <w:rFonts w:hAnsi="宋体"/>
        </w:rPr>
        <w:t>）因环境污染直接导致</w:t>
      </w:r>
      <w:r>
        <w:t>10</w:t>
      </w:r>
      <w:r>
        <w:rPr>
          <w:rFonts w:hAnsi="宋体"/>
        </w:rPr>
        <w:t>人以上</w:t>
      </w:r>
      <w:r>
        <w:t>30</w:t>
      </w:r>
      <w:r>
        <w:rPr>
          <w:rFonts w:hAnsi="宋体"/>
        </w:rPr>
        <w:t>人以下死亡或</w:t>
      </w:r>
      <w:r>
        <w:t>50</w:t>
      </w:r>
      <w:r>
        <w:rPr>
          <w:rFonts w:hAnsi="宋体"/>
        </w:rPr>
        <w:t>人以上</w:t>
      </w:r>
      <w:r>
        <w:t>100</w:t>
      </w:r>
      <w:r>
        <w:rPr>
          <w:rFonts w:hAnsi="宋体"/>
        </w:rPr>
        <w:t>人以下中毒或重伤的；</w:t>
      </w:r>
    </w:p>
    <w:p>
      <w:pPr>
        <w:ind w:firstLine="480"/>
      </w:pPr>
      <w:r>
        <w:rPr>
          <w:rFonts w:hAnsi="宋体"/>
        </w:rPr>
        <w:t>（</w:t>
      </w:r>
      <w:r>
        <w:t>2</w:t>
      </w:r>
      <w:r>
        <w:rPr>
          <w:rFonts w:hAnsi="宋体"/>
        </w:rPr>
        <w:t>）因环境污染疏散、转移人员</w:t>
      </w:r>
      <w:r>
        <w:t>1</w:t>
      </w:r>
      <w:r>
        <w:rPr>
          <w:rFonts w:hAnsi="宋体"/>
        </w:rPr>
        <w:t>万人以上</w:t>
      </w:r>
      <w:r>
        <w:t>5</w:t>
      </w:r>
      <w:r>
        <w:rPr>
          <w:rFonts w:hAnsi="宋体"/>
        </w:rPr>
        <w:t>万人以下的；</w:t>
      </w:r>
    </w:p>
    <w:p>
      <w:pPr>
        <w:ind w:firstLine="480"/>
      </w:pPr>
      <w:r>
        <w:rPr>
          <w:rFonts w:hAnsi="宋体"/>
        </w:rPr>
        <w:t>（</w:t>
      </w:r>
      <w:r>
        <w:t>3</w:t>
      </w:r>
      <w:r>
        <w:rPr>
          <w:rFonts w:hAnsi="宋体"/>
        </w:rPr>
        <w:t>）因环境污染造成直接经济损失</w:t>
      </w:r>
      <w:r>
        <w:t>2000</w:t>
      </w:r>
      <w:r>
        <w:rPr>
          <w:rFonts w:hAnsi="宋体"/>
        </w:rPr>
        <w:t>万元以上</w:t>
      </w:r>
      <w:r>
        <w:t>1</w:t>
      </w:r>
      <w:r>
        <w:rPr>
          <w:rFonts w:hAnsi="宋体"/>
        </w:rPr>
        <w:t>亿元以下的；</w:t>
      </w:r>
    </w:p>
    <w:p>
      <w:pPr>
        <w:ind w:firstLine="480"/>
      </w:pPr>
      <w:r>
        <w:rPr>
          <w:rFonts w:hAnsi="宋体"/>
        </w:rPr>
        <w:t>（</w:t>
      </w:r>
      <w:r>
        <w:t>4</w:t>
      </w:r>
      <w:r>
        <w:rPr>
          <w:rFonts w:hAnsi="宋体"/>
        </w:rPr>
        <w:t>）因环境污染造成区域生态功能部分丧失或该区域国家重点保护野生动植物种群大批死亡的；</w:t>
      </w:r>
    </w:p>
    <w:p>
      <w:pPr>
        <w:ind w:firstLine="480"/>
      </w:pPr>
      <w:r>
        <w:rPr>
          <w:rFonts w:hAnsi="宋体"/>
        </w:rPr>
        <w:t>（</w:t>
      </w:r>
      <w:r>
        <w:t>5</w:t>
      </w:r>
      <w:r>
        <w:rPr>
          <w:rFonts w:hAnsi="宋体"/>
        </w:rPr>
        <w:t>）因环境污染造成县级城市集中式饮用水水源地取水中断的；</w:t>
      </w:r>
    </w:p>
    <w:p>
      <w:pPr>
        <w:ind w:firstLine="480"/>
      </w:pPr>
      <w:r>
        <w:rPr>
          <w:rFonts w:hAnsi="宋体"/>
        </w:rPr>
        <w:t>（</w:t>
      </w:r>
      <w:r>
        <w:t>6</w:t>
      </w:r>
      <w:r>
        <w:rPr>
          <w:rFonts w:hAnsi="宋体"/>
        </w:rPr>
        <w:t>）造成跨省级行政区域影响的突发环境事件。</w:t>
      </w:r>
    </w:p>
    <w:p>
      <w:pPr>
        <w:pStyle w:val="4"/>
      </w:pPr>
      <w:r>
        <w:rPr>
          <w:rFonts w:hint="eastAsia"/>
        </w:rPr>
        <w:t>1.5.3 较大突发环境事件</w:t>
      </w:r>
    </w:p>
    <w:p>
      <w:pPr>
        <w:ind w:firstLine="480"/>
      </w:pPr>
      <w:r>
        <w:rPr>
          <w:rFonts w:hAnsi="宋体"/>
        </w:rPr>
        <w:t>凡符合下列情形之一的，为较大突发环境事件：</w:t>
      </w:r>
    </w:p>
    <w:p>
      <w:pPr>
        <w:ind w:firstLine="480"/>
      </w:pPr>
      <w:r>
        <w:rPr>
          <w:rFonts w:hAnsi="宋体"/>
        </w:rPr>
        <w:t>（</w:t>
      </w:r>
      <w:r>
        <w:t>1</w:t>
      </w:r>
      <w:r>
        <w:rPr>
          <w:rFonts w:hAnsi="宋体"/>
        </w:rPr>
        <w:t>）因环境污染直接导致</w:t>
      </w:r>
      <w:r>
        <w:t>3</w:t>
      </w:r>
      <w:r>
        <w:rPr>
          <w:rFonts w:hAnsi="宋体"/>
        </w:rPr>
        <w:t>人以上</w:t>
      </w:r>
      <w:r>
        <w:t>10</w:t>
      </w:r>
      <w:r>
        <w:rPr>
          <w:rFonts w:hAnsi="宋体"/>
        </w:rPr>
        <w:t>人以下死亡或</w:t>
      </w:r>
      <w:r>
        <w:t>10</w:t>
      </w:r>
      <w:r>
        <w:rPr>
          <w:rFonts w:hAnsi="宋体"/>
        </w:rPr>
        <w:t>人以上</w:t>
      </w:r>
      <w:r>
        <w:t>50</w:t>
      </w:r>
      <w:r>
        <w:rPr>
          <w:rFonts w:hAnsi="宋体"/>
        </w:rPr>
        <w:t>人以下中毒或重伤的；</w:t>
      </w:r>
    </w:p>
    <w:p>
      <w:pPr>
        <w:ind w:firstLine="480"/>
      </w:pPr>
      <w:r>
        <w:rPr>
          <w:rFonts w:hAnsi="宋体"/>
        </w:rPr>
        <w:t>（</w:t>
      </w:r>
      <w:r>
        <w:t>2</w:t>
      </w:r>
      <w:r>
        <w:rPr>
          <w:rFonts w:hAnsi="宋体"/>
        </w:rPr>
        <w:t>）因环境污染疏散、转移人员</w:t>
      </w:r>
      <w:r>
        <w:t>5000</w:t>
      </w:r>
      <w:r>
        <w:rPr>
          <w:rFonts w:hAnsi="宋体"/>
        </w:rPr>
        <w:t>人以上</w:t>
      </w:r>
      <w:r>
        <w:t>1</w:t>
      </w:r>
      <w:r>
        <w:rPr>
          <w:rFonts w:hAnsi="宋体"/>
        </w:rPr>
        <w:t>万人以下的；</w:t>
      </w:r>
    </w:p>
    <w:p>
      <w:pPr>
        <w:ind w:firstLine="480"/>
      </w:pPr>
      <w:r>
        <w:rPr>
          <w:rFonts w:hAnsi="宋体"/>
        </w:rPr>
        <w:t>（</w:t>
      </w:r>
      <w:r>
        <w:t>3</w:t>
      </w:r>
      <w:r>
        <w:rPr>
          <w:rFonts w:hAnsi="宋体"/>
        </w:rPr>
        <w:t>）因环境污染造成直接经济损失</w:t>
      </w:r>
      <w:r>
        <w:t>500</w:t>
      </w:r>
      <w:r>
        <w:rPr>
          <w:rFonts w:hAnsi="宋体"/>
        </w:rPr>
        <w:t>万元以上</w:t>
      </w:r>
      <w:r>
        <w:t>2000</w:t>
      </w:r>
      <w:r>
        <w:rPr>
          <w:rFonts w:hAnsi="宋体"/>
        </w:rPr>
        <w:t>万元以下的；</w:t>
      </w:r>
    </w:p>
    <w:p>
      <w:pPr>
        <w:ind w:firstLine="480"/>
      </w:pPr>
      <w:r>
        <w:rPr>
          <w:rFonts w:hAnsi="宋体"/>
        </w:rPr>
        <w:t>（</w:t>
      </w:r>
      <w:r>
        <w:t>4</w:t>
      </w:r>
      <w:r>
        <w:rPr>
          <w:rFonts w:hAnsi="宋体"/>
        </w:rPr>
        <w:t>）因环境污染造成国家重点保护的动植物物种受到破坏的；</w:t>
      </w:r>
    </w:p>
    <w:p>
      <w:pPr>
        <w:ind w:firstLine="480"/>
      </w:pPr>
      <w:r>
        <w:rPr>
          <w:rFonts w:hAnsi="宋体"/>
        </w:rPr>
        <w:t>（</w:t>
      </w:r>
      <w:r>
        <w:t>5</w:t>
      </w:r>
      <w:r>
        <w:rPr>
          <w:rFonts w:hAnsi="宋体"/>
        </w:rPr>
        <w:t>）因环境污染造成乡镇集中式饮用水水源地取水中断的；</w:t>
      </w:r>
    </w:p>
    <w:p>
      <w:pPr>
        <w:ind w:firstLine="480"/>
      </w:pPr>
      <w:r>
        <w:rPr>
          <w:rFonts w:hAnsi="宋体"/>
        </w:rPr>
        <w:t>（</w:t>
      </w:r>
      <w:r>
        <w:t>6</w:t>
      </w:r>
      <w:r>
        <w:rPr>
          <w:rFonts w:hAnsi="宋体"/>
        </w:rPr>
        <w:t>）造成跨设区的市级行政区域影响的突发环境事件。</w:t>
      </w:r>
    </w:p>
    <w:p>
      <w:pPr>
        <w:pStyle w:val="4"/>
      </w:pPr>
      <w:r>
        <w:rPr>
          <w:rFonts w:hint="eastAsia"/>
        </w:rPr>
        <w:t>1.5.4 一般突发环境事件</w:t>
      </w:r>
    </w:p>
    <w:p>
      <w:pPr>
        <w:ind w:firstLine="480"/>
      </w:pPr>
      <w:r>
        <w:rPr>
          <w:rFonts w:hAnsi="宋体"/>
        </w:rPr>
        <w:t>凡符合下列情形之一的，为一般突发环境事件：</w:t>
      </w:r>
    </w:p>
    <w:p>
      <w:pPr>
        <w:ind w:firstLine="480"/>
      </w:pPr>
      <w:r>
        <w:rPr>
          <w:rFonts w:hAnsi="宋体"/>
        </w:rPr>
        <w:t>（</w:t>
      </w:r>
      <w:r>
        <w:t>1</w:t>
      </w:r>
      <w:r>
        <w:rPr>
          <w:rFonts w:hAnsi="宋体"/>
        </w:rPr>
        <w:t>）因环境污染直接导致</w:t>
      </w:r>
      <w:r>
        <w:t>3</w:t>
      </w:r>
      <w:r>
        <w:rPr>
          <w:rFonts w:hAnsi="宋体"/>
        </w:rPr>
        <w:t>人以下死亡或</w:t>
      </w:r>
      <w:r>
        <w:t>10</w:t>
      </w:r>
      <w:r>
        <w:rPr>
          <w:rFonts w:hAnsi="宋体"/>
        </w:rPr>
        <w:t>人以下中毒或重伤的；</w:t>
      </w:r>
    </w:p>
    <w:p>
      <w:pPr>
        <w:ind w:firstLine="480"/>
      </w:pPr>
      <w:r>
        <w:rPr>
          <w:rFonts w:hAnsi="宋体"/>
        </w:rPr>
        <w:t>（</w:t>
      </w:r>
      <w:r>
        <w:t>2</w:t>
      </w:r>
      <w:r>
        <w:rPr>
          <w:rFonts w:hAnsi="宋体"/>
        </w:rPr>
        <w:t>）因环境污染疏散、转移人员</w:t>
      </w:r>
      <w:r>
        <w:t>5000</w:t>
      </w:r>
      <w:r>
        <w:rPr>
          <w:rFonts w:hAnsi="宋体"/>
        </w:rPr>
        <w:t>人以下的；</w:t>
      </w:r>
    </w:p>
    <w:p>
      <w:pPr>
        <w:ind w:firstLine="480"/>
      </w:pPr>
      <w:r>
        <w:rPr>
          <w:rFonts w:hAnsi="宋体"/>
        </w:rPr>
        <w:t>（</w:t>
      </w:r>
      <w:r>
        <w:t>3</w:t>
      </w:r>
      <w:r>
        <w:rPr>
          <w:rFonts w:hAnsi="宋体"/>
        </w:rPr>
        <w:t>）因环境污染造成直接经济损失</w:t>
      </w:r>
      <w:r>
        <w:t>500</w:t>
      </w:r>
      <w:r>
        <w:rPr>
          <w:rFonts w:hAnsi="宋体"/>
        </w:rPr>
        <w:t>万元以下的；</w:t>
      </w:r>
    </w:p>
    <w:p>
      <w:pPr>
        <w:ind w:firstLine="480"/>
      </w:pPr>
      <w:r>
        <w:rPr>
          <w:rFonts w:hAnsi="宋体"/>
        </w:rPr>
        <w:t>（</w:t>
      </w:r>
      <w:r>
        <w:t>4</w:t>
      </w:r>
      <w:r>
        <w:rPr>
          <w:rFonts w:hAnsi="宋体"/>
        </w:rPr>
        <w:t>）因环境污染造成跨县级行政区域纠纷，引起一般性群体影响的；</w:t>
      </w:r>
    </w:p>
    <w:p>
      <w:pPr>
        <w:ind w:firstLine="480"/>
        <w:rPr>
          <w:rFonts w:hAnsi="宋体"/>
        </w:rPr>
      </w:pPr>
      <w:r>
        <w:rPr>
          <w:rFonts w:hAnsi="宋体"/>
        </w:rPr>
        <w:t>（</w:t>
      </w:r>
      <w:r>
        <w:t>5</w:t>
      </w:r>
      <w:r>
        <w:rPr>
          <w:rFonts w:hAnsi="宋体"/>
        </w:rPr>
        <w:t>）对环境造成一定影响，尚未达到较大突发环境事件级别的。</w:t>
      </w:r>
    </w:p>
    <w:p>
      <w:pPr>
        <w:ind w:firstLine="480"/>
      </w:pPr>
      <w:r>
        <w:rPr>
          <w:rFonts w:hint="eastAsia" w:hAnsi="宋体"/>
        </w:rPr>
        <w:t>上述分级标准有关数量的表述中，“以上”含本数，“以下”不含本数。</w:t>
      </w:r>
    </w:p>
    <w:p>
      <w:pPr>
        <w:ind w:firstLine="480"/>
      </w:pPr>
    </w:p>
    <w:p>
      <w:pPr>
        <w:ind w:firstLine="480"/>
      </w:pPr>
    </w:p>
    <w:p>
      <w:pPr>
        <w:ind w:firstLine="480"/>
        <w:sectPr>
          <w:footerReference r:id="rId8" w:type="first"/>
          <w:pgSz w:w="11906" w:h="16838"/>
          <w:pgMar w:top="1440" w:right="1800" w:bottom="1440" w:left="1800" w:header="720" w:footer="720" w:gutter="0"/>
          <w:pgNumType w:start="1"/>
          <w:cols w:space="720" w:num="1"/>
          <w:titlePg/>
          <w:docGrid w:type="lines" w:linePitch="326" w:charSpace="0"/>
        </w:sectPr>
      </w:pPr>
    </w:p>
    <w:p>
      <w:pPr>
        <w:pStyle w:val="2"/>
      </w:pPr>
      <w:bookmarkStart w:id="11" w:name="_Toc115418761"/>
      <w:bookmarkStart w:id="12" w:name="_Toc54945195"/>
      <w:r>
        <w:rPr>
          <w:rFonts w:hint="eastAsia"/>
        </w:rPr>
        <w:t>2淮南市八公山区基本情况</w:t>
      </w:r>
      <w:bookmarkEnd w:id="11"/>
    </w:p>
    <w:p>
      <w:pPr>
        <w:pStyle w:val="3"/>
      </w:pPr>
      <w:bookmarkStart w:id="13" w:name="_Toc115418762"/>
      <w:r>
        <w:t xml:space="preserve">2.1 </w:t>
      </w:r>
      <w:r>
        <w:rPr>
          <w:rFonts w:hint="eastAsia"/>
        </w:rPr>
        <w:t>淮南市八公山区概况</w:t>
      </w:r>
      <w:bookmarkEnd w:id="13"/>
    </w:p>
    <w:p>
      <w:pPr>
        <w:ind w:firstLine="480"/>
      </w:pPr>
      <w:r>
        <w:t>八公山区，隶属于安徽省淮南市，位于淮南市西部，淮河南岸，西北与</w:t>
      </w:r>
      <w:r>
        <w:fldChar w:fldCharType="begin"/>
      </w:r>
      <w:r>
        <w:instrText xml:space="preserve"> HYPERLINK "https://baike.baidu.com/item/%E5%AF%BF%E5%8E%BF/192372" \t "_blank" </w:instrText>
      </w:r>
      <w:r>
        <w:fldChar w:fldCharType="separate"/>
      </w:r>
      <w:r>
        <w:rPr>
          <w:rStyle w:val="26"/>
          <w:color w:val="auto"/>
          <w:u w:val="none"/>
        </w:rPr>
        <w:t>寿县</w:t>
      </w:r>
      <w:r>
        <w:rPr>
          <w:rStyle w:val="26"/>
          <w:color w:val="auto"/>
          <w:u w:val="none"/>
        </w:rPr>
        <w:fldChar w:fldCharType="end"/>
      </w:r>
      <w:r>
        <w:t>、凤台相邻，南与谢家集区接壤，东与潘集区隔淮相望，总面积105平方公里，下辖3个街道、2个镇，另有1个妙山林场；设有21个社区和21个村民委员会；区政府驻新庄孜街道</w:t>
      </w:r>
      <w:r>
        <w:rPr>
          <w:rFonts w:hint="eastAsia"/>
        </w:rPr>
        <w:t>。</w:t>
      </w:r>
      <w:r>
        <w:t>根据第七次人口普查数据，截至2020年11月1日零时，八公山区常住人口为118221人</w:t>
      </w:r>
      <w:r>
        <w:rPr>
          <w:rFonts w:hint="eastAsia"/>
        </w:rPr>
        <w:t>。</w:t>
      </w:r>
    </w:p>
    <w:p>
      <w:pPr>
        <w:ind w:firstLine="480"/>
      </w:pPr>
      <w:r>
        <w:t>淮南铁路水张线和淮（南）利（辛）公路纵贯区境。特产有八公山豆腐。名胜古迹有八公山国家地质公园、八公山国家森林公园、八公山国家AAAA级旅游区，洗云泉、玉露泉、岚香泉、八公仙阁、孙家花园、南塘、石林、玉笋、石门潭等。</w:t>
      </w:r>
    </w:p>
    <w:p>
      <w:pPr>
        <w:pStyle w:val="3"/>
      </w:pPr>
      <w:bookmarkStart w:id="14" w:name="_Toc115418763"/>
      <w:r>
        <w:t>2.</w:t>
      </w:r>
      <w:r>
        <w:rPr>
          <w:rFonts w:hint="eastAsia"/>
        </w:rPr>
        <w:t>2 环境概况</w:t>
      </w:r>
      <w:bookmarkEnd w:id="14"/>
    </w:p>
    <w:p>
      <w:pPr>
        <w:pStyle w:val="4"/>
      </w:pPr>
      <w:r>
        <w:rPr>
          <w:rFonts w:hint="eastAsia"/>
        </w:rPr>
        <w:t>2.2.1 地理位置</w:t>
      </w:r>
    </w:p>
    <w:p>
      <w:pPr>
        <w:ind w:firstLine="480"/>
      </w:pPr>
      <w:r>
        <w:t>八公山区，位于淮河以南，八公山下</w:t>
      </w:r>
      <w:r>
        <w:rPr>
          <w:rFonts w:hint="eastAsia"/>
        </w:rPr>
        <w:t>。</w:t>
      </w:r>
      <w:r>
        <w:t>东邻谢家集区，西与凤台县、西南与寿县接壤，北隔淮河与潘集区相望</w:t>
      </w:r>
      <w:r>
        <w:rPr>
          <w:rFonts w:hint="eastAsia"/>
        </w:rPr>
        <w:t>。</w:t>
      </w:r>
    </w:p>
    <w:p>
      <w:pPr>
        <w:pStyle w:val="4"/>
      </w:pPr>
      <w:r>
        <w:rPr>
          <w:rFonts w:hint="eastAsia"/>
        </w:rPr>
        <w:t>2.2.2 地形地貌</w:t>
      </w:r>
    </w:p>
    <w:p>
      <w:pPr>
        <w:ind w:firstLine="480"/>
      </w:pPr>
      <w:r>
        <w:t>八公山区西部为山丘、岗地，东部为湾地（近淮为冲积平原）。据地质部门考证，八公山地质年龄约为1亿5000万年。其结构层岩石自五台变质岩开始，从老到新，由震旦、寒武、奥陶、石炭、二迭、三迭、第三纪页岩、砂岩等组成，以石灰岩为主，其残积、破积土壤多为石灰（岩）土，湾地及岗地均属于第四纪更新世地层。八公山区西依八公山麓，东临淮河，自然形成西高东低的倾斜地势。境内有丘陵、谷地、岗地、湾地等类地形，以丘陵、岗地、湾地为主，约各占总面积的三分之一</w:t>
      </w:r>
      <w:r>
        <w:rPr>
          <w:rFonts w:hint="eastAsia"/>
        </w:rPr>
        <w:t>。</w:t>
      </w:r>
    </w:p>
    <w:p>
      <w:pPr>
        <w:pStyle w:val="4"/>
      </w:pPr>
      <w:r>
        <w:rPr>
          <w:rFonts w:hint="eastAsia"/>
        </w:rPr>
        <w:t>2.2.3气候特征</w:t>
      </w:r>
    </w:p>
    <w:p>
      <w:pPr>
        <w:ind w:firstLine="480"/>
      </w:pPr>
      <w:r>
        <w:t>八公山区属于亚热带与暖温带的过渡带，呈半湿润季风气候。其特点：四季分明，季风明显，光照充足，热量丰富，降雨量适中，无霜期较长。</w:t>
      </w:r>
    </w:p>
    <w:p>
      <w:pPr>
        <w:pStyle w:val="4"/>
      </w:pPr>
      <w:r>
        <w:rPr>
          <w:rFonts w:hint="eastAsia"/>
        </w:rPr>
        <w:t>2.2.4 土壤</w:t>
      </w:r>
    </w:p>
    <w:p>
      <w:pPr>
        <w:ind w:firstLine="480"/>
      </w:pPr>
      <w:r>
        <w:t>八公山区境内土壤种类主要是潮土、棕壤、黄棕壤、石灰土。石灰土多在丘陵地区，万余亩湾地全是潮湿土。岗地多系棕壤或黄棕壤。城市近郊和村庄周围菜园为马肝土、沙泥土及水稻土等高产土壤。</w:t>
      </w:r>
    </w:p>
    <w:p>
      <w:pPr>
        <w:pStyle w:val="3"/>
      </w:pPr>
      <w:bookmarkStart w:id="15" w:name="_Toc115418764"/>
      <w:r>
        <w:t>2.</w:t>
      </w:r>
      <w:r>
        <w:rPr>
          <w:rFonts w:hint="eastAsia"/>
        </w:rPr>
        <w:t xml:space="preserve">3 </w:t>
      </w:r>
      <w:r>
        <w:t>区内企业情况</w:t>
      </w:r>
      <w:bookmarkEnd w:id="15"/>
    </w:p>
    <w:p>
      <w:pPr>
        <w:ind w:firstLine="480"/>
      </w:pPr>
      <w:r>
        <w:rPr>
          <w:rFonts w:hint="eastAsia"/>
        </w:rPr>
        <w:t>根据调查，八公山区主导产业为豆腐制品业、旅游业。其中</w:t>
      </w:r>
      <w:r>
        <w:t>八公山区内较大及以上环境风险等级企业分别为淮南舜泰化工有限责任公司、淮南舜岳水泥有限责任公司、淮南矿业集团发电有限责任公司新庄孜电厂、淮南首创水务八公山污水处理厂，企业基本情况见表</w:t>
      </w:r>
      <w:r>
        <w:rPr>
          <w:rFonts w:hint="eastAsia"/>
        </w:rPr>
        <w:t>2.3-1</w:t>
      </w:r>
      <w:r>
        <w:t>。</w:t>
      </w:r>
    </w:p>
    <w:p>
      <w:pPr>
        <w:ind w:firstLine="480"/>
        <w:jc w:val="center"/>
        <w:rPr>
          <w:rFonts w:eastAsia="黑体"/>
        </w:rPr>
      </w:pPr>
      <w:r>
        <w:rPr>
          <w:rFonts w:hAnsi="黑体" w:eastAsia="黑体"/>
        </w:rPr>
        <w:t>表</w:t>
      </w:r>
      <w:r>
        <w:rPr>
          <w:rFonts w:eastAsia="黑体"/>
        </w:rPr>
        <w:t xml:space="preserve">2.3-1  </w:t>
      </w:r>
      <w:r>
        <w:rPr>
          <w:rFonts w:hAnsi="黑体" w:eastAsia="黑体"/>
        </w:rPr>
        <w:t>八公山区内较大及以上风险企业基本情况一览表</w:t>
      </w:r>
    </w:p>
    <w:tbl>
      <w:tblPr>
        <w:tblStyle w:val="2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68"/>
        <w:gridCol w:w="1665"/>
        <w:gridCol w:w="1007"/>
        <w:gridCol w:w="551"/>
        <w:gridCol w:w="41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85" w:type="pct"/>
            <w:vAlign w:val="center"/>
          </w:tcPr>
          <w:p>
            <w:pPr>
              <w:spacing w:line="276" w:lineRule="auto"/>
              <w:ind w:firstLine="0" w:firstLineChars="0"/>
              <w:jc w:val="center"/>
              <w:rPr>
                <w:sz w:val="21"/>
                <w:szCs w:val="21"/>
              </w:rPr>
            </w:pPr>
            <w:r>
              <w:rPr>
                <w:sz w:val="21"/>
                <w:szCs w:val="21"/>
              </w:rPr>
              <w:t>企业名称</w:t>
            </w:r>
          </w:p>
        </w:tc>
        <w:tc>
          <w:tcPr>
            <w:tcW w:w="977" w:type="pct"/>
            <w:vAlign w:val="center"/>
          </w:tcPr>
          <w:p>
            <w:pPr>
              <w:spacing w:line="276" w:lineRule="auto"/>
              <w:ind w:firstLine="0" w:firstLineChars="0"/>
              <w:jc w:val="center"/>
              <w:rPr>
                <w:sz w:val="21"/>
                <w:szCs w:val="21"/>
              </w:rPr>
            </w:pPr>
            <w:r>
              <w:rPr>
                <w:sz w:val="21"/>
                <w:szCs w:val="21"/>
              </w:rPr>
              <w:t>位置</w:t>
            </w:r>
          </w:p>
        </w:tc>
        <w:tc>
          <w:tcPr>
            <w:tcW w:w="591" w:type="pct"/>
            <w:vAlign w:val="center"/>
          </w:tcPr>
          <w:p>
            <w:pPr>
              <w:spacing w:line="276" w:lineRule="auto"/>
              <w:ind w:firstLine="0" w:firstLineChars="0"/>
              <w:jc w:val="center"/>
              <w:rPr>
                <w:sz w:val="21"/>
                <w:szCs w:val="21"/>
              </w:rPr>
            </w:pPr>
            <w:r>
              <w:rPr>
                <w:sz w:val="21"/>
                <w:szCs w:val="21"/>
              </w:rPr>
              <w:t>行业类别</w:t>
            </w:r>
          </w:p>
        </w:tc>
        <w:tc>
          <w:tcPr>
            <w:tcW w:w="323" w:type="pct"/>
            <w:vAlign w:val="center"/>
          </w:tcPr>
          <w:p>
            <w:pPr>
              <w:spacing w:line="276" w:lineRule="auto"/>
              <w:ind w:firstLine="0" w:firstLineChars="0"/>
              <w:jc w:val="center"/>
              <w:rPr>
                <w:sz w:val="21"/>
                <w:szCs w:val="21"/>
              </w:rPr>
            </w:pPr>
            <w:r>
              <w:rPr>
                <w:sz w:val="21"/>
                <w:szCs w:val="21"/>
              </w:rPr>
              <w:t>风险级别</w:t>
            </w:r>
          </w:p>
        </w:tc>
        <w:tc>
          <w:tcPr>
            <w:tcW w:w="2425" w:type="pct"/>
            <w:vAlign w:val="center"/>
          </w:tcPr>
          <w:p>
            <w:pPr>
              <w:spacing w:line="276" w:lineRule="auto"/>
              <w:ind w:firstLine="0" w:firstLineChars="0"/>
              <w:jc w:val="center"/>
              <w:rPr>
                <w:sz w:val="21"/>
                <w:szCs w:val="21"/>
              </w:rPr>
            </w:pPr>
            <w:r>
              <w:rPr>
                <w:sz w:val="21"/>
                <w:szCs w:val="21"/>
              </w:rPr>
              <w:t>风险源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85" w:type="pct"/>
            <w:vAlign w:val="center"/>
          </w:tcPr>
          <w:p>
            <w:pPr>
              <w:spacing w:line="276" w:lineRule="auto"/>
              <w:ind w:firstLine="0" w:firstLineChars="0"/>
              <w:jc w:val="center"/>
              <w:rPr>
                <w:sz w:val="21"/>
                <w:szCs w:val="21"/>
              </w:rPr>
            </w:pPr>
            <w:r>
              <w:rPr>
                <w:sz w:val="21"/>
                <w:szCs w:val="21"/>
              </w:rPr>
              <w:t>淮南舜泰化工有限责任公司</w:t>
            </w:r>
          </w:p>
        </w:tc>
        <w:tc>
          <w:tcPr>
            <w:tcW w:w="977" w:type="pct"/>
            <w:vAlign w:val="center"/>
          </w:tcPr>
          <w:p>
            <w:pPr>
              <w:spacing w:line="276" w:lineRule="auto"/>
              <w:ind w:firstLine="0" w:firstLineChars="0"/>
              <w:jc w:val="center"/>
              <w:rPr>
                <w:sz w:val="21"/>
                <w:szCs w:val="21"/>
              </w:rPr>
            </w:pPr>
            <w:r>
              <w:rPr>
                <w:sz w:val="21"/>
                <w:szCs w:val="21"/>
              </w:rPr>
              <w:t>安徽省淮南市八公山区常山路化工新村</w:t>
            </w:r>
          </w:p>
        </w:tc>
        <w:tc>
          <w:tcPr>
            <w:tcW w:w="591" w:type="pct"/>
            <w:vAlign w:val="center"/>
          </w:tcPr>
          <w:p>
            <w:pPr>
              <w:spacing w:line="276" w:lineRule="auto"/>
              <w:ind w:firstLine="0" w:firstLineChars="0"/>
              <w:jc w:val="center"/>
              <w:rPr>
                <w:sz w:val="21"/>
                <w:szCs w:val="21"/>
              </w:rPr>
            </w:pPr>
            <w:r>
              <w:rPr>
                <w:rFonts w:hint="eastAsia"/>
                <w:sz w:val="21"/>
                <w:szCs w:val="21"/>
              </w:rPr>
              <w:t>炸药及火工品制造</w:t>
            </w:r>
          </w:p>
        </w:tc>
        <w:tc>
          <w:tcPr>
            <w:tcW w:w="323" w:type="pct"/>
            <w:vAlign w:val="center"/>
          </w:tcPr>
          <w:p>
            <w:pPr>
              <w:spacing w:line="276" w:lineRule="auto"/>
              <w:ind w:firstLine="0" w:firstLineChars="0"/>
              <w:jc w:val="center"/>
              <w:rPr>
                <w:sz w:val="21"/>
                <w:szCs w:val="21"/>
              </w:rPr>
            </w:pPr>
            <w:r>
              <w:rPr>
                <w:sz w:val="21"/>
                <w:szCs w:val="21"/>
              </w:rPr>
              <w:t>较大</w:t>
            </w:r>
          </w:p>
        </w:tc>
        <w:tc>
          <w:tcPr>
            <w:tcW w:w="2425" w:type="pct"/>
            <w:vAlign w:val="center"/>
          </w:tcPr>
          <w:p>
            <w:pPr>
              <w:spacing w:line="276" w:lineRule="auto"/>
              <w:ind w:firstLine="0" w:firstLineChars="0"/>
              <w:jc w:val="center"/>
              <w:rPr>
                <w:sz w:val="21"/>
                <w:szCs w:val="21"/>
              </w:rPr>
            </w:pPr>
            <w:r>
              <w:rPr>
                <w:sz w:val="21"/>
                <w:szCs w:val="21"/>
              </w:rPr>
              <w:t>一甲胺罐区、炸药及炸药生产区、雷管及雷管生产区、硝酸罐、硝酸铵罐、一甲胺罐、硝酸钠、雷管分厂污水预处理系统、污水处理站、</w:t>
            </w:r>
            <w:r>
              <w:rPr>
                <w:rFonts w:hint="eastAsia"/>
                <w:sz w:val="21"/>
                <w:szCs w:val="21"/>
              </w:rPr>
              <w:t>DDNP废水预处理系统、危废库、生产区废气处理装置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85" w:type="pct"/>
            <w:vAlign w:val="center"/>
          </w:tcPr>
          <w:p>
            <w:pPr>
              <w:spacing w:line="276" w:lineRule="auto"/>
              <w:ind w:firstLine="0" w:firstLineChars="0"/>
              <w:jc w:val="center"/>
              <w:rPr>
                <w:sz w:val="21"/>
                <w:szCs w:val="21"/>
              </w:rPr>
            </w:pPr>
            <w:r>
              <w:rPr>
                <w:sz w:val="21"/>
                <w:szCs w:val="21"/>
              </w:rPr>
              <w:t>淮南舜岳水泥有限责任公司</w:t>
            </w:r>
          </w:p>
        </w:tc>
        <w:tc>
          <w:tcPr>
            <w:tcW w:w="977" w:type="pct"/>
            <w:vAlign w:val="center"/>
          </w:tcPr>
          <w:p>
            <w:pPr>
              <w:spacing w:line="276" w:lineRule="auto"/>
              <w:ind w:firstLine="0" w:firstLineChars="0"/>
              <w:jc w:val="center"/>
              <w:rPr>
                <w:sz w:val="21"/>
                <w:szCs w:val="21"/>
              </w:rPr>
            </w:pPr>
            <w:r>
              <w:rPr>
                <w:sz w:val="21"/>
                <w:szCs w:val="21"/>
              </w:rPr>
              <w:t>安徽省淮南市八公山区蔡新路</w:t>
            </w:r>
          </w:p>
        </w:tc>
        <w:tc>
          <w:tcPr>
            <w:tcW w:w="591" w:type="pct"/>
            <w:vAlign w:val="center"/>
          </w:tcPr>
          <w:p>
            <w:pPr>
              <w:spacing w:line="276" w:lineRule="auto"/>
              <w:ind w:firstLine="0" w:firstLineChars="0"/>
              <w:jc w:val="center"/>
              <w:rPr>
                <w:sz w:val="21"/>
                <w:szCs w:val="21"/>
              </w:rPr>
            </w:pPr>
            <w:r>
              <w:rPr>
                <w:rFonts w:hint="eastAsia"/>
                <w:sz w:val="21"/>
                <w:szCs w:val="21"/>
              </w:rPr>
              <w:t>水泥</w:t>
            </w:r>
          </w:p>
        </w:tc>
        <w:tc>
          <w:tcPr>
            <w:tcW w:w="323" w:type="pct"/>
            <w:vAlign w:val="center"/>
          </w:tcPr>
          <w:p>
            <w:pPr>
              <w:spacing w:line="276" w:lineRule="auto"/>
              <w:ind w:firstLine="0" w:firstLineChars="0"/>
              <w:jc w:val="center"/>
              <w:rPr>
                <w:sz w:val="21"/>
                <w:szCs w:val="21"/>
              </w:rPr>
            </w:pPr>
            <w:r>
              <w:rPr>
                <w:sz w:val="21"/>
                <w:szCs w:val="21"/>
              </w:rPr>
              <w:t>较大</w:t>
            </w:r>
          </w:p>
        </w:tc>
        <w:tc>
          <w:tcPr>
            <w:tcW w:w="2425" w:type="pct"/>
            <w:vAlign w:val="center"/>
          </w:tcPr>
          <w:p>
            <w:pPr>
              <w:spacing w:line="276" w:lineRule="auto"/>
              <w:ind w:firstLine="0" w:firstLineChars="0"/>
              <w:jc w:val="center"/>
              <w:rPr>
                <w:sz w:val="21"/>
                <w:szCs w:val="21"/>
              </w:rPr>
            </w:pPr>
            <w:r>
              <w:rPr>
                <w:sz w:val="21"/>
                <w:szCs w:val="21"/>
              </w:rPr>
              <w:t>危废库；布袋除尘器</w:t>
            </w:r>
            <w:r>
              <w:rPr>
                <w:rFonts w:hint="eastAsia"/>
                <w:sz w:val="21"/>
                <w:szCs w:val="21"/>
              </w:rPr>
              <w:t>；</w:t>
            </w:r>
            <w:r>
              <w:rPr>
                <w:sz w:val="21"/>
                <w:szCs w:val="21"/>
              </w:rPr>
              <w:t>油库</w:t>
            </w:r>
            <w:r>
              <w:rPr>
                <w:rFonts w:hint="eastAsia"/>
                <w:sz w:val="21"/>
                <w:szCs w:val="21"/>
              </w:rPr>
              <w:t>；</w:t>
            </w:r>
            <w:r>
              <w:rPr>
                <w:sz w:val="21"/>
                <w:szCs w:val="21"/>
              </w:rPr>
              <w:t>煤仓；氨水罐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85" w:type="pct"/>
            <w:vAlign w:val="center"/>
          </w:tcPr>
          <w:p>
            <w:pPr>
              <w:spacing w:line="276" w:lineRule="auto"/>
              <w:ind w:firstLine="0" w:firstLineChars="0"/>
              <w:jc w:val="center"/>
              <w:rPr>
                <w:sz w:val="21"/>
                <w:szCs w:val="21"/>
              </w:rPr>
            </w:pPr>
            <w:r>
              <w:rPr>
                <w:sz w:val="21"/>
                <w:szCs w:val="21"/>
              </w:rPr>
              <w:t>淮南矿业集团发电有限责任公司新庄孜电厂</w:t>
            </w:r>
          </w:p>
        </w:tc>
        <w:tc>
          <w:tcPr>
            <w:tcW w:w="977" w:type="pct"/>
            <w:vAlign w:val="center"/>
          </w:tcPr>
          <w:p>
            <w:pPr>
              <w:spacing w:line="276" w:lineRule="auto"/>
              <w:ind w:firstLine="0" w:firstLineChars="0"/>
              <w:jc w:val="center"/>
              <w:rPr>
                <w:sz w:val="21"/>
                <w:szCs w:val="21"/>
              </w:rPr>
            </w:pPr>
            <w:r>
              <w:rPr>
                <w:sz w:val="21"/>
                <w:szCs w:val="21"/>
              </w:rPr>
              <w:t>淮河南岸、淮南矿区西翼，八公山东麓的蔡家洼、钱家湖地段</w:t>
            </w:r>
          </w:p>
        </w:tc>
        <w:tc>
          <w:tcPr>
            <w:tcW w:w="591" w:type="pct"/>
            <w:vAlign w:val="center"/>
          </w:tcPr>
          <w:p>
            <w:pPr>
              <w:spacing w:line="276" w:lineRule="auto"/>
              <w:ind w:firstLine="0" w:firstLineChars="0"/>
              <w:jc w:val="center"/>
              <w:rPr>
                <w:sz w:val="21"/>
                <w:szCs w:val="21"/>
              </w:rPr>
            </w:pPr>
            <w:r>
              <w:rPr>
                <w:sz w:val="21"/>
                <w:szCs w:val="21"/>
              </w:rPr>
              <w:t>电力、热力生产和供应业</w:t>
            </w:r>
          </w:p>
        </w:tc>
        <w:tc>
          <w:tcPr>
            <w:tcW w:w="323" w:type="pct"/>
            <w:vAlign w:val="center"/>
          </w:tcPr>
          <w:p>
            <w:pPr>
              <w:spacing w:line="276" w:lineRule="auto"/>
              <w:ind w:firstLine="0" w:firstLineChars="0"/>
              <w:jc w:val="center"/>
              <w:rPr>
                <w:sz w:val="21"/>
                <w:szCs w:val="21"/>
              </w:rPr>
            </w:pPr>
            <w:r>
              <w:rPr>
                <w:sz w:val="21"/>
                <w:szCs w:val="21"/>
              </w:rPr>
              <w:t>较大</w:t>
            </w:r>
          </w:p>
        </w:tc>
        <w:tc>
          <w:tcPr>
            <w:tcW w:w="2425" w:type="pct"/>
            <w:vAlign w:val="center"/>
          </w:tcPr>
          <w:p>
            <w:pPr>
              <w:spacing w:line="276" w:lineRule="auto"/>
              <w:ind w:firstLine="0" w:firstLineChars="0"/>
              <w:jc w:val="center"/>
              <w:rPr>
                <w:sz w:val="21"/>
                <w:szCs w:val="21"/>
              </w:rPr>
            </w:pPr>
            <w:r>
              <w:rPr>
                <w:sz w:val="21"/>
                <w:szCs w:val="21"/>
              </w:rPr>
              <w:t>盐酸；柴油、机油；危险物质；废气处理设施；次生消防废水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85" w:type="pct"/>
            <w:vAlign w:val="center"/>
          </w:tcPr>
          <w:p>
            <w:pPr>
              <w:spacing w:line="276" w:lineRule="auto"/>
              <w:ind w:firstLine="0" w:firstLineChars="0"/>
              <w:jc w:val="center"/>
              <w:rPr>
                <w:sz w:val="21"/>
                <w:szCs w:val="21"/>
              </w:rPr>
            </w:pPr>
            <w:r>
              <w:rPr>
                <w:sz w:val="21"/>
                <w:szCs w:val="21"/>
              </w:rPr>
              <w:t>淮南首创水务八公山污水处理厂</w:t>
            </w:r>
          </w:p>
        </w:tc>
        <w:tc>
          <w:tcPr>
            <w:tcW w:w="977" w:type="pct"/>
            <w:vAlign w:val="center"/>
          </w:tcPr>
          <w:p>
            <w:pPr>
              <w:spacing w:line="276" w:lineRule="auto"/>
              <w:ind w:firstLine="0" w:firstLineChars="0"/>
              <w:jc w:val="center"/>
              <w:rPr>
                <w:sz w:val="21"/>
                <w:szCs w:val="21"/>
              </w:rPr>
            </w:pPr>
            <w:r>
              <w:rPr>
                <w:sz w:val="21"/>
                <w:szCs w:val="21"/>
              </w:rPr>
              <w:t>淮南市八公山区毕家岗街道</w:t>
            </w:r>
          </w:p>
        </w:tc>
        <w:tc>
          <w:tcPr>
            <w:tcW w:w="591" w:type="pct"/>
            <w:vAlign w:val="center"/>
          </w:tcPr>
          <w:p>
            <w:pPr>
              <w:spacing w:line="276" w:lineRule="auto"/>
              <w:ind w:firstLine="0" w:firstLineChars="0"/>
              <w:jc w:val="center"/>
              <w:rPr>
                <w:sz w:val="21"/>
                <w:szCs w:val="21"/>
              </w:rPr>
            </w:pPr>
            <w:r>
              <w:rPr>
                <w:rFonts w:hint="eastAsia"/>
                <w:sz w:val="21"/>
                <w:szCs w:val="21"/>
              </w:rPr>
              <w:t>污水处理及其再生利用</w:t>
            </w:r>
          </w:p>
        </w:tc>
        <w:tc>
          <w:tcPr>
            <w:tcW w:w="323" w:type="pct"/>
            <w:vAlign w:val="center"/>
          </w:tcPr>
          <w:p>
            <w:pPr>
              <w:spacing w:line="276" w:lineRule="auto"/>
              <w:ind w:firstLine="0" w:firstLineChars="0"/>
              <w:jc w:val="center"/>
              <w:rPr>
                <w:sz w:val="21"/>
                <w:szCs w:val="21"/>
              </w:rPr>
            </w:pPr>
            <w:r>
              <w:rPr>
                <w:sz w:val="21"/>
                <w:szCs w:val="21"/>
              </w:rPr>
              <w:t>较大</w:t>
            </w:r>
          </w:p>
        </w:tc>
        <w:tc>
          <w:tcPr>
            <w:tcW w:w="2425" w:type="pct"/>
            <w:vAlign w:val="center"/>
          </w:tcPr>
          <w:p>
            <w:pPr>
              <w:spacing w:line="276" w:lineRule="auto"/>
              <w:ind w:firstLine="0" w:firstLineChars="0"/>
              <w:jc w:val="center"/>
              <w:rPr>
                <w:sz w:val="21"/>
                <w:szCs w:val="21"/>
              </w:rPr>
            </w:pPr>
            <w:r>
              <w:rPr>
                <w:sz w:val="21"/>
                <w:szCs w:val="21"/>
              </w:rPr>
              <w:t>次氯酸钠、三氯化铁发生泄漏；污水处理区；厂区；危废间</w:t>
            </w:r>
          </w:p>
        </w:tc>
      </w:tr>
    </w:tbl>
    <w:p>
      <w:pPr>
        <w:ind w:firstLine="480"/>
        <w:jc w:val="center"/>
        <w:rPr>
          <w:rFonts w:hAnsi="黑体" w:eastAsia="黑体"/>
        </w:rPr>
      </w:pPr>
    </w:p>
    <w:p>
      <w:pPr>
        <w:ind w:firstLine="480"/>
        <w:jc w:val="center"/>
        <w:rPr>
          <w:rFonts w:hAnsi="黑体" w:eastAsia="黑体"/>
        </w:rPr>
      </w:pPr>
    </w:p>
    <w:p>
      <w:pPr>
        <w:ind w:firstLine="480"/>
        <w:jc w:val="center"/>
        <w:rPr>
          <w:rFonts w:hAnsi="黑体" w:eastAsia="黑体"/>
        </w:rPr>
      </w:pPr>
      <w:r>
        <w:rPr>
          <w:rFonts w:hint="eastAsia" w:hAnsi="黑体" w:eastAsia="黑体"/>
        </w:rPr>
        <w:drawing>
          <wp:anchor distT="0" distB="0" distL="114300" distR="114300" simplePos="0" relativeHeight="251660288" behindDoc="0" locked="0" layoutInCell="1" allowOverlap="1">
            <wp:simplePos x="0" y="0"/>
            <wp:positionH relativeFrom="column">
              <wp:posOffset>4776470</wp:posOffset>
            </wp:positionH>
            <wp:positionV relativeFrom="paragraph">
              <wp:posOffset>146050</wp:posOffset>
            </wp:positionV>
            <wp:extent cx="515620" cy="517525"/>
            <wp:effectExtent l="19050" t="0" r="0" b="0"/>
            <wp:wrapNone/>
            <wp:docPr id="5" name="图片 5" descr="C:\Users\李青青\AppData\Roaming\Tencent\Users\403002229\QQ\WinTemp\RichOle\030%UR9BYU3GM772(UBE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李青青\AppData\Roaming\Tencent\Users\403002229\QQ\WinTemp\RichOle\030%UR9BYU3GM772(UBEC80.png"/>
                    <pic:cNvPicPr>
                      <a:picLocks noChangeAspect="1" noChangeArrowheads="1"/>
                    </pic:cNvPicPr>
                  </pic:nvPicPr>
                  <pic:blipFill>
                    <a:blip r:embed="rId19" r:link="rId20" cstate="print"/>
                    <a:srcRect/>
                    <a:stretch>
                      <a:fillRect/>
                    </a:stretch>
                  </pic:blipFill>
                  <pic:spPr>
                    <a:xfrm>
                      <a:off x="0" y="0"/>
                      <a:ext cx="515788" cy="517585"/>
                    </a:xfrm>
                    <a:prstGeom prst="rect">
                      <a:avLst/>
                    </a:prstGeom>
                    <a:noFill/>
                    <a:ln w="19050">
                      <a:noFill/>
                    </a:ln>
                  </pic:spPr>
                </pic:pic>
              </a:graphicData>
            </a:graphic>
          </wp:anchor>
        </w:drawing>
      </w:r>
      <w:r>
        <w:rPr>
          <w:rFonts w:hint="eastAsia" w:hAnsi="黑体" w:eastAsia="黑体"/>
        </w:rPr>
        <w:drawing>
          <wp:anchor distT="0" distB="0" distL="114300" distR="114300" simplePos="0" relativeHeight="251659264" behindDoc="0" locked="0" layoutInCell="1" allowOverlap="1">
            <wp:simplePos x="0" y="0"/>
            <wp:positionH relativeFrom="column">
              <wp:posOffset>14605</wp:posOffset>
            </wp:positionH>
            <wp:positionV relativeFrom="paragraph">
              <wp:posOffset>137795</wp:posOffset>
            </wp:positionV>
            <wp:extent cx="5277485" cy="3148330"/>
            <wp:effectExtent l="19050" t="19050" r="18331" b="13658"/>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srcRect/>
                    <a:stretch>
                      <a:fillRect/>
                    </a:stretch>
                  </pic:blipFill>
                  <pic:spPr>
                    <a:xfrm>
                      <a:off x="0" y="0"/>
                      <a:ext cx="5277569" cy="3148642"/>
                    </a:xfrm>
                    <a:prstGeom prst="rect">
                      <a:avLst/>
                    </a:prstGeom>
                    <a:noFill/>
                    <a:ln w="12700">
                      <a:solidFill>
                        <a:schemeClr val="tx1"/>
                      </a:solidFill>
                      <a:miter lim="800000"/>
                      <a:headEnd/>
                      <a:tailEnd/>
                    </a:ln>
                  </pic:spPr>
                </pic:pic>
              </a:graphicData>
            </a:graphic>
          </wp:anchor>
        </w:drawing>
      </w:r>
    </w:p>
    <w:p>
      <w:pPr>
        <w:ind w:firstLine="480"/>
        <w:jc w:val="center"/>
        <w:rPr>
          <w:rFonts w:hAnsi="黑体" w:eastAsia="黑体"/>
        </w:rPr>
      </w:pPr>
    </w:p>
    <w:p>
      <w:pPr>
        <w:ind w:firstLine="480"/>
        <w:jc w:val="center"/>
        <w:rPr>
          <w:rFonts w:hAnsi="黑体" w:eastAsia="黑体"/>
        </w:rPr>
      </w:pPr>
    </w:p>
    <w:p>
      <w:pPr>
        <w:ind w:firstLine="480"/>
        <w:jc w:val="center"/>
        <w:rPr>
          <w:rFonts w:hAnsi="黑体" w:eastAsia="黑体"/>
        </w:rPr>
      </w:pPr>
      <w:r>
        <w:rPr>
          <w:rFonts w:hAnsi="黑体" w:eastAsia="黑体"/>
        </w:rPr>
        <w:pict>
          <v:rect id="_x0000_s1661" o:spid="_x0000_s1661" o:spt="1" style="position:absolute;left:0pt;margin-left:145.3pt;margin-top:11.35pt;height:39.4pt;width:95.1pt;z-index:251661312;mso-width-relative:page;mso-height-relative:page;" filled="f" stroked="f" coordsize="21600,21600">
            <v:path/>
            <v:fill on="f" focussize="0,0"/>
            <v:stroke on="f"/>
            <v:imagedata o:title=""/>
            <o:lock v:ext="edit"/>
            <v:textbox>
              <w:txbxContent>
                <w:p>
                  <w:pPr>
                    <w:spacing w:line="240" w:lineRule="atLeast"/>
                    <w:ind w:firstLine="0" w:firstLineChars="0"/>
                    <w:jc w:val="center"/>
                    <w:rPr>
                      <w:rFonts w:ascii="黑体" w:hAnsi="黑体" w:eastAsia="黑体"/>
                      <w:color w:val="FF0000"/>
                      <w:sz w:val="21"/>
                      <w:szCs w:val="21"/>
                      <w:shd w:val="pct10" w:color="auto" w:fill="FFFFFF"/>
                    </w:rPr>
                  </w:pPr>
                  <w:r>
                    <w:rPr>
                      <w:rFonts w:ascii="黑体" w:hAnsi="黑体" w:eastAsia="黑体"/>
                      <w:color w:val="FF0000"/>
                      <w:sz w:val="21"/>
                      <w:szCs w:val="21"/>
                      <w:shd w:val="pct10" w:color="auto" w:fill="FFFFFF"/>
                    </w:rPr>
                    <w:t>淮南首创水务八公山污水处理厂</w:t>
                  </w:r>
                </w:p>
              </w:txbxContent>
            </v:textbox>
          </v:rect>
        </w:pict>
      </w:r>
    </w:p>
    <w:p>
      <w:pPr>
        <w:ind w:firstLine="480"/>
        <w:jc w:val="center"/>
        <w:rPr>
          <w:rFonts w:hAnsi="黑体" w:eastAsia="黑体"/>
        </w:rPr>
      </w:pPr>
      <w:r>
        <w:rPr>
          <w:rFonts w:hAnsi="黑体" w:eastAsia="黑体"/>
        </w:rPr>
        <w:pict>
          <v:rect id="_x0000_s1663" o:spid="_x0000_s1663" o:spt="1" style="position:absolute;left:0pt;margin-left:244.25pt;margin-top:15.65pt;height:55.75pt;width:95.1pt;z-index:251663360;mso-width-relative:page;mso-height-relative:page;" filled="f" stroked="f" coordsize="21600,21600">
            <v:path/>
            <v:fill on="f" focussize="0,0"/>
            <v:stroke on="f"/>
            <v:imagedata o:title=""/>
            <o:lock v:ext="edit"/>
            <v:textbox>
              <w:txbxContent>
                <w:p>
                  <w:pPr>
                    <w:spacing w:line="240" w:lineRule="atLeast"/>
                    <w:ind w:firstLine="0" w:firstLineChars="0"/>
                    <w:jc w:val="center"/>
                    <w:rPr>
                      <w:rFonts w:ascii="黑体" w:hAnsi="黑体" w:eastAsia="黑体"/>
                      <w:color w:val="FF0000"/>
                      <w:sz w:val="21"/>
                      <w:szCs w:val="21"/>
                      <w:shd w:val="pct10" w:color="auto" w:fill="FFFFFF"/>
                    </w:rPr>
                  </w:pPr>
                  <w:r>
                    <w:rPr>
                      <w:rFonts w:ascii="黑体" w:hAnsi="黑体" w:eastAsia="黑体"/>
                      <w:color w:val="FF0000"/>
                      <w:sz w:val="21"/>
                      <w:szCs w:val="21"/>
                      <w:shd w:val="pct10" w:color="auto" w:fill="FFFFFF"/>
                    </w:rPr>
                    <w:t>淮南矿业集团发电有限责任公司新庄孜电厂</w:t>
                  </w:r>
                </w:p>
              </w:txbxContent>
            </v:textbox>
          </v:rect>
        </w:pict>
      </w:r>
    </w:p>
    <w:p>
      <w:pPr>
        <w:ind w:firstLine="480"/>
        <w:jc w:val="center"/>
        <w:rPr>
          <w:rFonts w:hAnsi="黑体" w:eastAsia="黑体"/>
        </w:rPr>
      </w:pPr>
    </w:p>
    <w:p>
      <w:pPr>
        <w:ind w:firstLine="480"/>
        <w:jc w:val="center"/>
        <w:rPr>
          <w:rFonts w:hAnsi="黑体" w:eastAsia="黑体"/>
        </w:rPr>
      </w:pPr>
    </w:p>
    <w:p>
      <w:pPr>
        <w:ind w:firstLine="480"/>
        <w:jc w:val="center"/>
        <w:rPr>
          <w:rFonts w:hAnsi="黑体" w:eastAsia="黑体"/>
        </w:rPr>
      </w:pPr>
      <w:r>
        <w:rPr>
          <w:rFonts w:hAnsi="黑体" w:eastAsia="黑体"/>
        </w:rPr>
        <w:pict>
          <v:rect id="_x0000_s1662" o:spid="_x0000_s1662" o:spt="1" style="position:absolute;left:0pt;margin-left:77.85pt;margin-top:23.8pt;height:39.4pt;width:84.9pt;z-index:251662336;mso-width-relative:page;mso-height-relative:page;" filled="f" stroked="f" coordsize="21600,21600">
            <v:path/>
            <v:fill on="f" focussize="0,0"/>
            <v:stroke on="f"/>
            <v:imagedata o:title=""/>
            <o:lock v:ext="edit"/>
            <v:textbox>
              <w:txbxContent>
                <w:p>
                  <w:pPr>
                    <w:spacing w:line="240" w:lineRule="atLeast"/>
                    <w:ind w:firstLine="0" w:firstLineChars="0"/>
                    <w:jc w:val="center"/>
                  </w:pPr>
                  <w:r>
                    <w:rPr>
                      <w:rFonts w:ascii="黑体" w:hAnsi="黑体" w:eastAsia="黑体"/>
                      <w:color w:val="FF0000"/>
                      <w:sz w:val="21"/>
                      <w:szCs w:val="21"/>
                      <w:shd w:val="pct10" w:color="auto" w:fill="FFFFFF"/>
                    </w:rPr>
                    <w:t>淮南舜泰化工有限责任公司</w:t>
                  </w:r>
                </w:p>
              </w:txbxContent>
            </v:textbox>
          </v:rect>
        </w:pict>
      </w:r>
    </w:p>
    <w:p>
      <w:pPr>
        <w:ind w:firstLine="480"/>
        <w:jc w:val="center"/>
        <w:rPr>
          <w:rFonts w:hAnsi="黑体" w:eastAsia="黑体"/>
        </w:rPr>
      </w:pPr>
      <w:r>
        <w:rPr>
          <w:rFonts w:hAnsi="黑体" w:eastAsia="黑体"/>
        </w:rPr>
        <w:pict>
          <v:rect id="_x0000_s1664" o:spid="_x0000_s1664" o:spt="1" style="position:absolute;left:0pt;margin-left:223pt;margin-top:11.5pt;height:39.4pt;width:84.9pt;z-index:251664384;mso-width-relative:page;mso-height-relative:page;" filled="f" stroked="f" coordsize="21600,21600">
            <v:path/>
            <v:fill on="f" focussize="0,0"/>
            <v:stroke on="f"/>
            <v:imagedata o:title=""/>
            <o:lock v:ext="edit"/>
            <v:textbox>
              <w:txbxContent>
                <w:p>
                  <w:pPr>
                    <w:spacing w:line="240" w:lineRule="atLeast"/>
                    <w:ind w:firstLine="0" w:firstLineChars="0"/>
                    <w:jc w:val="center"/>
                  </w:pPr>
                  <w:r>
                    <w:rPr>
                      <w:rFonts w:ascii="黑体" w:hAnsi="黑体" w:eastAsia="黑体"/>
                      <w:color w:val="FF0000"/>
                      <w:sz w:val="21"/>
                      <w:szCs w:val="21"/>
                      <w:shd w:val="pct10" w:color="auto" w:fill="FFFFFF"/>
                    </w:rPr>
                    <w:t>淮南舜岳水泥有限责任公司</w:t>
                  </w:r>
                </w:p>
              </w:txbxContent>
            </v:textbox>
          </v:rect>
        </w:pict>
      </w:r>
    </w:p>
    <w:p>
      <w:pPr>
        <w:ind w:firstLine="480"/>
        <w:jc w:val="center"/>
        <w:rPr>
          <w:rFonts w:hAnsi="黑体" w:eastAsia="黑体"/>
        </w:rPr>
      </w:pPr>
    </w:p>
    <w:p>
      <w:pPr>
        <w:ind w:firstLine="480"/>
        <w:jc w:val="center"/>
        <w:rPr>
          <w:rFonts w:hAnsi="黑体" w:eastAsia="黑体"/>
        </w:rPr>
      </w:pPr>
    </w:p>
    <w:p>
      <w:pPr>
        <w:ind w:firstLine="480"/>
        <w:jc w:val="center"/>
        <w:rPr>
          <w:rFonts w:eastAsia="黑体"/>
        </w:rPr>
      </w:pPr>
      <w:r>
        <w:rPr>
          <w:rFonts w:hAnsi="黑体" w:eastAsia="黑体"/>
        </w:rPr>
        <w:t>图</w:t>
      </w:r>
      <w:r>
        <w:rPr>
          <w:rFonts w:eastAsia="黑体"/>
        </w:rPr>
        <w:t xml:space="preserve">2.3-1  </w:t>
      </w:r>
      <w:r>
        <w:rPr>
          <w:rFonts w:hAnsi="黑体" w:eastAsia="黑体"/>
        </w:rPr>
        <w:t>八公山区内较大及以上风险企业</w:t>
      </w:r>
      <w:r>
        <w:rPr>
          <w:rFonts w:hint="eastAsia" w:hAnsi="黑体" w:eastAsia="黑体"/>
        </w:rPr>
        <w:t>位置分布</w:t>
      </w:r>
      <w:r>
        <w:rPr>
          <w:rFonts w:hAnsi="黑体" w:eastAsia="黑体"/>
        </w:rPr>
        <w:t>图</w:t>
      </w:r>
    </w:p>
    <w:p>
      <w:pPr>
        <w:pStyle w:val="3"/>
      </w:pPr>
      <w:bookmarkStart w:id="16" w:name="_Toc115418765"/>
      <w:r>
        <w:t>2.</w:t>
      </w:r>
      <w:r>
        <w:rPr>
          <w:rFonts w:hint="eastAsia"/>
        </w:rPr>
        <w:t>4 区内其他相关应急预案</w:t>
      </w:r>
      <w:bookmarkEnd w:id="16"/>
    </w:p>
    <w:p>
      <w:pPr>
        <w:ind w:firstLine="480"/>
      </w:pPr>
      <w:r>
        <w:rPr>
          <w:rFonts w:hint="eastAsia"/>
        </w:rPr>
        <w:t>（1）《八公山区突发事件总体应急预案》相关情况</w:t>
      </w:r>
    </w:p>
    <w:p>
      <w:pPr>
        <w:ind w:firstLine="480"/>
      </w:pPr>
      <w:r>
        <w:rPr>
          <w:rFonts w:hint="eastAsia"/>
        </w:rPr>
        <w:t>发布时间：《八公山区突发事件总体应急预案》于2021年5月19日发布。</w:t>
      </w:r>
    </w:p>
    <w:p>
      <w:pPr>
        <w:ind w:firstLine="480"/>
      </w:pPr>
      <w:r>
        <w:rPr>
          <w:rFonts w:hint="eastAsia"/>
        </w:rPr>
        <w:t>适用范围：该预案是八公山区应对各类突发事件的总纲，指导全区突发事件风险防控、应急准备、监测与预警、应急处置与救援以及恢复与重建等工作。</w:t>
      </w:r>
    </w:p>
    <w:p>
      <w:pPr>
        <w:ind w:firstLine="480"/>
      </w:pPr>
      <w:r>
        <w:rPr>
          <w:rFonts w:hint="eastAsia"/>
        </w:rPr>
        <w:t>领导机构：在区委统一领导下，区人民政府是全区突发事件应急管理工作的行政领导机关。在区长领导下，区人民政府对突发事件应急管理工作进行研究、决策和部署。</w:t>
      </w:r>
    </w:p>
    <w:p>
      <w:pPr>
        <w:ind w:firstLine="480"/>
      </w:pPr>
      <w:r>
        <w:rPr>
          <w:rFonts w:hint="eastAsia"/>
        </w:rPr>
        <w:t>（2）《八公山区生产安全事故应急预案》相关情况</w:t>
      </w:r>
    </w:p>
    <w:p>
      <w:pPr>
        <w:ind w:firstLine="480"/>
      </w:pPr>
      <w:r>
        <w:rPr>
          <w:rFonts w:hint="eastAsia"/>
        </w:rPr>
        <w:t>发布时间：《八公山区生产安全事故应急预案》于2022年2月8日发布。</w:t>
      </w:r>
    </w:p>
    <w:p>
      <w:pPr>
        <w:ind w:firstLine="480"/>
      </w:pPr>
      <w:r>
        <w:rPr>
          <w:rFonts w:hint="eastAsia"/>
        </w:rPr>
        <w:t>适用范围：该预案是八公山区行政区域内生产安全事故（含生产安全涉险事故）应急工作。区有关专项应急预案对相关行业领域生产安全事故应急工作另有规定的，从其规定。</w:t>
      </w:r>
    </w:p>
    <w:p>
      <w:pPr>
        <w:ind w:firstLine="480"/>
      </w:pPr>
      <w:r>
        <w:rPr>
          <w:rFonts w:hint="eastAsia"/>
        </w:rPr>
        <w:t>领导机构：在区委统一领导下，区人民政府是全区生产安全事故应急工作的行政领导机关。在区长领导下，区人民政府对一般、较大、重大、特别重大生产安全事故应急工作进行研究、决策和部署。</w:t>
      </w:r>
    </w:p>
    <w:p>
      <w:pPr>
        <w:ind w:firstLine="480"/>
        <w:sectPr>
          <w:footerReference r:id="rId9" w:type="first"/>
          <w:pgSz w:w="11906" w:h="16838"/>
          <w:pgMar w:top="1440" w:right="1800" w:bottom="1440" w:left="1800" w:header="720" w:footer="720" w:gutter="0"/>
          <w:cols w:space="720" w:num="1"/>
          <w:titlePg/>
          <w:docGrid w:type="lines" w:linePitch="326" w:charSpace="0"/>
        </w:sectPr>
      </w:pPr>
    </w:p>
    <w:p>
      <w:pPr>
        <w:pStyle w:val="2"/>
      </w:pPr>
      <w:bookmarkStart w:id="17" w:name="_Toc115418766"/>
      <w:r>
        <w:rPr>
          <w:rFonts w:hint="eastAsia"/>
        </w:rPr>
        <w:t>3</w:t>
      </w:r>
      <w:bookmarkEnd w:id="12"/>
      <w:r>
        <w:rPr>
          <w:rFonts w:hint="eastAsia"/>
        </w:rPr>
        <w:t>组织指挥</w:t>
      </w:r>
      <w:r>
        <w:t>体系</w:t>
      </w:r>
      <w:bookmarkEnd w:id="17"/>
    </w:p>
    <w:p>
      <w:pPr>
        <w:pStyle w:val="3"/>
      </w:pPr>
      <w:bookmarkStart w:id="18" w:name="_Toc54945196"/>
      <w:bookmarkStart w:id="19" w:name="_Toc115418767"/>
      <w:r>
        <w:rPr>
          <w:rFonts w:hint="eastAsia"/>
        </w:rPr>
        <w:t>3</w:t>
      </w:r>
      <w:r>
        <w:t xml:space="preserve">.1 </w:t>
      </w:r>
      <w:bookmarkEnd w:id="18"/>
      <w:r>
        <w:t>领导机构</w:t>
      </w:r>
      <w:bookmarkEnd w:id="19"/>
    </w:p>
    <w:p>
      <w:pPr>
        <w:ind w:firstLine="480"/>
        <w:rPr>
          <w:kern w:val="0"/>
        </w:rPr>
      </w:pPr>
      <w:r>
        <w:rPr>
          <w:rFonts w:hint="eastAsia"/>
          <w:kern w:val="0"/>
        </w:rPr>
        <w:t>在区委统一领导下，区人民政府是全区突发环境事件应对工作的最高行政领导机关。在区长领导下，区政府对较大及以上突发环境事件应对工作进行研究、决策和部署。</w:t>
      </w:r>
    </w:p>
    <w:p>
      <w:pPr>
        <w:pStyle w:val="3"/>
      </w:pPr>
      <w:bookmarkStart w:id="20" w:name="_Toc115418768"/>
      <w:r>
        <w:rPr>
          <w:rFonts w:hint="eastAsia"/>
        </w:rPr>
        <w:t>3.2 区突发环境事件应急指挥部</w:t>
      </w:r>
      <w:bookmarkEnd w:id="20"/>
    </w:p>
    <w:p>
      <w:pPr>
        <w:ind w:firstLine="480"/>
      </w:pPr>
      <w:r>
        <w:rPr>
          <w:kern w:val="0"/>
        </w:rPr>
        <w:t>淮南市八公山区突发环境应急指挥部</w:t>
      </w:r>
      <w:r>
        <w:rPr>
          <w:rFonts w:hint="eastAsia"/>
          <w:kern w:val="0"/>
        </w:rPr>
        <w:t>（以下简称指挥部），统一领导淮南市八公山区突发环境事件应对工作。指挥部包括总指挥、副总指挥和指挥部成员。指挥部成员直接领导各下属应急专业救援队，并向总指挥汇报，由总指挥协调各队工作的进行。</w:t>
      </w:r>
    </w:p>
    <w:p>
      <w:pPr>
        <w:ind w:firstLine="480"/>
      </w:pPr>
      <w:r>
        <w:rPr>
          <w:rFonts w:hint="eastAsia"/>
        </w:rPr>
        <w:t>指挥部具体组成如下：</w:t>
      </w:r>
    </w:p>
    <w:p>
      <w:pPr>
        <w:ind w:firstLine="480"/>
      </w:pPr>
      <w:r>
        <w:rPr>
          <w:rFonts w:hint="eastAsia"/>
        </w:rPr>
        <w:t>（1）总指挥：八公山区人民政府分管副区长。</w:t>
      </w:r>
    </w:p>
    <w:p>
      <w:pPr>
        <w:ind w:firstLine="480"/>
      </w:pPr>
      <w:r>
        <w:rPr>
          <w:rFonts w:hint="eastAsia"/>
        </w:rPr>
        <w:t>（2）副总指挥：区政府办主任、八公山区生态环境分局局长。</w:t>
      </w:r>
    </w:p>
    <w:p>
      <w:pPr>
        <w:ind w:firstLine="480"/>
      </w:pPr>
      <w:r>
        <w:rPr>
          <w:rFonts w:hint="eastAsia"/>
        </w:rPr>
        <w:t>（3）指挥部成员：区生态环境分局、区委宣传部、区发展和改革委员会、区科技经济信息化局、八公山公安分局、八公山交警大队、区民政局、区财政局、八公山自然资源和规划分局、区住房与城乡建设局、八公山公路运输管理所、淮南市交通执法四大队、八公山区地方海事处、区农业农村水利局、区卫生健康委员会、区应急管理局、区市场监督管理局、区文化旅游局、八公山粮食和物资储备分局、八公山消防救援大队等单位负责同志。</w:t>
      </w:r>
    </w:p>
    <w:p>
      <w:pPr>
        <w:ind w:firstLine="480"/>
      </w:pPr>
      <w:r>
        <w:rPr>
          <w:rFonts w:hint="eastAsia"/>
        </w:rPr>
        <w:t>区突发环境事件应急指挥部成员单位职责如下：</w:t>
      </w:r>
    </w:p>
    <w:p>
      <w:pPr>
        <w:ind w:firstLine="480"/>
        <w:rPr>
          <w:szCs w:val="20"/>
        </w:rPr>
      </w:pPr>
      <w:r>
        <w:rPr>
          <w:rFonts w:hint="eastAsia" w:hAnsi="宋体"/>
          <w:bCs/>
          <w:kern w:val="0"/>
        </w:rPr>
        <w:t>（1）</w:t>
      </w:r>
      <w:r>
        <w:rPr>
          <w:rFonts w:hAnsi="宋体"/>
          <w:bCs/>
          <w:kern w:val="0"/>
        </w:rPr>
        <w:t>区生态环境分局：</w:t>
      </w:r>
      <w:r>
        <w:rPr>
          <w:szCs w:val="20"/>
        </w:rPr>
        <w:t>负责全</w:t>
      </w:r>
      <w:r>
        <w:rPr>
          <w:rFonts w:hint="eastAsia"/>
          <w:szCs w:val="20"/>
        </w:rPr>
        <w:t>区</w:t>
      </w:r>
      <w:r>
        <w:rPr>
          <w:szCs w:val="20"/>
        </w:rPr>
        <w:t>突发环境事件预防、监测预警体系和应急准备能力建设；负责提出突发环境事件污染控制、消除处置建议；会同有关部门做好突发环境事件信息发布和调查处理等工作</w:t>
      </w:r>
      <w:r>
        <w:rPr>
          <w:rFonts w:hint="eastAsia"/>
          <w:szCs w:val="20"/>
        </w:rPr>
        <w:t>。</w:t>
      </w:r>
    </w:p>
    <w:p>
      <w:pPr>
        <w:ind w:firstLine="480"/>
        <w:rPr>
          <w:szCs w:val="20"/>
        </w:rPr>
      </w:pPr>
      <w:r>
        <w:rPr>
          <w:rFonts w:hint="eastAsia"/>
          <w:szCs w:val="20"/>
        </w:rPr>
        <w:t>（2）区委宣传部：负责协调新闻媒体，做好突发环境事件新闻报道、信息发布和舆论引导工作。</w:t>
      </w:r>
    </w:p>
    <w:p>
      <w:pPr>
        <w:ind w:firstLine="480"/>
        <w:rPr>
          <w:szCs w:val="20"/>
        </w:rPr>
      </w:pPr>
      <w:r>
        <w:rPr>
          <w:rFonts w:hint="eastAsia"/>
          <w:szCs w:val="20"/>
        </w:rPr>
        <w:t>（3）</w:t>
      </w:r>
      <w:r>
        <w:rPr>
          <w:rFonts w:hint="eastAsia"/>
          <w:bCs/>
          <w:kern w:val="0"/>
        </w:rPr>
        <w:t>区</w:t>
      </w:r>
      <w:r>
        <w:rPr>
          <w:rFonts w:hint="eastAsia"/>
        </w:rPr>
        <w:t>发展和改革委员会：</w:t>
      </w:r>
      <w:r>
        <w:rPr>
          <w:rFonts w:hint="eastAsia"/>
          <w:szCs w:val="20"/>
        </w:rPr>
        <w:t>负责将突发环境事件应急体系建设纳入国民经济</w:t>
      </w:r>
      <w:r>
        <w:rPr>
          <w:szCs w:val="20"/>
        </w:rPr>
        <w:t>和社会发展规划，参与突发环境事件善后恢复重建工作。</w:t>
      </w:r>
    </w:p>
    <w:p>
      <w:pPr>
        <w:ind w:firstLine="480"/>
        <w:rPr>
          <w:bCs/>
          <w:kern w:val="0"/>
        </w:rPr>
      </w:pPr>
      <w:r>
        <w:rPr>
          <w:rFonts w:hint="eastAsia"/>
          <w:bCs/>
          <w:kern w:val="0"/>
        </w:rPr>
        <w:t>（4）</w:t>
      </w:r>
      <w:r>
        <w:rPr>
          <w:rFonts w:hint="eastAsia"/>
          <w:szCs w:val="20"/>
        </w:rPr>
        <w:t>区科技经济信息化局：负责应急状态下，按程序动用区级医药储备，并做好应急物资的生产调度、综合协调工作。</w:t>
      </w:r>
    </w:p>
    <w:p>
      <w:pPr>
        <w:ind w:firstLine="480"/>
        <w:rPr>
          <w:szCs w:val="20"/>
        </w:rPr>
      </w:pPr>
      <w:r>
        <w:rPr>
          <w:rFonts w:hint="eastAsia"/>
          <w:szCs w:val="20"/>
        </w:rPr>
        <w:t>（5）</w:t>
      </w:r>
      <w:r>
        <w:rPr>
          <w:rFonts w:hint="eastAsia"/>
        </w:rPr>
        <w:t>八公山公安分局、八公山交警大队：负责突发环境事件的抢险救援，落实应急处置的治安、保卫、消防、交通管制和其他措施；负责涉嫌污染环境犯罪案件的侦查；负责危险化学品运输车辆的道路交通安全管理；负责对丢失、被盗放射源的立案侦查，协助生态环境部门开展放射源收贮工作。</w:t>
      </w:r>
    </w:p>
    <w:p>
      <w:pPr>
        <w:ind w:firstLine="480"/>
      </w:pPr>
      <w:r>
        <w:rPr>
          <w:rFonts w:hint="eastAsia"/>
        </w:rPr>
        <w:t>（6）区民政局：负责督促指导各地及时将符合临时救助或最低生活保障条件的受影响群众，按规定纳入保障范围。</w:t>
      </w:r>
    </w:p>
    <w:p>
      <w:pPr>
        <w:ind w:firstLine="480"/>
      </w:pPr>
      <w:r>
        <w:rPr>
          <w:rFonts w:hint="eastAsia"/>
        </w:rPr>
        <w:t>（7）区财政局：</w:t>
      </w:r>
      <w:r>
        <w:rPr>
          <w:rFonts w:hint="eastAsia"/>
          <w:szCs w:val="20"/>
        </w:rPr>
        <w:t>负责环境应急能力建设和环境应急处置经费保障及管理工作。</w:t>
      </w:r>
    </w:p>
    <w:p>
      <w:pPr>
        <w:ind w:firstLine="480"/>
        <w:rPr>
          <w:bCs/>
          <w:kern w:val="0"/>
        </w:rPr>
      </w:pPr>
      <w:r>
        <w:rPr>
          <w:rFonts w:hint="eastAsia"/>
          <w:bCs/>
          <w:kern w:val="0"/>
        </w:rPr>
        <w:t>（8）</w:t>
      </w:r>
      <w:r>
        <w:rPr>
          <w:rFonts w:hAnsi="宋体"/>
        </w:rPr>
        <w:t>八公山自然资源和规划分局：参与因地质灾害或矿产资源开发等造成的突发环境事件的应急处置和调查处理工作。</w:t>
      </w:r>
    </w:p>
    <w:p>
      <w:pPr>
        <w:ind w:firstLine="480"/>
        <w:rPr>
          <w:rFonts w:hAnsi="宋体"/>
        </w:rPr>
      </w:pPr>
      <w:r>
        <w:rPr>
          <w:rFonts w:hint="eastAsia"/>
        </w:rPr>
        <w:t>（9）</w:t>
      </w:r>
      <w:r>
        <w:rPr>
          <w:rFonts w:hint="eastAsia" w:hAnsi="宋体"/>
        </w:rPr>
        <w:t>区住房与城乡建设局：参与突发环境事件应急救援处置，负责监督和指导饮用水供水安全保障工作。</w:t>
      </w:r>
    </w:p>
    <w:p>
      <w:pPr>
        <w:ind w:firstLine="480"/>
        <w:rPr>
          <w:rFonts w:hAnsi="宋体"/>
        </w:rPr>
      </w:pPr>
      <w:r>
        <w:rPr>
          <w:rFonts w:hint="eastAsia" w:hAnsi="宋体"/>
        </w:rPr>
        <w:t>（10）八公山公路运输管理所、淮南市交通执法四大队、八公山区地方海事处：负责参与因道路交通事故引发的突发环境事件应急处置；负责应急救援物资和生活安置物资的运输保障；负责危险化学品道路运输、水路运输的许可以及运输工具的安全监管，对危险化学品水路运输安全实施监督；负责危险化学品道路运输企业、水路运输企业相关人员的资格认定。</w:t>
      </w:r>
    </w:p>
    <w:p>
      <w:pPr>
        <w:ind w:firstLine="480"/>
      </w:pPr>
      <w:r>
        <w:rPr>
          <w:rFonts w:hint="eastAsia" w:hAnsi="宋体"/>
        </w:rPr>
        <w:t>（11）</w:t>
      </w:r>
      <w:r>
        <w:rPr>
          <w:rFonts w:hint="eastAsia"/>
        </w:rPr>
        <w:t>区农业农村水利局：参与农业环境污染事件的应急处置，会同相关部门对特别重大和重大突发环境事件造成的农业、渔业损失进行调查与评估；负责发布水文水资源信息，参与江河湖库水体污染突发环境事件应急处置，做好重要江河湖库水利工程应急调度；会同区生态环境分局牵头组织制定受污染水体疏导或截流方案，配合做好突发水污染事件的调查和应急处置工作。</w:t>
      </w:r>
    </w:p>
    <w:p>
      <w:pPr>
        <w:ind w:firstLine="480"/>
      </w:pPr>
      <w:r>
        <w:rPr>
          <w:rFonts w:hint="eastAsia"/>
        </w:rPr>
        <w:t>（12）区卫生健康委员会：</w:t>
      </w:r>
      <w:r>
        <w:rPr>
          <w:rFonts w:hint="eastAsia"/>
          <w:szCs w:val="20"/>
        </w:rPr>
        <w:t>负责组织突发环境事件的紧急医学救援工作，并及时为企事业单位开展突发环境事件应急医学救援提供技术指导和支持；负责牵头组织评估突发环境事件所导致健康危害的性质及其影响人数和范围；根据实际需要，牵头组织专业人员开展心理疏导和心理危机干预工作，消除民众焦虑、恐慌等负面情绪。</w:t>
      </w:r>
    </w:p>
    <w:p>
      <w:pPr>
        <w:ind w:firstLine="480"/>
        <w:rPr>
          <w:szCs w:val="20"/>
        </w:rPr>
      </w:pPr>
      <w:r>
        <w:rPr>
          <w:rFonts w:hint="eastAsia"/>
        </w:rPr>
        <w:t>（13）</w:t>
      </w:r>
      <w:r>
        <w:rPr>
          <w:rFonts w:hint="eastAsia" w:hAnsi="宋体"/>
          <w:bCs/>
          <w:kern w:val="0"/>
        </w:rPr>
        <w:t>区应急管理局：</w:t>
      </w:r>
      <w:r>
        <w:rPr>
          <w:rFonts w:hint="eastAsia"/>
          <w:szCs w:val="20"/>
        </w:rPr>
        <w:t>参与发布地质灾害预警醒点和灾情信息通报工作，参与指导生产安全事故、自然灾害等次生突发环境事件的应急处置工作。组织协调消防工作，指导应急处置相关火灾预防、火灾扑救等工作。会同事发地组织机构做好受突发环境事件影响人员的紧急转移和临时安置，做好转移安置人员的基本生活救助工作。</w:t>
      </w:r>
    </w:p>
    <w:p>
      <w:pPr>
        <w:ind w:firstLine="480"/>
        <w:rPr>
          <w:szCs w:val="20"/>
        </w:rPr>
      </w:pPr>
      <w:r>
        <w:rPr>
          <w:rFonts w:hint="eastAsia" w:hAnsi="宋体"/>
          <w:bCs/>
          <w:kern w:val="0"/>
        </w:rPr>
        <w:t>（14）</w:t>
      </w:r>
      <w:r>
        <w:rPr>
          <w:rFonts w:hint="eastAsia"/>
        </w:rPr>
        <w:t>区市场监督管理局：</w:t>
      </w:r>
      <w:r>
        <w:rPr>
          <w:rFonts w:hint="eastAsia"/>
          <w:szCs w:val="20"/>
        </w:rPr>
        <w:t>负责组织相关部门对突发环境事件影响区域内的食品安全进行监督和管理；对突发环境事件应对相关药品、医疗器械的生产、流通、使用情况进行监督和管理。</w:t>
      </w:r>
    </w:p>
    <w:p>
      <w:pPr>
        <w:ind w:firstLine="480"/>
        <w:rPr>
          <w:szCs w:val="20"/>
        </w:rPr>
      </w:pPr>
      <w:r>
        <w:rPr>
          <w:rFonts w:hint="eastAsia"/>
          <w:bCs/>
          <w:kern w:val="0"/>
        </w:rPr>
        <w:t>（15）</w:t>
      </w:r>
      <w:r>
        <w:rPr>
          <w:rFonts w:hint="eastAsia"/>
        </w:rPr>
        <w:t>区文化旅游局：</w:t>
      </w:r>
      <w:r>
        <w:rPr>
          <w:rFonts w:hint="eastAsia"/>
          <w:szCs w:val="20"/>
        </w:rPr>
        <w:t>负责指导协调各级广播电视台做好突发环境事件处置信息发布及有关应对工作的宣传报道。</w:t>
      </w:r>
    </w:p>
    <w:p>
      <w:pPr>
        <w:ind w:firstLine="480"/>
        <w:rPr>
          <w:szCs w:val="20"/>
        </w:rPr>
      </w:pPr>
      <w:r>
        <w:rPr>
          <w:rFonts w:hint="eastAsia"/>
          <w:szCs w:val="20"/>
        </w:rPr>
        <w:t>（16）八公山粮食和物资储备分局：负责生活类救援物资的收储、轮换和日常管理工作，根据区应急管理局的动用指令按程序组织调出。</w:t>
      </w:r>
    </w:p>
    <w:p>
      <w:pPr>
        <w:ind w:firstLine="480"/>
        <w:rPr>
          <w:szCs w:val="20"/>
        </w:rPr>
      </w:pPr>
      <w:r>
        <w:rPr>
          <w:rFonts w:hint="eastAsia"/>
          <w:szCs w:val="20"/>
        </w:rPr>
        <w:t>（17）八公山消防救援大队：负责突发环境事件的抢险救援，对重金属污染和危险物品爆炸、泄露事件等进行现场灭火与泄漏控制。</w:t>
      </w:r>
    </w:p>
    <w:p>
      <w:pPr>
        <w:ind w:firstLine="480"/>
      </w:pPr>
      <w:r>
        <w:rPr>
          <w:rFonts w:hint="eastAsia"/>
        </w:rPr>
        <w:t>区人民政府根据应对工作需要，可对区指挥部领导和成员进行调整。区其他有关部门和单位，根据区指挥部统一部署，按照工作需要，认真履行各自职责。</w:t>
      </w:r>
    </w:p>
    <w:p>
      <w:pPr>
        <w:ind w:firstLine="480"/>
        <w:rPr>
          <w:kern w:val="0"/>
        </w:rPr>
      </w:pPr>
      <w:r>
        <w:rPr>
          <w:rFonts w:hint="eastAsia"/>
          <w:kern w:val="0"/>
        </w:rPr>
        <w:t>发生较大级别以上突发环境事件后，区指挥部根据需要，设立综合协调、污染处置、应急监测、医疗救治、应急保障、转移安置、新闻宣传、社会维稳、调查评估等工作组。</w:t>
      </w:r>
    </w:p>
    <w:p>
      <w:pPr>
        <w:ind w:firstLine="480"/>
        <w:rPr>
          <w:kern w:val="0"/>
        </w:rPr>
      </w:pPr>
      <w:r>
        <w:rPr>
          <w:rFonts w:hint="eastAsia"/>
          <w:kern w:val="0"/>
        </w:rPr>
        <w:t>工作组组成及职责如下：</w:t>
      </w:r>
    </w:p>
    <w:p>
      <w:pPr>
        <w:ind w:firstLine="480"/>
      </w:pPr>
      <w:r>
        <w:rPr>
          <w:rFonts w:hAnsi="宋体"/>
        </w:rPr>
        <w:t>（</w:t>
      </w:r>
      <w:r>
        <w:t>1</w:t>
      </w:r>
      <w:r>
        <w:rPr>
          <w:rFonts w:hAnsi="宋体"/>
        </w:rPr>
        <w:t>）综合协调组：由区生态环境分局牵头，区应急管理局等单位组成。</w:t>
      </w:r>
    </w:p>
    <w:p>
      <w:pPr>
        <w:ind w:firstLine="480"/>
      </w:pPr>
      <w:r>
        <w:rPr>
          <w:rFonts w:hAnsi="宋体"/>
        </w:rPr>
        <w:t>主要职责：汇总上报事件信息，贯彻区指挥部的指示和部署，协调区指挥部成员单位以及辖区做好应对处置工作，承办指挥部文电、会务及简报编辑、资料整理归档等工作。</w:t>
      </w:r>
    </w:p>
    <w:p>
      <w:pPr>
        <w:ind w:firstLine="480"/>
        <w:rPr>
          <w:rFonts w:hAnsi="宋体"/>
        </w:rPr>
      </w:pPr>
      <w:r>
        <w:rPr>
          <w:rFonts w:hAnsi="宋体"/>
        </w:rPr>
        <w:t>（</w:t>
      </w:r>
      <w:r>
        <w:t>2</w:t>
      </w:r>
      <w:r>
        <w:rPr>
          <w:rFonts w:hAnsi="宋体"/>
        </w:rPr>
        <w:t>）污染处置组：由区生态环境分局牵头，八公山公安分局、八公山交警大队、</w:t>
      </w:r>
      <w:r>
        <w:rPr>
          <w:rFonts w:hint="eastAsia" w:hAnsi="宋体"/>
        </w:rPr>
        <w:t>八公山公路运输管理所、淮南市交通执法四大队、八公山区地方海事处</w:t>
      </w:r>
      <w:r>
        <w:rPr>
          <w:rFonts w:hAnsi="宋体"/>
        </w:rPr>
        <w:t>、区农业农村水利局、区应急管理局、八公山消防救援大队等单位组成。</w:t>
      </w:r>
    </w:p>
    <w:p>
      <w:pPr>
        <w:ind w:firstLine="480"/>
      </w:pPr>
      <w:r>
        <w:rPr>
          <w:rFonts w:hAnsi="宋体"/>
        </w:rPr>
        <w:t>主要职责：进行技术研判，开展事态分析，组织污染处置；明确现场处置人员个人防护措施；组织建立现场警戒区和交通管制区域，确定重点防护区域，疏散受威胁人员。</w:t>
      </w:r>
    </w:p>
    <w:p>
      <w:pPr>
        <w:ind w:firstLine="480"/>
      </w:pPr>
      <w:r>
        <w:rPr>
          <w:rFonts w:hAnsi="宋体"/>
        </w:rPr>
        <w:t>（</w:t>
      </w:r>
      <w:r>
        <w:t>3</w:t>
      </w:r>
      <w:r>
        <w:rPr>
          <w:rFonts w:hAnsi="宋体"/>
        </w:rPr>
        <w:t>）应急监测组：由区生态环境分局牵头，区住房与城乡建设局、区农业农村水利局、八公山自然资源和规划分局等单位组成。</w:t>
      </w:r>
    </w:p>
    <w:p>
      <w:pPr>
        <w:ind w:firstLine="480"/>
      </w:pPr>
      <w:r>
        <w:rPr>
          <w:rFonts w:hAnsi="宋体"/>
        </w:rPr>
        <w:t>主要职责：负责协调确定相应的应急监测方案及监测方法；做好大气、水体、土壤等应急监测，为突发环境事件应急决策提供依据。</w:t>
      </w:r>
    </w:p>
    <w:p>
      <w:pPr>
        <w:ind w:firstLine="480"/>
      </w:pPr>
      <w:r>
        <w:rPr>
          <w:rFonts w:hAnsi="宋体"/>
        </w:rPr>
        <w:t>（</w:t>
      </w:r>
      <w:r>
        <w:t>4</w:t>
      </w:r>
      <w:r>
        <w:rPr>
          <w:rFonts w:hAnsi="宋体"/>
        </w:rPr>
        <w:t>）医疗救治组</w:t>
      </w:r>
      <w:r>
        <w:rPr>
          <w:rFonts w:hint="eastAsia" w:hAnsi="宋体"/>
        </w:rPr>
        <w:t>：</w:t>
      </w:r>
      <w:r>
        <w:rPr>
          <w:rFonts w:hAnsi="宋体"/>
        </w:rPr>
        <w:t>由区卫生健康委员会牵头，区生态环境分局、区</w:t>
      </w:r>
      <w:r>
        <w:rPr>
          <w:rFonts w:hint="eastAsia" w:hAnsi="宋体"/>
        </w:rPr>
        <w:t>市场监督</w:t>
      </w:r>
      <w:r>
        <w:rPr>
          <w:rFonts w:hAnsi="宋体"/>
        </w:rPr>
        <w:t>管理局等单位组成。</w:t>
      </w:r>
    </w:p>
    <w:p>
      <w:pPr>
        <w:ind w:firstLine="480"/>
      </w:pPr>
      <w:r>
        <w:rPr>
          <w:rFonts w:hAnsi="宋体"/>
        </w:rPr>
        <w:t>主要职责：组织开展伤病员医疗救治、应急心理援助；提出保护公众健康的措施建议；对污染处置提供应急医护保障；禁止或限制受污染食品和饮用水的生产、加工、流通和食用，</w:t>
      </w:r>
      <w:r>
        <w:rPr>
          <w:rFonts w:hint="eastAsia" w:hAnsi="宋体"/>
        </w:rPr>
        <w:t>防范</w:t>
      </w:r>
      <w:r>
        <w:rPr>
          <w:rFonts w:hAnsi="宋体"/>
        </w:rPr>
        <w:t>因突发环境事件造成集体中毒等。</w:t>
      </w:r>
    </w:p>
    <w:p>
      <w:pPr>
        <w:ind w:firstLine="480"/>
        <w:rPr>
          <w:rFonts w:hAnsi="宋体"/>
        </w:rPr>
      </w:pPr>
      <w:r>
        <w:rPr>
          <w:rFonts w:hAnsi="宋体"/>
        </w:rPr>
        <w:t>（</w:t>
      </w:r>
      <w:r>
        <w:t>5</w:t>
      </w:r>
      <w:r>
        <w:rPr>
          <w:rFonts w:hAnsi="宋体"/>
        </w:rPr>
        <w:t>）应急保障组</w:t>
      </w:r>
      <w:r>
        <w:rPr>
          <w:rFonts w:hint="eastAsia" w:hAnsi="宋体"/>
        </w:rPr>
        <w:t>：</w:t>
      </w:r>
      <w:r>
        <w:rPr>
          <w:rFonts w:hAnsi="宋体"/>
        </w:rPr>
        <w:t>由区发展和改革委员会、区科技经济信息化局、区生态环境分局牵头，区应急管理局、区财政局、八公山公路运输管理所、淮南市交通执法四大队、八公山区地方海事处、区农业农村水利局、八公山粮食和物资储备分局等单位组成。</w:t>
      </w:r>
    </w:p>
    <w:p>
      <w:pPr>
        <w:ind w:firstLine="480"/>
      </w:pPr>
      <w:r>
        <w:rPr>
          <w:rFonts w:hAnsi="宋体"/>
        </w:rPr>
        <w:t>主要职责：组织做好环境应急救援物资及临时安置重要物资的紧急生产、储备调拨和紧急配送工作。</w:t>
      </w:r>
    </w:p>
    <w:p>
      <w:pPr>
        <w:ind w:firstLine="480"/>
        <w:rPr>
          <w:rFonts w:hAnsi="宋体"/>
        </w:rPr>
      </w:pPr>
      <w:r>
        <w:rPr>
          <w:rFonts w:hAnsi="宋体"/>
        </w:rPr>
        <w:t>（</w:t>
      </w:r>
      <w:r>
        <w:t>6</w:t>
      </w:r>
      <w:r>
        <w:rPr>
          <w:rFonts w:hAnsi="宋体"/>
        </w:rPr>
        <w:t>）转移安置组</w:t>
      </w:r>
      <w:r>
        <w:rPr>
          <w:rFonts w:hint="eastAsia" w:hAnsi="宋体"/>
        </w:rPr>
        <w:t>：</w:t>
      </w:r>
      <w:r>
        <w:rPr>
          <w:rFonts w:hAnsi="宋体"/>
        </w:rPr>
        <w:t>由区</w:t>
      </w:r>
      <w:r>
        <w:rPr>
          <w:rFonts w:hint="eastAsia" w:hAnsi="宋体"/>
        </w:rPr>
        <w:t>应急管理局</w:t>
      </w:r>
      <w:r>
        <w:rPr>
          <w:rFonts w:hAnsi="宋体"/>
        </w:rPr>
        <w:t>牵头，八公山公安分局、八公山交警大队、区财政局、区民政局、区住房与城乡建设局等单位组成。</w:t>
      </w:r>
    </w:p>
    <w:p>
      <w:pPr>
        <w:ind w:firstLine="480"/>
      </w:pPr>
      <w:r>
        <w:rPr>
          <w:rFonts w:hAnsi="宋体"/>
        </w:rPr>
        <w:t>主要职责：指导做好事件影响区域有关人员的紧急转移、临时安置及组织调集群众生活必需品，做好物资发放及监管。</w:t>
      </w:r>
    </w:p>
    <w:p>
      <w:pPr>
        <w:ind w:firstLine="480"/>
      </w:pPr>
      <w:r>
        <w:rPr>
          <w:rFonts w:hAnsi="宋体"/>
        </w:rPr>
        <w:t>（</w:t>
      </w:r>
      <w:r>
        <w:t>7</w:t>
      </w:r>
      <w:r>
        <w:rPr>
          <w:rFonts w:hAnsi="宋体"/>
        </w:rPr>
        <w:t>）新闻宣传组</w:t>
      </w:r>
      <w:r>
        <w:rPr>
          <w:rFonts w:hint="eastAsia" w:hAnsi="宋体"/>
        </w:rPr>
        <w:t>：</w:t>
      </w:r>
      <w:r>
        <w:rPr>
          <w:rFonts w:hAnsi="宋体"/>
        </w:rPr>
        <w:t>由区委</w:t>
      </w:r>
      <w:r>
        <w:rPr>
          <w:rFonts w:hint="eastAsia" w:hAnsi="宋体"/>
        </w:rPr>
        <w:t>宣传部</w:t>
      </w:r>
      <w:r>
        <w:rPr>
          <w:rFonts w:hAnsi="宋体"/>
        </w:rPr>
        <w:t>牵头，区生态环境分局、区</w:t>
      </w:r>
      <w:r>
        <w:rPr>
          <w:rFonts w:hint="eastAsia" w:hAnsi="宋体"/>
        </w:rPr>
        <w:t>文化旅游局、区科技经济信息化局</w:t>
      </w:r>
      <w:r>
        <w:rPr>
          <w:rFonts w:hAnsi="宋体"/>
        </w:rPr>
        <w:t>等单位组成。</w:t>
      </w:r>
    </w:p>
    <w:p>
      <w:pPr>
        <w:ind w:firstLine="480"/>
      </w:pPr>
      <w:r>
        <w:rPr>
          <w:rFonts w:hAnsi="宋体"/>
        </w:rPr>
        <w:t>主要职责：组织开展事件进展、应急工作情况等权威信息发布，加强新闻宣传报道；收集分析舆情和社会公众动态，正确引导舆论；及时澄清不实信息，回应社会关注。</w:t>
      </w:r>
    </w:p>
    <w:p>
      <w:pPr>
        <w:ind w:firstLine="480"/>
        <w:rPr>
          <w:rFonts w:hAnsi="宋体"/>
        </w:rPr>
      </w:pPr>
      <w:r>
        <w:rPr>
          <w:rFonts w:hAnsi="宋体"/>
        </w:rPr>
        <w:t>（</w:t>
      </w:r>
      <w:r>
        <w:t>8</w:t>
      </w:r>
      <w:r>
        <w:rPr>
          <w:rFonts w:hAnsi="宋体"/>
        </w:rPr>
        <w:t>）社会维稳组</w:t>
      </w:r>
      <w:r>
        <w:rPr>
          <w:rFonts w:hint="eastAsia" w:hAnsi="宋体"/>
        </w:rPr>
        <w:t>：</w:t>
      </w:r>
      <w:r>
        <w:rPr>
          <w:rFonts w:hAnsi="宋体"/>
        </w:rPr>
        <w:t>由八公山公安分局牵头，区生态环境分局、区发展和改革委员会、区市场监督管理局等单位组成。</w:t>
      </w:r>
    </w:p>
    <w:p>
      <w:pPr>
        <w:ind w:firstLine="480"/>
      </w:pPr>
      <w:r>
        <w:rPr>
          <w:rFonts w:hAnsi="宋体"/>
        </w:rPr>
        <w:t>主要职责：负责受影响地区等重点地区社会治安管理、矛盾纠纷化解、商品的市场监管等工作。</w:t>
      </w:r>
    </w:p>
    <w:p>
      <w:pPr>
        <w:ind w:firstLine="480"/>
        <w:rPr>
          <w:rFonts w:hAnsi="宋体"/>
        </w:rPr>
      </w:pPr>
      <w:r>
        <w:rPr>
          <w:rFonts w:hAnsi="宋体"/>
        </w:rPr>
        <w:t>（</w:t>
      </w:r>
      <w:r>
        <w:t>9</w:t>
      </w:r>
      <w:r>
        <w:rPr>
          <w:rFonts w:hAnsi="宋体"/>
        </w:rPr>
        <w:t>）调查评估组</w:t>
      </w:r>
      <w:r>
        <w:rPr>
          <w:rFonts w:hint="eastAsia" w:hAnsi="宋体"/>
        </w:rPr>
        <w:t>：</w:t>
      </w:r>
      <w:r>
        <w:rPr>
          <w:rFonts w:hAnsi="宋体"/>
        </w:rPr>
        <w:t>由区生态环境分局牵头、区应急管理局、八公山公安分局、八公山交警大队、区民政局、八公山自然资源和规划分局、八公山公路运输管理所、淮南市交通执法四大队、八公山区地方海事处、区农业农村水利局、区卫生健康委员会等单位组成。</w:t>
      </w:r>
    </w:p>
    <w:p>
      <w:pPr>
        <w:ind w:firstLine="480"/>
        <w:rPr>
          <w:rFonts w:hAnsi="宋体"/>
        </w:rPr>
      </w:pPr>
      <w:r>
        <w:rPr>
          <w:rFonts w:hAnsi="宋体"/>
        </w:rPr>
        <w:t>主要职责：负责突发环境事件调查及污染损害评估工作。</w:t>
      </w:r>
    </w:p>
    <w:p>
      <w:pPr>
        <w:ind w:firstLine="480"/>
        <w:rPr>
          <w:kern w:val="0"/>
        </w:rPr>
      </w:pPr>
      <w:r>
        <w:pict>
          <v:group id="_x0000_s1630" o:spid="_x0000_s1630" o:spt="203" style="height:229.45pt;width:415.3pt;" coordorigin="2280,8619" coordsize="8306,4589" editas="canvas">
            <o:lock v:ext="edit"/>
            <v:shape id="_x0000_s1631" o:spid="_x0000_s1631" o:spt="75" type="#_x0000_t75" style="position:absolute;left:2280;top:8619;height:4589;width:8306;" filled="f" o:preferrelative="f" stroked="f" coordsize="21600,21600">
              <v:fill on="f" focussize="0,0"/>
              <v:stroke on="f" joinstyle="miter"/>
              <v:imagedata o:title=""/>
              <o:lock v:ext="edit" text="t" aspectratio="t"/>
            </v:shape>
            <v:group id="_x0000_s1632" o:spid="_x0000_s1632" o:spt="203" style="position:absolute;left:2666;top:8738;height:4308;width:7326;" coordorigin="2666,8738" coordsize="7326,4308">
              <o:lock v:ext="edit"/>
              <v:rect id="_x0000_s1633" o:spid="_x0000_s1633" o:spt="1" style="position:absolute;left:4170;top:8738;height:551;width:4207;" coordsize="21600,21600">
                <v:path/>
                <v:fill focussize="0,0"/>
                <v:stroke/>
                <v:imagedata o:title=""/>
                <o:lock v:ext="edit"/>
                <v:textbox>
                  <w:txbxContent>
                    <w:p>
                      <w:pPr>
                        <w:ind w:firstLine="0" w:firstLineChars="0"/>
                        <w:jc w:val="center"/>
                        <w:rPr>
                          <w:rFonts w:ascii="黑体" w:hAnsi="黑体" w:eastAsia="黑体"/>
                        </w:rPr>
                      </w:pPr>
                      <w:r>
                        <w:rPr>
                          <w:rFonts w:ascii="黑体" w:hAnsi="黑体" w:eastAsia="黑体"/>
                        </w:rPr>
                        <w:t>突发环境事件应急指挥部工作组</w:t>
                      </w:r>
                    </w:p>
                  </w:txbxContent>
                </v:textbox>
              </v:rect>
              <v:rect id="_x0000_s1634" o:spid="_x0000_s1634" o:spt="1" style="position:absolute;left:2666;top:10979;height:2066;width:452;" coordsize="21600,21600">
                <v:path/>
                <v:fill focussize="0,0"/>
                <v:stroke/>
                <v:imagedata o:title=""/>
                <o:lock v:ext="edit"/>
                <v:textbox>
                  <w:txbxContent>
                    <w:p>
                      <w:pPr>
                        <w:spacing w:line="240" w:lineRule="atLeast"/>
                        <w:ind w:firstLine="0" w:firstLineChars="0"/>
                        <w:jc w:val="left"/>
                        <w:rPr>
                          <w:rFonts w:ascii="黑体" w:hAnsi="黑体" w:eastAsia="黑体"/>
                        </w:rPr>
                      </w:pPr>
                      <w:r>
                        <w:rPr>
                          <w:rFonts w:ascii="黑体" w:hAnsi="黑体" w:eastAsia="黑体"/>
                        </w:rPr>
                        <w:t>综</w:t>
                      </w:r>
                    </w:p>
                    <w:p>
                      <w:pPr>
                        <w:spacing w:line="240" w:lineRule="atLeast"/>
                        <w:ind w:firstLine="0" w:firstLineChars="0"/>
                        <w:jc w:val="left"/>
                        <w:rPr>
                          <w:rFonts w:ascii="黑体" w:hAnsi="黑体" w:eastAsia="黑体"/>
                        </w:rPr>
                      </w:pPr>
                      <w:r>
                        <w:rPr>
                          <w:rFonts w:ascii="黑体" w:hAnsi="黑体" w:eastAsia="黑体"/>
                        </w:rPr>
                        <w:t>合</w:t>
                      </w:r>
                    </w:p>
                    <w:p>
                      <w:pPr>
                        <w:spacing w:line="240" w:lineRule="atLeast"/>
                        <w:ind w:firstLine="0" w:firstLineChars="0"/>
                        <w:jc w:val="left"/>
                        <w:rPr>
                          <w:rFonts w:ascii="黑体" w:hAnsi="黑体" w:eastAsia="黑体"/>
                        </w:rPr>
                      </w:pPr>
                      <w:r>
                        <w:rPr>
                          <w:rFonts w:ascii="黑体" w:hAnsi="黑体" w:eastAsia="黑体"/>
                        </w:rPr>
                        <w:t>协</w:t>
                      </w:r>
                    </w:p>
                    <w:p>
                      <w:pPr>
                        <w:spacing w:line="240" w:lineRule="atLeast"/>
                        <w:ind w:firstLine="0" w:firstLineChars="0"/>
                        <w:jc w:val="left"/>
                        <w:rPr>
                          <w:rFonts w:ascii="黑体" w:hAnsi="黑体" w:eastAsia="黑体"/>
                        </w:rPr>
                      </w:pPr>
                      <w:r>
                        <w:rPr>
                          <w:rFonts w:ascii="黑体" w:hAnsi="黑体" w:eastAsia="黑体"/>
                        </w:rPr>
                        <w:t>调</w:t>
                      </w:r>
                    </w:p>
                    <w:p>
                      <w:pPr>
                        <w:spacing w:line="240" w:lineRule="atLeast"/>
                        <w:ind w:firstLine="0" w:firstLineChars="0"/>
                        <w:jc w:val="left"/>
                        <w:rPr>
                          <w:rFonts w:ascii="黑体" w:hAnsi="黑体" w:eastAsia="黑体"/>
                        </w:rPr>
                      </w:pPr>
                      <w:r>
                        <w:rPr>
                          <w:rFonts w:ascii="黑体" w:hAnsi="黑体" w:eastAsia="黑体"/>
                        </w:rPr>
                        <w:t>组</w:t>
                      </w:r>
                    </w:p>
                  </w:txbxContent>
                </v:textbox>
              </v:rect>
              <v:rect id="_x0000_s1635" o:spid="_x0000_s1635" o:spt="1" style="position:absolute;left:8681;top:10979;height:2066;width:451;" coordsize="21600,21600">
                <v:path/>
                <v:fill focussize="0,0"/>
                <v:stroke/>
                <v:imagedata o:title=""/>
                <o:lock v:ext="edit"/>
                <v:textbox>
                  <w:txbxContent>
                    <w:p>
                      <w:pPr>
                        <w:spacing w:line="240" w:lineRule="atLeast"/>
                        <w:ind w:firstLine="0" w:firstLineChars="0"/>
                        <w:jc w:val="left"/>
                        <w:rPr>
                          <w:rFonts w:ascii="黑体" w:hAnsi="黑体" w:eastAsia="黑体"/>
                        </w:rPr>
                      </w:pPr>
                      <w:r>
                        <w:rPr>
                          <w:rFonts w:hint="eastAsia" w:ascii="黑体" w:hAnsi="黑体" w:eastAsia="黑体"/>
                        </w:rPr>
                        <w:t>社会维稳组</w:t>
                      </w:r>
                    </w:p>
                    <w:p>
                      <w:pPr>
                        <w:ind w:firstLine="480"/>
                        <w:rPr>
                          <w:rFonts w:ascii="黑体" w:hAnsi="黑体" w:eastAsia="黑体"/>
                        </w:rPr>
                      </w:pPr>
                    </w:p>
                  </w:txbxContent>
                </v:textbox>
              </v:rect>
              <v:rect id="_x0000_s1636" o:spid="_x0000_s1636" o:spt="1" style="position:absolute;left:5244;top:10979;height:2066;width:451;" coordsize="21600,21600">
                <v:path/>
                <v:fill focussize="0,0"/>
                <v:stroke/>
                <v:imagedata o:title=""/>
                <o:lock v:ext="edit"/>
                <v:textbox>
                  <w:txbxContent>
                    <w:p>
                      <w:pPr>
                        <w:spacing w:line="240" w:lineRule="atLeast"/>
                        <w:ind w:firstLine="0" w:firstLineChars="0"/>
                        <w:jc w:val="left"/>
                        <w:rPr>
                          <w:rFonts w:ascii="黑体" w:hAnsi="黑体" w:eastAsia="黑体"/>
                        </w:rPr>
                      </w:pPr>
                      <w:r>
                        <w:rPr>
                          <w:rFonts w:hint="eastAsia" w:ascii="黑体" w:hAnsi="黑体" w:eastAsia="黑体"/>
                        </w:rPr>
                        <w:t>医疗救治组</w:t>
                      </w:r>
                    </w:p>
                    <w:p>
                      <w:pPr>
                        <w:ind w:firstLine="480"/>
                        <w:rPr>
                          <w:rFonts w:ascii="黑体" w:hAnsi="黑体" w:eastAsia="黑体"/>
                        </w:rPr>
                      </w:pPr>
                    </w:p>
                  </w:txbxContent>
                </v:textbox>
              </v:rect>
              <v:rect id="_x0000_s1637" o:spid="_x0000_s1637" o:spt="1" style="position:absolute;left:3525;top:10979;height:2066;width:451;" coordsize="21600,21600">
                <v:path/>
                <v:fill focussize="0,0"/>
                <v:stroke/>
                <v:imagedata o:title=""/>
                <o:lock v:ext="edit"/>
                <v:textbox>
                  <w:txbxContent>
                    <w:p>
                      <w:pPr>
                        <w:spacing w:line="240" w:lineRule="atLeast"/>
                        <w:ind w:firstLine="0" w:firstLineChars="0"/>
                        <w:jc w:val="left"/>
                        <w:rPr>
                          <w:rFonts w:ascii="黑体" w:hAnsi="黑体" w:eastAsia="黑体"/>
                        </w:rPr>
                      </w:pPr>
                      <w:r>
                        <w:rPr>
                          <w:rFonts w:hint="eastAsia" w:ascii="黑体" w:hAnsi="黑体" w:eastAsia="黑体"/>
                        </w:rPr>
                        <w:t>污染处置组</w:t>
                      </w:r>
                    </w:p>
                    <w:p>
                      <w:pPr>
                        <w:ind w:firstLine="480"/>
                        <w:rPr>
                          <w:rFonts w:ascii="黑体" w:hAnsi="黑体" w:eastAsia="黑体"/>
                        </w:rPr>
                      </w:pPr>
                    </w:p>
                  </w:txbxContent>
                </v:textbox>
              </v:rect>
              <v:rect id="_x0000_s1638" o:spid="_x0000_s1638" o:spt="1" style="position:absolute;left:4384;top:10979;height:2065;width:451;" coordsize="21600,21600">
                <v:path/>
                <v:fill focussize="0,0"/>
                <v:stroke/>
                <v:imagedata o:title=""/>
                <o:lock v:ext="edit"/>
                <v:textbox>
                  <w:txbxContent>
                    <w:p>
                      <w:pPr>
                        <w:spacing w:line="240" w:lineRule="atLeast"/>
                        <w:ind w:firstLine="0" w:firstLineChars="0"/>
                        <w:jc w:val="left"/>
                        <w:rPr>
                          <w:rFonts w:ascii="黑体" w:hAnsi="黑体" w:eastAsia="黑体"/>
                        </w:rPr>
                      </w:pPr>
                      <w:r>
                        <w:rPr>
                          <w:rFonts w:hint="eastAsia" w:ascii="黑体" w:hAnsi="黑体" w:eastAsia="黑体"/>
                        </w:rPr>
                        <w:t>应急监测组</w:t>
                      </w:r>
                    </w:p>
                    <w:p>
                      <w:pPr>
                        <w:ind w:firstLine="480"/>
                        <w:rPr>
                          <w:rFonts w:ascii="黑体" w:hAnsi="黑体" w:eastAsia="黑体"/>
                        </w:rPr>
                      </w:pPr>
                    </w:p>
                  </w:txbxContent>
                </v:textbox>
              </v:rect>
              <v:rect id="_x0000_s1639" o:spid="_x0000_s1639" o:spt="1" style="position:absolute;left:6963;top:10979;height:2066;width:451;" coordsize="21600,21600">
                <v:path/>
                <v:fill focussize="0,0"/>
                <v:stroke/>
                <v:imagedata o:title=""/>
                <o:lock v:ext="edit"/>
                <v:textbox>
                  <w:txbxContent>
                    <w:p>
                      <w:pPr>
                        <w:spacing w:line="240" w:lineRule="atLeast"/>
                        <w:ind w:firstLine="0" w:firstLineChars="0"/>
                        <w:jc w:val="left"/>
                        <w:rPr>
                          <w:rFonts w:ascii="黑体" w:hAnsi="黑体" w:eastAsia="黑体"/>
                        </w:rPr>
                      </w:pPr>
                      <w:r>
                        <w:rPr>
                          <w:rFonts w:hint="eastAsia" w:ascii="黑体" w:hAnsi="黑体" w:eastAsia="黑体"/>
                        </w:rPr>
                        <w:t>转移安置组</w:t>
                      </w:r>
                    </w:p>
                    <w:p>
                      <w:pPr>
                        <w:ind w:firstLine="480"/>
                        <w:rPr>
                          <w:rFonts w:ascii="黑体" w:hAnsi="黑体" w:eastAsia="黑体"/>
                        </w:rPr>
                      </w:pPr>
                    </w:p>
                  </w:txbxContent>
                </v:textbox>
              </v:rect>
              <v:rect id="_x0000_s1640" o:spid="_x0000_s1640" o:spt="1" style="position:absolute;left:6077;top:10979;height:2066;width:451;" coordsize="21600,21600">
                <v:path/>
                <v:fill focussize="0,0"/>
                <v:stroke/>
                <v:imagedata o:title=""/>
                <o:lock v:ext="edit"/>
                <v:textbox>
                  <w:txbxContent>
                    <w:p>
                      <w:pPr>
                        <w:spacing w:line="240" w:lineRule="atLeast"/>
                        <w:ind w:firstLine="0" w:firstLineChars="0"/>
                        <w:jc w:val="left"/>
                        <w:rPr>
                          <w:rFonts w:ascii="黑体" w:hAnsi="黑体" w:eastAsia="黑体"/>
                        </w:rPr>
                      </w:pPr>
                      <w:r>
                        <w:rPr>
                          <w:rFonts w:hint="eastAsia" w:ascii="黑体" w:hAnsi="黑体" w:eastAsia="黑体"/>
                        </w:rPr>
                        <w:t>应急保障组</w:t>
                      </w:r>
                    </w:p>
                    <w:p>
                      <w:pPr>
                        <w:ind w:firstLine="480"/>
                        <w:rPr>
                          <w:rFonts w:ascii="黑体" w:hAnsi="黑体" w:eastAsia="黑体"/>
                        </w:rPr>
                      </w:pPr>
                    </w:p>
                  </w:txbxContent>
                </v:textbox>
              </v:rect>
              <v:rect id="_x0000_s1641" o:spid="_x0000_s1641" o:spt="1" style="position:absolute;left:7822;top:10979;height:2066;width:451;" coordsize="21600,21600">
                <v:path/>
                <v:fill focussize="0,0"/>
                <v:stroke/>
                <v:imagedata o:title=""/>
                <o:lock v:ext="edit"/>
                <v:textbox>
                  <w:txbxContent>
                    <w:p>
                      <w:pPr>
                        <w:spacing w:line="240" w:lineRule="atLeast"/>
                        <w:ind w:firstLine="0" w:firstLineChars="0"/>
                        <w:jc w:val="left"/>
                        <w:rPr>
                          <w:rFonts w:ascii="黑体" w:hAnsi="黑体" w:eastAsia="黑体"/>
                        </w:rPr>
                      </w:pPr>
                      <w:r>
                        <w:rPr>
                          <w:rFonts w:hint="eastAsia" w:ascii="黑体" w:hAnsi="黑体" w:eastAsia="黑体"/>
                        </w:rPr>
                        <w:t>新闻宣传组</w:t>
                      </w:r>
                    </w:p>
                    <w:p>
                      <w:pPr>
                        <w:ind w:firstLine="480"/>
                        <w:rPr>
                          <w:rFonts w:ascii="黑体" w:hAnsi="黑体" w:eastAsia="黑体"/>
                        </w:rPr>
                      </w:pPr>
                    </w:p>
                  </w:txbxContent>
                </v:textbox>
              </v:rect>
              <v:rect id="_x0000_s1642" o:spid="_x0000_s1642" o:spt="1" style="position:absolute;left:9541;top:10979;height:2067;width:451;" coordsize="21600,21600">
                <v:path/>
                <v:fill focussize="0,0"/>
                <v:stroke/>
                <v:imagedata o:title=""/>
                <o:lock v:ext="edit"/>
                <v:textbox>
                  <w:txbxContent>
                    <w:p>
                      <w:pPr>
                        <w:spacing w:line="240" w:lineRule="atLeast"/>
                        <w:ind w:firstLine="0" w:firstLineChars="0"/>
                        <w:jc w:val="left"/>
                        <w:rPr>
                          <w:rFonts w:ascii="黑体" w:hAnsi="黑体" w:eastAsia="黑体"/>
                        </w:rPr>
                      </w:pPr>
                      <w:r>
                        <w:rPr>
                          <w:rFonts w:hint="eastAsia" w:ascii="黑体" w:hAnsi="黑体" w:eastAsia="黑体"/>
                        </w:rPr>
                        <w:t>调查评估组</w:t>
                      </w:r>
                    </w:p>
                    <w:p>
                      <w:pPr>
                        <w:ind w:firstLine="480"/>
                        <w:rPr>
                          <w:rFonts w:ascii="黑体" w:hAnsi="黑体" w:eastAsia="黑体"/>
                        </w:rPr>
                      </w:pPr>
                    </w:p>
                  </w:txbxContent>
                </v:textbox>
              </v:rect>
              <v:group id="_x0000_s1643" o:spid="_x0000_s1643" o:spt="203" style="position:absolute;left:2893;top:9289;height:1690;width:6874;" coordorigin="3630,6522" coordsize="5959,1465">
                <o:lock v:ext="edit"/>
                <v:shape id="_x0000_s1644" o:spid="_x0000_s1644" o:spt="34" type="#_x0000_t34" style="position:absolute;left:4363;top:5789;height:2931;width:1465;rotation:5898240f;" o:connectortype="elbow" filled="f" coordsize="21600,21600" adj="10787,-59103,-80188">
                  <v:path arrowok="t"/>
                  <v:fill on="f" focussize="0,0"/>
                  <v:stroke endarrow="block"/>
                  <v:imagedata o:title=""/>
                  <o:lock v:ext="edit"/>
                </v:shape>
                <v:shape id="_x0000_s1645" o:spid="_x0000_s1645" o:spt="34" type="#_x0000_t34" style="position:absolute;left:7342;top:5741;flip:x;height:3028;width:1465;rotation:5898240f;" o:connectortype="elbow" filled="f" coordsize="21600,21600" adj="10787,57225,-80188">
                  <v:path arrowok="t"/>
                  <v:fill on="f" focussize="0,0"/>
                  <v:stroke endarrow="block"/>
                  <v:imagedata o:title=""/>
                  <o:lock v:ext="edit"/>
                </v:shape>
              </v:group>
              <v:shape id="_x0000_s1646" o:spid="_x0000_s1646" o:spt="32" type="#_x0000_t32" style="position:absolute;left:3750;top:10134;height:845;width:1;" o:connectortype="straight" filled="f" coordsize="21600,21600">
                <v:path arrowok="t"/>
                <v:fill on="f" focussize="0,0"/>
                <v:stroke endarrow="block"/>
                <v:imagedata o:title=""/>
                <o:lock v:ext="edit"/>
              </v:shape>
              <v:shape id="_x0000_s1647" o:spid="_x0000_s1647" o:spt="32" type="#_x0000_t32" style="position:absolute;left:4594;top:10134;height:844;width:2;" o:connectortype="straight" filled="f" coordsize="21600,21600">
                <v:path arrowok="t"/>
                <v:fill on="f" focussize="0,0"/>
                <v:stroke endarrow="block"/>
                <v:imagedata o:title=""/>
                <o:lock v:ext="edit"/>
              </v:shape>
              <v:shape id="_x0000_s1648" o:spid="_x0000_s1648" o:spt="32" type="#_x0000_t32" style="position:absolute;left:5464;top:10134;height:844;width:1;" o:connectortype="straight" filled="f" coordsize="21600,21600">
                <v:path arrowok="t"/>
                <v:fill on="f" focussize="0,0"/>
                <v:stroke endarrow="block"/>
                <v:imagedata o:title=""/>
                <o:lock v:ext="edit"/>
              </v:shape>
              <v:shape id="_x0000_s1649" o:spid="_x0000_s1649" o:spt="32" type="#_x0000_t32" style="position:absolute;left:6281;top:10134;height:844;width:1;" o:connectortype="straight" filled="f" coordsize="21600,21600">
                <v:path arrowok="t"/>
                <v:fill on="f" focussize="0,0"/>
                <v:stroke endarrow="block"/>
                <v:imagedata o:title=""/>
                <o:lock v:ext="edit"/>
              </v:shape>
              <v:shape id="_x0000_s1650" o:spid="_x0000_s1650" o:spt="32" type="#_x0000_t32" style="position:absolute;left:7201;top:10134;height:844;width:1;" o:connectortype="straight" filled="f" coordsize="21600,21600">
                <v:path arrowok="t"/>
                <v:fill on="f" focussize="0,0"/>
                <v:stroke endarrow="block"/>
                <v:imagedata o:title=""/>
                <o:lock v:ext="edit"/>
              </v:shape>
              <v:shape id="_x0000_s1651" o:spid="_x0000_s1651" o:spt="32" type="#_x0000_t32" style="position:absolute;left:8070;top:10134;height:844;width:2;" o:connectortype="straight" filled="f" coordsize="21600,21600">
                <v:path arrowok="t"/>
                <v:fill on="f" focussize="0,0"/>
                <v:stroke endarrow="block"/>
                <v:imagedata o:title=""/>
                <o:lock v:ext="edit"/>
              </v:shape>
              <v:shape id="_x0000_s1652" o:spid="_x0000_s1652" o:spt="32" type="#_x0000_t32" style="position:absolute;left:8940;top:10134;height:845;width:1;" o:connectortype="straight" filled="f" coordsize="21600,21600">
                <v:path arrowok="t"/>
                <v:fill on="f" focussize="0,0"/>
                <v:stroke endarrow="block"/>
                <v:imagedata o:title=""/>
                <o:lock v:ext="edit"/>
              </v:shape>
            </v:group>
            <w10:wrap type="none"/>
            <w10:anchorlock/>
          </v:group>
        </w:pict>
      </w:r>
    </w:p>
    <w:p>
      <w:pPr>
        <w:pStyle w:val="38"/>
      </w:pPr>
      <w:r>
        <w:rPr>
          <w:rFonts w:hint="eastAsia"/>
        </w:rPr>
        <w:t>图3.2-1突发环境事件应急指挥部</w:t>
      </w:r>
      <w:r>
        <w:t>工作组组成图</w:t>
      </w:r>
    </w:p>
    <w:p>
      <w:pPr>
        <w:pStyle w:val="3"/>
      </w:pPr>
      <w:bookmarkStart w:id="21" w:name="_Toc115418769"/>
      <w:r>
        <w:rPr>
          <w:rFonts w:hint="eastAsia"/>
        </w:rPr>
        <w:t>3.3 区指挥部办公室</w:t>
      </w:r>
      <w:bookmarkEnd w:id="21"/>
    </w:p>
    <w:p>
      <w:pPr>
        <w:ind w:firstLine="480"/>
        <w:rPr>
          <w:kern w:val="0"/>
        </w:rPr>
      </w:pPr>
      <w:r>
        <w:rPr>
          <w:rFonts w:hint="eastAsia"/>
          <w:kern w:val="0"/>
        </w:rPr>
        <w:t>区指挥部下设办公室，办公室设在区生态环境分局，办公室主任由区生态环境分局主要负责同志兼任。</w:t>
      </w:r>
    </w:p>
    <w:p>
      <w:pPr>
        <w:ind w:firstLine="480"/>
      </w:pPr>
      <w:r>
        <w:rPr>
          <w:rFonts w:hint="eastAsia"/>
          <w:kern w:val="0"/>
        </w:rPr>
        <w:t>主要职责：</w:t>
      </w:r>
      <w:r>
        <w:t>统一</w:t>
      </w:r>
      <w:r>
        <w:rPr>
          <w:rFonts w:hint="eastAsia"/>
        </w:rPr>
        <w:t>协调</w:t>
      </w:r>
      <w:r>
        <w:t>全区一般突发环境事件应急处置；组织开展较大级及以上突发环境事件的先期处置；按照市指挥部要求，做好相关应对工作。负责及时向区政府、市生态环境</w:t>
      </w:r>
      <w:r>
        <w:rPr>
          <w:rFonts w:hint="eastAsia"/>
        </w:rPr>
        <w:t>局</w:t>
      </w:r>
      <w:r>
        <w:t>报告突发环境事件的污染危害与处置情况；发布预警信息，研究制定突发环境事件的应急救援方案，组织指挥区有关部门参与突发环境事件的应急救援处置工作；落实应急救援能力建设的各项日常管理工作。</w:t>
      </w:r>
    </w:p>
    <w:p>
      <w:pPr>
        <w:pStyle w:val="3"/>
      </w:pPr>
      <w:bookmarkStart w:id="22" w:name="_Toc115418770"/>
      <w:r>
        <w:rPr>
          <w:rFonts w:hint="eastAsia"/>
        </w:rPr>
        <w:t>3.4 区现场指挥机构</w:t>
      </w:r>
      <w:bookmarkEnd w:id="22"/>
    </w:p>
    <w:p>
      <w:pPr>
        <w:ind w:firstLine="480"/>
      </w:pPr>
      <w:r>
        <w:rPr>
          <w:rFonts w:hint="eastAsia"/>
        </w:rPr>
        <w:t>区人民政府根据工作需要成立现场指挥部，具体负责组织、指挥、协调突发环境事件现场应急处置工作。</w:t>
      </w:r>
    </w:p>
    <w:p>
      <w:pPr>
        <w:pStyle w:val="3"/>
      </w:pPr>
      <w:bookmarkStart w:id="23" w:name="_Toc115418771"/>
      <w:r>
        <w:rPr>
          <w:rFonts w:hint="eastAsia"/>
        </w:rPr>
        <w:t>3</w:t>
      </w:r>
      <w:r>
        <w:t>.</w:t>
      </w:r>
      <w:r>
        <w:rPr>
          <w:rFonts w:hint="eastAsia"/>
        </w:rPr>
        <w:t>5 外部应急救援指挥机构组成及职责</w:t>
      </w:r>
      <w:bookmarkEnd w:id="23"/>
    </w:p>
    <w:p>
      <w:pPr>
        <w:tabs>
          <w:tab w:val="left" w:pos="1021"/>
        </w:tabs>
        <w:ind w:firstLine="480"/>
        <w:jc w:val="left"/>
        <w:rPr>
          <w:szCs w:val="20"/>
        </w:rPr>
      </w:pPr>
      <w:r>
        <w:rPr>
          <w:rFonts w:hint="eastAsia"/>
          <w:szCs w:val="20"/>
        </w:rPr>
        <w:t>当发生重大环境事故时，内部救援机构不能满足于救援需求，需要借助外部的救援机构。</w:t>
      </w:r>
    </w:p>
    <w:p>
      <w:pPr>
        <w:pStyle w:val="4"/>
      </w:pPr>
      <w:r>
        <w:rPr>
          <w:rFonts w:hint="eastAsia"/>
        </w:rPr>
        <w:t>3</w:t>
      </w:r>
      <w:r>
        <w:t>.</w:t>
      </w:r>
      <w:r>
        <w:rPr>
          <w:rFonts w:hint="eastAsia"/>
        </w:rPr>
        <w:t>5</w:t>
      </w:r>
      <w:r>
        <w:t xml:space="preserve">.1 </w:t>
      </w:r>
      <w:r>
        <w:rPr>
          <w:rFonts w:hint="eastAsia"/>
        </w:rPr>
        <w:t>应急监测组</w:t>
      </w:r>
    </w:p>
    <w:p>
      <w:pPr>
        <w:tabs>
          <w:tab w:val="left" w:pos="1021"/>
        </w:tabs>
        <w:ind w:firstLine="480"/>
        <w:jc w:val="left"/>
        <w:rPr>
          <w:szCs w:val="20"/>
        </w:rPr>
      </w:pPr>
      <w:r>
        <w:rPr>
          <w:rFonts w:hint="eastAsia"/>
          <w:szCs w:val="20"/>
        </w:rPr>
        <w:t>应急监测主要依托</w:t>
      </w:r>
      <w:r>
        <w:rPr>
          <w:rFonts w:hAnsi="宋体"/>
          <w:szCs w:val="24"/>
        </w:rPr>
        <w:t>委托</w:t>
      </w:r>
      <w:r>
        <w:rPr>
          <w:rFonts w:hint="eastAsia" w:hAnsi="宋体"/>
          <w:szCs w:val="24"/>
        </w:rPr>
        <w:t>淮南市环境保护监测站</w:t>
      </w:r>
      <w:r>
        <w:rPr>
          <w:rFonts w:hint="eastAsia"/>
          <w:szCs w:val="20"/>
        </w:rPr>
        <w:t>，主要任务是：</w:t>
      </w:r>
    </w:p>
    <w:p>
      <w:pPr>
        <w:tabs>
          <w:tab w:val="left" w:pos="1021"/>
        </w:tabs>
        <w:ind w:firstLine="480"/>
        <w:jc w:val="left"/>
        <w:rPr>
          <w:szCs w:val="20"/>
        </w:rPr>
      </w:pPr>
      <w:r>
        <w:rPr>
          <w:szCs w:val="20"/>
        </w:rPr>
        <w:t>（</w:t>
      </w:r>
      <w:r>
        <w:rPr>
          <w:rFonts w:hint="eastAsia"/>
          <w:szCs w:val="20"/>
        </w:rPr>
        <w:t>1</w:t>
      </w:r>
      <w:r>
        <w:rPr>
          <w:szCs w:val="20"/>
        </w:rPr>
        <w:t>）根据环境污染事故污染物的扩散度和事故发生地的气象和地域特点，判断污染物扩散范围。</w:t>
      </w:r>
    </w:p>
    <w:p>
      <w:pPr>
        <w:tabs>
          <w:tab w:val="left" w:pos="1021"/>
        </w:tabs>
        <w:ind w:firstLine="480"/>
        <w:jc w:val="left"/>
        <w:rPr>
          <w:szCs w:val="20"/>
        </w:rPr>
      </w:pPr>
      <w:r>
        <w:rPr>
          <w:szCs w:val="20"/>
        </w:rPr>
        <w:t>（</w:t>
      </w:r>
      <w:r>
        <w:rPr>
          <w:rFonts w:hint="eastAsia"/>
          <w:szCs w:val="20"/>
        </w:rPr>
        <w:t>2</w:t>
      </w:r>
      <w:r>
        <w:rPr>
          <w:szCs w:val="20"/>
        </w:rPr>
        <w:t>）</w:t>
      </w:r>
      <w:r>
        <w:rPr>
          <w:rFonts w:hint="eastAsia"/>
          <w:szCs w:val="20"/>
        </w:rPr>
        <w:t>根据监测结果，综合分析环境污染事故污染变化趋势，并将监测数据上报现场指挥部，通过专家咨询和讨论的方式，预测并报告环境污染事故的发展情况污染物的变化情况，作为环境污染事故应急决策的依据。</w:t>
      </w:r>
    </w:p>
    <w:p>
      <w:pPr>
        <w:pStyle w:val="4"/>
      </w:pPr>
      <w:r>
        <w:rPr>
          <w:rFonts w:hint="eastAsia"/>
        </w:rPr>
        <w:t>3</w:t>
      </w:r>
      <w:r>
        <w:t>.</w:t>
      </w:r>
      <w:r>
        <w:rPr>
          <w:rFonts w:hint="eastAsia"/>
        </w:rPr>
        <w:t>5.2专家咨询组</w:t>
      </w:r>
    </w:p>
    <w:p>
      <w:pPr>
        <w:tabs>
          <w:tab w:val="left" w:pos="1021"/>
        </w:tabs>
        <w:ind w:firstLine="480"/>
        <w:rPr>
          <w:szCs w:val="20"/>
        </w:rPr>
      </w:pPr>
      <w:r>
        <w:rPr>
          <w:rFonts w:hint="eastAsia"/>
          <w:szCs w:val="20"/>
        </w:rPr>
        <w:t>当发生较大及以上事故时，指挥部可以联系有关专家组成环境应急专家组，迅速对事件信息进行分析、评估，提出应急处置方案和建议，供现场指挥部领导决策。根据事件进展情况和形势动态，提出相应的对策和意见；对突发环境事件的危害范围、发展趋势作出科学预测；参与污染程度、危害范围、事件等级的判定，为污染区域的隔离与解禁、人员撤离与返回等重大防护措施的决策提供技术依据；指导应急处置行动；指导对环境应急工作的评价，进行事件的中长期环境影响评估。</w:t>
      </w:r>
    </w:p>
    <w:p>
      <w:pPr>
        <w:pStyle w:val="4"/>
      </w:pPr>
      <w:r>
        <w:rPr>
          <w:rFonts w:hint="eastAsia"/>
        </w:rPr>
        <w:t>3</w:t>
      </w:r>
      <w:r>
        <w:t>.</w:t>
      </w:r>
      <w:r>
        <w:rPr>
          <w:rFonts w:hint="eastAsia"/>
        </w:rPr>
        <w:t>5</w:t>
      </w:r>
      <w:r>
        <w:t>.</w:t>
      </w:r>
      <w:r>
        <w:rPr>
          <w:rFonts w:hint="eastAsia"/>
        </w:rPr>
        <w:t>3医疗救治组</w:t>
      </w:r>
    </w:p>
    <w:p>
      <w:pPr>
        <w:tabs>
          <w:tab w:val="left" w:pos="1021"/>
        </w:tabs>
        <w:ind w:firstLine="480"/>
        <w:jc w:val="left"/>
        <w:rPr>
          <w:szCs w:val="20"/>
        </w:rPr>
      </w:pPr>
      <w:r>
        <w:rPr>
          <w:szCs w:val="20"/>
        </w:rPr>
        <w:t>医疗救治组主要依托</w:t>
      </w:r>
      <w:r>
        <w:rPr>
          <w:rFonts w:hint="eastAsia"/>
          <w:szCs w:val="20"/>
        </w:rPr>
        <w:t>八公山区</w:t>
      </w:r>
      <w:r>
        <w:rPr>
          <w:szCs w:val="20"/>
        </w:rPr>
        <w:t>内大型医院</w:t>
      </w:r>
      <w:r>
        <w:rPr>
          <w:rFonts w:hint="eastAsia"/>
          <w:szCs w:val="20"/>
        </w:rPr>
        <w:t>，</w:t>
      </w:r>
      <w:r>
        <w:rPr>
          <w:szCs w:val="20"/>
        </w:rPr>
        <w:t>主要职责</w:t>
      </w:r>
      <w:r>
        <w:rPr>
          <w:rFonts w:hint="eastAsia"/>
          <w:szCs w:val="20"/>
        </w:rPr>
        <w:t>是</w:t>
      </w:r>
      <w:r>
        <w:rPr>
          <w:szCs w:val="20"/>
        </w:rPr>
        <w:t>组织开展伤病员医疗救治、应急心理援助；提出保护公众健康的措施建议；对污染处置提供应急医护保障；禁止或限制受污染食品和饮用水的生产、加工、流通和食用，防范因突发环境事件造成集体中毒等</w:t>
      </w:r>
      <w:r>
        <w:rPr>
          <w:rFonts w:hint="eastAsia"/>
          <w:szCs w:val="20"/>
        </w:rPr>
        <w:t>。</w:t>
      </w:r>
    </w:p>
    <w:p>
      <w:pPr>
        <w:pStyle w:val="38"/>
      </w:pPr>
    </w:p>
    <w:p>
      <w:pPr>
        <w:pStyle w:val="38"/>
      </w:pPr>
    </w:p>
    <w:p>
      <w:pPr>
        <w:pStyle w:val="38"/>
      </w:pPr>
      <w:r>
        <w:t>表</w:t>
      </w:r>
      <w:r>
        <w:rPr>
          <w:rFonts w:hint="eastAsia"/>
        </w:rPr>
        <w:t>3.5-1</w:t>
      </w:r>
      <w:r>
        <w:t>外部应急救援通讯录</w:t>
      </w:r>
    </w:p>
    <w:tbl>
      <w:tblPr>
        <w:tblStyle w:val="22"/>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20"/>
        <w:gridCol w:w="1420"/>
        <w:gridCol w:w="1421"/>
        <w:gridCol w:w="1420"/>
        <w:gridCol w:w="1420"/>
        <w:gridCol w:w="14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pPr>
              <w:pStyle w:val="29"/>
              <w:rPr>
                <w:b/>
                <w:szCs w:val="21"/>
                <w:lang w:bidi="en-US"/>
              </w:rPr>
            </w:pPr>
            <w:r>
              <w:rPr>
                <w:b/>
                <w:szCs w:val="21"/>
                <w:lang w:bidi="en-US"/>
              </w:rPr>
              <w:t>外部</w:t>
            </w:r>
            <w:r>
              <w:rPr>
                <w:rFonts w:hint="eastAsia"/>
                <w:b/>
                <w:szCs w:val="21"/>
                <w:lang w:bidi="en-US"/>
              </w:rPr>
              <w:t>24小时</w:t>
            </w:r>
            <w:r>
              <w:rPr>
                <w:b/>
                <w:szCs w:val="21"/>
                <w:lang w:bidi="en-US"/>
              </w:rPr>
              <w:t>救援联系电话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3" w:type="pct"/>
            <w:vAlign w:val="center"/>
          </w:tcPr>
          <w:p>
            <w:pPr>
              <w:pStyle w:val="29"/>
              <w:rPr>
                <w:szCs w:val="21"/>
                <w:lang w:bidi="en-US"/>
              </w:rPr>
            </w:pPr>
            <w:r>
              <w:rPr>
                <w:rFonts w:hint="eastAsia"/>
                <w:szCs w:val="21"/>
                <w:lang w:bidi="en-US"/>
              </w:rPr>
              <w:t>环保热线</w:t>
            </w:r>
          </w:p>
        </w:tc>
        <w:tc>
          <w:tcPr>
            <w:tcW w:w="833" w:type="pct"/>
            <w:vAlign w:val="center"/>
          </w:tcPr>
          <w:p>
            <w:pPr>
              <w:pStyle w:val="29"/>
              <w:rPr>
                <w:szCs w:val="21"/>
                <w:lang w:bidi="en-US"/>
              </w:rPr>
            </w:pPr>
            <w:r>
              <w:rPr>
                <w:rFonts w:hint="eastAsia"/>
                <w:szCs w:val="21"/>
                <w:lang w:bidi="en-US"/>
              </w:rPr>
              <w:t>12345</w:t>
            </w:r>
          </w:p>
        </w:tc>
        <w:tc>
          <w:tcPr>
            <w:tcW w:w="834" w:type="pct"/>
            <w:tcBorders>
              <w:right w:val="single" w:color="auto" w:sz="4" w:space="0"/>
            </w:tcBorders>
            <w:vAlign w:val="center"/>
          </w:tcPr>
          <w:p>
            <w:pPr>
              <w:pStyle w:val="29"/>
              <w:rPr>
                <w:szCs w:val="21"/>
                <w:lang w:bidi="en-US"/>
              </w:rPr>
            </w:pPr>
            <w:r>
              <w:rPr>
                <w:szCs w:val="21"/>
                <w:lang w:bidi="en-US"/>
              </w:rPr>
              <w:t>医院</w:t>
            </w:r>
          </w:p>
        </w:tc>
        <w:tc>
          <w:tcPr>
            <w:tcW w:w="833" w:type="pct"/>
            <w:tcBorders>
              <w:left w:val="single" w:color="auto" w:sz="4" w:space="0"/>
              <w:right w:val="single" w:color="auto" w:sz="4" w:space="0"/>
            </w:tcBorders>
            <w:vAlign w:val="center"/>
          </w:tcPr>
          <w:p>
            <w:pPr>
              <w:pStyle w:val="29"/>
              <w:rPr>
                <w:szCs w:val="21"/>
                <w:lang w:bidi="en-US"/>
              </w:rPr>
            </w:pPr>
            <w:r>
              <w:rPr>
                <w:rFonts w:hint="eastAsia"/>
                <w:szCs w:val="21"/>
                <w:lang w:bidi="en-US"/>
              </w:rPr>
              <w:t>120</w:t>
            </w:r>
          </w:p>
        </w:tc>
        <w:tc>
          <w:tcPr>
            <w:tcW w:w="833" w:type="pct"/>
            <w:tcBorders>
              <w:left w:val="single" w:color="auto" w:sz="4" w:space="0"/>
            </w:tcBorders>
            <w:vAlign w:val="center"/>
          </w:tcPr>
          <w:p>
            <w:pPr>
              <w:pStyle w:val="29"/>
              <w:rPr>
                <w:szCs w:val="21"/>
                <w:lang w:bidi="en-US"/>
              </w:rPr>
            </w:pPr>
            <w:r>
              <w:rPr>
                <w:szCs w:val="21"/>
                <w:lang w:bidi="en-US"/>
              </w:rPr>
              <w:t>公安</w:t>
            </w:r>
          </w:p>
        </w:tc>
        <w:tc>
          <w:tcPr>
            <w:tcW w:w="834" w:type="pct"/>
            <w:vAlign w:val="center"/>
          </w:tcPr>
          <w:p>
            <w:pPr>
              <w:pStyle w:val="29"/>
              <w:rPr>
                <w:szCs w:val="21"/>
                <w:lang w:bidi="en-US"/>
              </w:rPr>
            </w:pPr>
            <w:r>
              <w:rPr>
                <w:rFonts w:hint="eastAsia"/>
                <w:szCs w:val="21"/>
                <w:lang w:bidi="en-US"/>
              </w:rPr>
              <w:t>110</w:t>
            </w:r>
          </w:p>
        </w:tc>
      </w:tr>
    </w:tbl>
    <w:p>
      <w:pPr>
        <w:ind w:firstLine="562"/>
        <w:rPr>
          <w:b/>
          <w:bCs/>
          <w:sz w:val="28"/>
          <w:szCs w:val="32"/>
        </w:rPr>
      </w:pPr>
    </w:p>
    <w:p>
      <w:pPr>
        <w:ind w:firstLine="562"/>
        <w:rPr>
          <w:b/>
          <w:bCs/>
          <w:sz w:val="28"/>
          <w:szCs w:val="32"/>
        </w:rPr>
        <w:sectPr>
          <w:footerReference r:id="rId10" w:type="first"/>
          <w:pgSz w:w="11906" w:h="16838"/>
          <w:pgMar w:top="1440" w:right="1800" w:bottom="1440" w:left="1800" w:header="720" w:footer="720" w:gutter="0"/>
          <w:pgNumType w:start="10"/>
          <w:cols w:space="720" w:num="1"/>
          <w:titlePg/>
          <w:docGrid w:type="lines" w:linePitch="326" w:charSpace="0"/>
        </w:sectPr>
      </w:pPr>
    </w:p>
    <w:p>
      <w:pPr>
        <w:pStyle w:val="2"/>
        <w:rPr>
          <w:kern w:val="0"/>
        </w:rPr>
      </w:pPr>
      <w:bookmarkStart w:id="24" w:name="_Toc54945200"/>
      <w:bookmarkStart w:id="25" w:name="_Toc115418772"/>
      <w:r>
        <w:rPr>
          <w:rFonts w:hint="eastAsia"/>
        </w:rPr>
        <w:t>4</w:t>
      </w:r>
      <w:bookmarkEnd w:id="24"/>
      <w:r>
        <w:rPr>
          <w:rFonts w:hint="eastAsia"/>
        </w:rPr>
        <w:t>应急准备</w:t>
      </w:r>
      <w:bookmarkEnd w:id="25"/>
    </w:p>
    <w:p>
      <w:pPr>
        <w:pStyle w:val="3"/>
      </w:pPr>
      <w:bookmarkStart w:id="26" w:name="_Toc54945201"/>
      <w:bookmarkStart w:id="27" w:name="_Toc115418773"/>
      <w:r>
        <w:rPr>
          <w:rFonts w:hint="eastAsia"/>
        </w:rPr>
        <w:t>4</w:t>
      </w:r>
      <w:r>
        <w:t xml:space="preserve">.1 </w:t>
      </w:r>
      <w:bookmarkEnd w:id="26"/>
      <w:r>
        <w:rPr>
          <w:rFonts w:hint="eastAsia"/>
        </w:rPr>
        <w:t>预案</w:t>
      </w:r>
      <w:r>
        <w:t>体系</w:t>
      </w:r>
      <w:bookmarkEnd w:id="27"/>
    </w:p>
    <w:p>
      <w:pPr>
        <w:pStyle w:val="4"/>
      </w:pPr>
      <w:r>
        <w:rPr>
          <w:rFonts w:hint="eastAsia"/>
        </w:rPr>
        <w:t>4</w:t>
      </w:r>
      <w:r>
        <w:t>.</w:t>
      </w:r>
      <w:r>
        <w:rPr>
          <w:rFonts w:hint="eastAsia"/>
        </w:rPr>
        <w:t>1</w:t>
      </w:r>
      <w:r>
        <w:t>.</w:t>
      </w:r>
      <w:r>
        <w:rPr>
          <w:rFonts w:hint="eastAsia"/>
        </w:rPr>
        <w:t>1内部预案体系</w:t>
      </w:r>
    </w:p>
    <w:p>
      <w:pPr>
        <w:ind w:firstLine="480"/>
      </w:pPr>
      <w:r>
        <w:rPr>
          <w:rFonts w:hint="eastAsia"/>
        </w:rPr>
        <w:t>本预案作为指导性预案，旨在指导本区内突发环境事件应对工作。辖区内承担环境安全主体责任的企事业单位，应当在开展突发环境事件风险评估和应急资源调查的基础上，制定突发环境事件应急预案，按照分类分级管理的原则，报区级环境保护主管部门备案；定期开展应急培训和演练，建立和完善应急预案优化机制，不断提升预案的针对性、实用性、可操作性。</w:t>
      </w:r>
    </w:p>
    <w:p>
      <w:pPr>
        <w:ind w:firstLine="480"/>
      </w:pPr>
      <w:r>
        <w:rPr>
          <w:rFonts w:hint="eastAsia"/>
        </w:rPr>
        <w:t>内部预案体系关系见下图。</w:t>
      </w:r>
    </w:p>
    <w:p>
      <w:pPr>
        <w:ind w:firstLine="480"/>
      </w:pPr>
      <w:r>
        <w:pict>
          <v:group id="_x0000_s1545" o:spid="_x0000_s1545" o:spt="203" style="height:92.35pt;width:415.3pt;" coordorigin="2280,8619" coordsize="8306,1847" editas="canvas">
            <o:lock v:ext="edit"/>
            <v:shape id="_x0000_s1546" o:spid="_x0000_s1546" o:spt="75" type="#_x0000_t75" style="position:absolute;left:2280;top:8619;height:1847;width:8306;" filled="f" o:preferrelative="f" stroked="f" coordsize="21600,21600">
              <v:fill on="f" focussize="0,0"/>
              <v:stroke on="f" joinstyle="miter"/>
              <v:imagedata o:title=""/>
              <o:lock v:ext="edit" text="t" aspectratio="t"/>
            </v:shape>
            <v:group id="_x0000_s1627" o:spid="_x0000_s1627" o:spt="203" style="position:absolute;left:3450;top:8738;height:1560;width:5371;" coordorigin="4170,8738" coordsize="5371,1560">
              <o:lock v:ext="edit"/>
              <v:rect id="_x0000_s1548" o:spid="_x0000_s1548" o:spt="1" style="position:absolute;left:4170;top:8738;height:551;width:5369;" coordsize="21600,21600">
                <v:path/>
                <v:fill focussize="0,0"/>
                <v:stroke/>
                <v:imagedata o:title=""/>
                <o:lock v:ext="edit"/>
                <v:textbox>
                  <w:txbxContent>
                    <w:p>
                      <w:pPr>
                        <w:ind w:firstLine="0" w:firstLineChars="0"/>
                        <w:jc w:val="center"/>
                        <w:rPr>
                          <w:rFonts w:ascii="黑体" w:hAnsi="黑体" w:eastAsia="黑体"/>
                        </w:rPr>
                      </w:pPr>
                      <w:r>
                        <w:rPr>
                          <w:rFonts w:ascii="黑体" w:hAnsi="黑体" w:eastAsia="黑体"/>
                        </w:rPr>
                        <w:t>八公山区突发环境事件应急预案</w:t>
                      </w:r>
                    </w:p>
                  </w:txbxContent>
                </v:textbox>
              </v:rect>
              <v:rect id="_x0000_s1591" o:spid="_x0000_s1591" o:spt="1" style="position:absolute;left:4170;top:9747;height:551;width:5371;" coordsize="21600,21600">
                <v:path/>
                <v:fill focussize="0,0"/>
                <v:stroke/>
                <v:imagedata o:title=""/>
                <o:lock v:ext="edit"/>
                <v:textbox>
                  <w:txbxContent>
                    <w:p>
                      <w:pPr>
                        <w:ind w:firstLine="0" w:firstLineChars="0"/>
                        <w:rPr>
                          <w:rFonts w:ascii="黑体" w:hAnsi="黑体" w:eastAsia="黑体"/>
                        </w:rPr>
                      </w:pPr>
                      <w:r>
                        <w:rPr>
                          <w:rFonts w:hint="eastAsia" w:ascii="黑体" w:hAnsi="黑体" w:eastAsia="黑体"/>
                        </w:rPr>
                        <w:t>八公山区</w:t>
                      </w:r>
                      <w:r>
                        <w:rPr>
                          <w:rFonts w:ascii="黑体" w:hAnsi="黑体" w:eastAsia="黑体"/>
                        </w:rPr>
                        <w:t>辖区企事业单位突发环境事件应急预案</w:t>
                      </w:r>
                    </w:p>
                  </w:txbxContent>
                </v:textbox>
              </v:rect>
              <v:shape id="_x0000_s1592" o:spid="_x0000_s1592" o:spt="32" type="#_x0000_t32" style="position:absolute;left:6930;top:9289;flip:x;height:458;width:3;" o:connectortype="straight" filled="f" coordsize="21600,21600">
                <v:path arrowok="t"/>
                <v:fill on="f" focussize="0,0"/>
                <v:stroke endarrow="block"/>
                <v:imagedata o:title=""/>
                <o:lock v:ext="edit"/>
              </v:shape>
            </v:group>
            <w10:wrap type="none"/>
            <w10:anchorlock/>
          </v:group>
        </w:pict>
      </w:r>
    </w:p>
    <w:p>
      <w:pPr>
        <w:pStyle w:val="38"/>
      </w:pPr>
      <w:r>
        <w:rPr>
          <w:rFonts w:hint="eastAsia"/>
        </w:rPr>
        <w:t>图4.1-1内部预案体系关系图</w:t>
      </w:r>
    </w:p>
    <w:p>
      <w:pPr>
        <w:pStyle w:val="4"/>
      </w:pPr>
      <w:r>
        <w:rPr>
          <w:rFonts w:hint="eastAsia"/>
        </w:rPr>
        <w:t>4</w:t>
      </w:r>
      <w:r>
        <w:t>.</w:t>
      </w:r>
      <w:r>
        <w:rPr>
          <w:rFonts w:hint="eastAsia"/>
        </w:rPr>
        <w:t>1</w:t>
      </w:r>
      <w:r>
        <w:t>.</w:t>
      </w:r>
      <w:r>
        <w:rPr>
          <w:rFonts w:hint="eastAsia"/>
        </w:rPr>
        <w:t>2外部预案体系</w:t>
      </w:r>
    </w:p>
    <w:p>
      <w:pPr>
        <w:ind w:firstLine="480"/>
      </w:pPr>
      <w:r>
        <w:rPr>
          <w:rFonts w:hint="eastAsia"/>
        </w:rPr>
        <w:t>本预案与上级应急预案、区内其他应急预案关系见下图。</w:t>
      </w:r>
    </w:p>
    <w:p>
      <w:pPr>
        <w:ind w:firstLine="480"/>
      </w:pPr>
      <w:r>
        <w:pict>
          <v:group id="_x0000_s1568" o:spid="_x0000_s1568" o:spt="203" style="height:218.7pt;width:415.3pt;" coordorigin="2280,8619" coordsize="8306,4374" editas="canvas">
            <o:lock v:ext="edit"/>
            <v:shape id="_x0000_s1569" o:spid="_x0000_s1569" o:spt="75" type="#_x0000_t75" style="position:absolute;left:2280;top:8619;height:4374;width:8306;" filled="f" o:preferrelative="f" stroked="f" coordsize="21600,21600">
              <v:fill on="f" focussize="0,0"/>
              <v:stroke on="f" joinstyle="miter"/>
              <v:imagedata o:title=""/>
              <o:lock v:ext="edit" text="t" aspectratio="t"/>
            </v:shape>
            <v:group id="_x0000_s1659" o:spid="_x0000_s1659" o:spt="203" style="position:absolute;left:2370;top:8693;height:4035;width:7515;" coordorigin="2370,8693" coordsize="7515,4035">
              <o:lock v:ext="edit"/>
              <v:shape id="_x0000_s1604" o:spid="_x0000_s1604" o:spt="32" type="#_x0000_t32" style="position:absolute;left:4494;top:12208;height:1;width:426;" o:connectortype="straight" filled="f" coordsize="21600,21600">
                <v:path arrowok="t"/>
                <v:fill on="f" focussize="0,0"/>
                <v:stroke endarrow="block"/>
                <v:imagedata o:title=""/>
                <o:lock v:ext="edit"/>
              </v:shape>
              <v:shape id="_x0000_s1605" o:spid="_x0000_s1605" o:spt="32" type="#_x0000_t32" style="position:absolute;left:4470;top:12077;flip:x;height:1;width:425;" o:connectortype="straight" filled="f" coordsize="21600,21600">
                <v:path arrowok="t"/>
                <v:fill on="f" focussize="0,0"/>
                <v:stroke endarrow="block"/>
                <v:imagedata o:title=""/>
                <o:lock v:ext="edit"/>
              </v:shape>
              <v:rect id="_x0000_s1571" o:spid="_x0000_s1571" o:spt="1" style="position:absolute;left:4470;top:8693;height:551;width:4207;" coordsize="21600,21600">
                <v:path/>
                <v:fill focussize="0,0"/>
                <v:stroke/>
                <v:imagedata o:title=""/>
                <o:lock v:ext="edit"/>
                <v:textbox>
                  <w:txbxContent>
                    <w:p>
                      <w:pPr>
                        <w:ind w:firstLine="0" w:firstLineChars="0"/>
                        <w:jc w:val="center"/>
                        <w:rPr>
                          <w:rFonts w:ascii="黑体" w:hAnsi="黑体" w:eastAsia="黑体"/>
                        </w:rPr>
                      </w:pPr>
                      <w:r>
                        <w:rPr>
                          <w:rFonts w:hint="eastAsia" w:ascii="黑体" w:hAnsi="黑体" w:eastAsia="黑体"/>
                        </w:rPr>
                        <w:t>淮南市</w:t>
                      </w:r>
                      <w:r>
                        <w:rPr>
                          <w:rFonts w:ascii="黑体" w:hAnsi="黑体" w:eastAsia="黑体"/>
                        </w:rPr>
                        <w:t>突发事件总体应急预案</w:t>
                      </w:r>
                    </w:p>
                  </w:txbxContent>
                </v:textbox>
              </v:rect>
              <v:rect id="_x0000_s1593" o:spid="_x0000_s1593" o:spt="1" style="position:absolute;left:3555;top:9817;height:1102;width:2107;" coordsize="21600,21600">
                <v:path/>
                <v:fill focussize="0,0"/>
                <v:stroke/>
                <v:imagedata o:title=""/>
                <o:lock v:ext="edit"/>
                <v:textbox>
                  <w:txbxContent>
                    <w:p>
                      <w:pPr>
                        <w:ind w:firstLine="0" w:firstLineChars="0"/>
                        <w:rPr>
                          <w:rFonts w:ascii="黑体" w:hAnsi="黑体" w:eastAsia="黑体"/>
                        </w:rPr>
                      </w:pPr>
                      <w:r>
                        <w:rPr>
                          <w:rFonts w:hint="eastAsia" w:ascii="黑体" w:hAnsi="黑体" w:eastAsia="黑体"/>
                        </w:rPr>
                        <w:t>八公山区突发事件总体应急预案</w:t>
                      </w:r>
                    </w:p>
                  </w:txbxContent>
                </v:textbox>
              </v:rect>
              <v:rect id="_x0000_s1594" o:spid="_x0000_s1594" o:spt="1" style="position:absolute;left:2370;top:11628;height:1100;width:2109;" coordsize="21600,21600">
                <v:path/>
                <v:fill focussize="0,0"/>
                <v:stroke/>
                <v:imagedata o:title=""/>
                <o:lock v:ext="edit"/>
                <v:textbox>
                  <w:txbxContent>
                    <w:p>
                      <w:pPr>
                        <w:ind w:firstLine="0" w:firstLineChars="0"/>
                        <w:rPr>
                          <w:rFonts w:ascii="黑体" w:hAnsi="黑体" w:eastAsia="黑体"/>
                        </w:rPr>
                      </w:pPr>
                      <w:r>
                        <w:rPr>
                          <w:rFonts w:hint="eastAsia" w:ascii="黑体" w:hAnsi="黑体" w:eastAsia="黑体"/>
                        </w:rPr>
                        <w:t>八公山区生产安全事故应急预案</w:t>
                      </w:r>
                    </w:p>
                  </w:txbxContent>
                </v:textbox>
              </v:rect>
              <v:rect id="_x0000_s1595" o:spid="_x0000_s1595" o:spt="1" style="position:absolute;left:7519;top:9819;height:1100;width:2109;" coordsize="21600,21600">
                <v:path/>
                <v:fill focussize="0,0"/>
                <v:stroke/>
                <v:imagedata o:title=""/>
                <o:lock v:ext="edit"/>
                <v:textbox>
                  <w:txbxContent>
                    <w:p>
                      <w:pPr>
                        <w:ind w:firstLine="0" w:firstLineChars="0"/>
                        <w:jc w:val="center"/>
                        <w:rPr>
                          <w:rFonts w:ascii="黑体" w:hAnsi="黑体" w:eastAsia="黑体"/>
                        </w:rPr>
                      </w:pPr>
                      <w:r>
                        <w:rPr>
                          <w:rFonts w:hint="eastAsia" w:ascii="黑体" w:hAnsi="黑体" w:eastAsia="黑体"/>
                        </w:rPr>
                        <w:t>淮南市突发环境事件应急预案</w:t>
                      </w:r>
                    </w:p>
                  </w:txbxContent>
                </v:textbox>
              </v:rect>
              <v:rect id="_x0000_s1596" o:spid="_x0000_s1596" o:spt="1" style="position:absolute;left:4905;top:11628;height:1100;width:2109;" coordsize="21600,21600">
                <v:path/>
                <v:fill focussize="0,0"/>
                <v:stroke/>
                <v:imagedata o:title=""/>
                <o:lock v:ext="edit"/>
                <v:textbox>
                  <w:txbxContent>
                    <w:p>
                      <w:pPr>
                        <w:ind w:firstLine="0" w:firstLineChars="0"/>
                        <w:rPr>
                          <w:rFonts w:ascii="黑体" w:hAnsi="黑体" w:eastAsia="黑体"/>
                        </w:rPr>
                      </w:pPr>
                      <w:r>
                        <w:rPr>
                          <w:rFonts w:hint="eastAsia" w:ascii="黑体" w:hAnsi="黑体" w:eastAsia="黑体"/>
                        </w:rPr>
                        <w:t>八公山区突发环境事件应急预案</w:t>
                      </w:r>
                    </w:p>
                  </w:txbxContent>
                </v:textbox>
              </v:rect>
              <v:shape id="_x0000_s1597" o:spid="_x0000_s1597" o:spt="34" type="#_x0000_t34" style="position:absolute;left:6591;top:7835;flip:y;height:3965;width:2;rotation:17694720f;" o:connectortype="elbow" filled="f" coordsize="21600,21600" adj="-3888000,-60649,49777200">
                <v:path arrowok="t"/>
                <v:fill on="f" focussize="0,0"/>
                <v:stroke startarrow="block" endarrow="block"/>
                <v:imagedata o:title=""/>
                <o:lock v:ext="edit"/>
              </v:shape>
              <v:shape id="_x0000_s1598" o:spid="_x0000_s1598" o:spt="32" type="#_x0000_t32" style="position:absolute;left:6529;top:9244;height:227;width:1;" o:connectortype="straight" filled="f" coordsize="21600,21600">
                <v:path arrowok="t"/>
                <v:fill on="f" focussize="0,0"/>
                <v:stroke endarrow="block"/>
                <v:imagedata o:title=""/>
                <o:lock v:ext="edit"/>
              </v:shape>
              <v:shape id="_x0000_s1599" o:spid="_x0000_s1599" o:spt="34" type="#_x0000_t34" style="position:absolute;left:4692;top:10361;flip:y;height:2535;width:1;rotation:17694720f;" o:connectortype="elbow" filled="f" coordsize="21600,21600" adj="-7776000,-110292,73980000">
                <v:path arrowok="t"/>
                <v:fill on="f" focussize="0,0"/>
                <v:stroke startarrow="block" endarrow="block"/>
                <v:imagedata o:title=""/>
                <o:lock v:ext="edit"/>
              </v:shape>
              <v:shape id="_x0000_s1600" o:spid="_x0000_s1600" o:spt="32" type="#_x0000_t32" style="position:absolute;left:4609;top:10919;height:369;width:1;" o:connectortype="straight" filled="f" coordsize="21600,21600">
                <v:path arrowok="t"/>
                <v:fill on="f" focussize="0,0"/>
                <v:stroke endarrow="block"/>
                <v:imagedata o:title=""/>
                <o:lock v:ext="edit"/>
              </v:shape>
              <v:shape id="_x0000_s1601" o:spid="_x0000_s1601" o:spt="32" type="#_x0000_t32" style="position:absolute;left:6888;top:10788;flip:y;height:840;width:634;" o:connectortype="straight" filled="f" coordsize="21600,21600">
                <v:path arrowok="t"/>
                <v:fill on="f" focussize="0,0"/>
                <v:stroke endarrow="block"/>
                <v:imagedata o:title=""/>
                <o:lock v:ext="edit"/>
              </v:shape>
              <v:shape id="_x0000_s1602" o:spid="_x0000_s1602" o:spt="32" type="#_x0000_t32" style="position:absolute;left:7003;top:10908;flip:x;height:839;width:635;" o:connectortype="straight" filled="f" coordsize="21600,21600">
                <v:path arrowok="t"/>
                <v:fill on="f" focussize="0,0"/>
                <v:stroke endarrow="block"/>
                <v:imagedata o:title=""/>
                <o:lock v:ext="edit"/>
              </v:shape>
              <v:rect id="_x0000_s1603" o:spid="_x0000_s1603" o:spt="1" style="position:absolute;left:6589;top:10743;height:565;width:810;" filled="f" stroked="f" coordsize="21600,21600">
                <v:path/>
                <v:fill on="f" focussize="0,0"/>
                <v:stroke on="f"/>
                <v:imagedata o:title=""/>
                <o:lock v:ext="edit"/>
                <v:textbox>
                  <w:txbxContent>
                    <w:p>
                      <w:pPr>
                        <w:ind w:firstLine="0" w:firstLineChars="0"/>
                        <w:rPr>
                          <w:rFonts w:ascii="黑体" w:hAnsi="黑体" w:eastAsia="黑体"/>
                        </w:rPr>
                      </w:pPr>
                      <w:r>
                        <w:rPr>
                          <w:rFonts w:ascii="黑体" w:hAnsi="黑体" w:eastAsia="黑体"/>
                        </w:rPr>
                        <w:t>联动</w:t>
                      </w:r>
                    </w:p>
                  </w:txbxContent>
                </v:textbox>
              </v:rect>
              <v:rect id="_x0000_s1606" o:spid="_x0000_s1606" o:spt="1" style="position:absolute;left:4415;top:11604;height:565;width:480;" filled="f" stroked="f" coordsize="21600,21600">
                <v:path/>
                <v:fill on="f" focussize="0,0"/>
                <v:stroke on="f"/>
                <v:imagedata o:title=""/>
                <o:lock v:ext="edit"/>
                <v:textbox>
                  <w:txbxContent>
                    <w:p>
                      <w:pPr>
                        <w:ind w:firstLine="0" w:firstLineChars="0"/>
                        <w:rPr>
                          <w:rFonts w:ascii="黑体" w:hAnsi="黑体" w:eastAsia="黑体"/>
                        </w:rPr>
                      </w:pPr>
                      <w:r>
                        <w:rPr>
                          <w:rFonts w:ascii="黑体" w:hAnsi="黑体" w:eastAsia="黑体"/>
                        </w:rPr>
                        <w:t>联</w:t>
                      </w:r>
                    </w:p>
                  </w:txbxContent>
                </v:textbox>
              </v:rect>
              <v:rect id="_x0000_s1607" o:spid="_x0000_s1607" o:spt="1" style="position:absolute;left:4430;top:12099;height:565;width:480;" filled="f" stroked="f" coordsize="21600,21600">
                <v:path/>
                <v:fill on="f" focussize="0,0"/>
                <v:stroke on="f"/>
                <v:imagedata o:title=""/>
                <o:lock v:ext="edit"/>
                <v:textbox>
                  <w:txbxContent>
                    <w:p>
                      <w:pPr>
                        <w:ind w:firstLine="0" w:firstLineChars="0"/>
                        <w:rPr>
                          <w:rFonts w:ascii="黑体" w:hAnsi="黑体" w:eastAsia="黑体"/>
                        </w:rPr>
                      </w:pPr>
                      <w:r>
                        <w:rPr>
                          <w:rFonts w:hint="eastAsia" w:ascii="黑体" w:hAnsi="黑体" w:eastAsia="黑体"/>
                        </w:rPr>
                        <w:t>动</w:t>
                      </w:r>
                    </w:p>
                  </w:txbxContent>
                </v:textbox>
              </v:rect>
              <v:rect id="_x0000_s1654" o:spid="_x0000_s1654" o:spt="1" style="position:absolute;left:7470;top:11599;height:1100;width:2415;" coordsize="21600,21600">
                <v:path/>
                <v:fill focussize="0,0"/>
                <v:stroke/>
                <v:imagedata o:title=""/>
                <o:lock v:ext="edit"/>
                <v:textbox>
                  <w:txbxContent>
                    <w:p>
                      <w:pPr>
                        <w:ind w:firstLine="0" w:firstLineChars="0"/>
                        <w:rPr>
                          <w:rFonts w:ascii="黑体" w:hAnsi="黑体" w:eastAsia="黑体"/>
                        </w:rPr>
                      </w:pPr>
                      <w:r>
                        <w:rPr>
                          <w:rFonts w:hint="eastAsia" w:ascii="黑体" w:hAnsi="黑体" w:eastAsia="黑体"/>
                        </w:rPr>
                        <w:t>八公山区企业突发环境事件应急预案</w:t>
                      </w:r>
                    </w:p>
                  </w:txbxContent>
                </v:textbox>
              </v:rect>
              <v:shape id="_x0000_s1655" o:spid="_x0000_s1655" o:spt="32" type="#_x0000_t32" style="position:absolute;left:7042;top:12272;height:1;width:426;" o:connectortype="straight" filled="f" coordsize="21600,21600">
                <v:path arrowok="t"/>
                <v:fill on="f" focussize="0,0"/>
                <v:stroke endarrow="block"/>
                <v:imagedata o:title=""/>
                <o:lock v:ext="edit"/>
              </v:shape>
              <v:shape id="_x0000_s1656" o:spid="_x0000_s1656" o:spt="32" type="#_x0000_t32" style="position:absolute;left:7018;top:12141;flip:x;height:1;width:425;" o:connectortype="straight" filled="f" coordsize="21600,21600">
                <v:path arrowok="t"/>
                <v:fill on="f" focussize="0,0"/>
                <v:stroke endarrow="block"/>
                <v:imagedata o:title=""/>
                <o:lock v:ext="edit"/>
              </v:shape>
              <v:rect id="_x0000_s1657" o:spid="_x0000_s1657" o:spt="1" style="position:absolute;left:6963;top:11668;height:565;width:480;" filled="f" stroked="f" coordsize="21600,21600">
                <v:path/>
                <v:fill on="f" focussize="0,0"/>
                <v:stroke on="f"/>
                <v:imagedata o:title=""/>
                <o:lock v:ext="edit"/>
                <v:textbox>
                  <w:txbxContent>
                    <w:p>
                      <w:pPr>
                        <w:ind w:firstLine="0" w:firstLineChars="0"/>
                        <w:rPr>
                          <w:rFonts w:ascii="黑体" w:hAnsi="黑体" w:eastAsia="黑体"/>
                        </w:rPr>
                      </w:pPr>
                      <w:r>
                        <w:rPr>
                          <w:rFonts w:ascii="黑体" w:hAnsi="黑体" w:eastAsia="黑体"/>
                        </w:rPr>
                        <w:t>联</w:t>
                      </w:r>
                    </w:p>
                  </w:txbxContent>
                </v:textbox>
              </v:rect>
              <v:rect id="_x0000_s1658" o:spid="_x0000_s1658" o:spt="1" style="position:absolute;left:6978;top:12163;height:565;width:480;" filled="f" stroked="f" coordsize="21600,21600">
                <v:path/>
                <v:fill on="f" focussize="0,0"/>
                <v:stroke on="f"/>
                <v:imagedata o:title=""/>
                <o:lock v:ext="edit"/>
                <v:textbox>
                  <w:txbxContent>
                    <w:p>
                      <w:pPr>
                        <w:ind w:firstLine="0" w:firstLineChars="0"/>
                        <w:rPr>
                          <w:rFonts w:ascii="黑体" w:hAnsi="黑体" w:eastAsia="黑体"/>
                        </w:rPr>
                      </w:pPr>
                      <w:r>
                        <w:rPr>
                          <w:rFonts w:hint="eastAsia" w:ascii="黑体" w:hAnsi="黑体" w:eastAsia="黑体"/>
                        </w:rPr>
                        <w:t>动</w:t>
                      </w:r>
                    </w:p>
                  </w:txbxContent>
                </v:textbox>
              </v:rect>
            </v:group>
            <w10:wrap type="none"/>
            <w10:anchorlock/>
          </v:group>
        </w:pict>
      </w:r>
    </w:p>
    <w:p>
      <w:pPr>
        <w:pStyle w:val="38"/>
      </w:pPr>
      <w:r>
        <w:rPr>
          <w:rFonts w:hint="eastAsia"/>
        </w:rPr>
        <w:t>图4.1-2外部预案体系关系图</w:t>
      </w:r>
    </w:p>
    <w:p>
      <w:pPr>
        <w:pStyle w:val="3"/>
      </w:pPr>
      <w:bookmarkStart w:id="28" w:name="_Toc115418774"/>
      <w:r>
        <w:rPr>
          <w:rFonts w:hint="eastAsia"/>
        </w:rPr>
        <w:t>4</w:t>
      </w:r>
      <w:r>
        <w:t xml:space="preserve">.2 </w:t>
      </w:r>
      <w:r>
        <w:rPr>
          <w:rFonts w:hint="eastAsia"/>
        </w:rPr>
        <w:t>风险控制</w:t>
      </w:r>
      <w:bookmarkEnd w:id="28"/>
    </w:p>
    <w:p>
      <w:pPr>
        <w:pStyle w:val="4"/>
      </w:pPr>
      <w:r>
        <w:rPr>
          <w:rFonts w:hint="eastAsia"/>
        </w:rPr>
        <w:t>4</w:t>
      </w:r>
      <w:r>
        <w:t>.</w:t>
      </w:r>
      <w:r>
        <w:rPr>
          <w:rFonts w:hint="eastAsia"/>
        </w:rPr>
        <w:t>2</w:t>
      </w:r>
      <w:r>
        <w:t>.</w:t>
      </w:r>
      <w:r>
        <w:rPr>
          <w:rFonts w:hint="eastAsia"/>
        </w:rPr>
        <w:t>1开展污染源调查</w:t>
      </w:r>
    </w:p>
    <w:p>
      <w:pPr>
        <w:ind w:firstLine="480"/>
        <w:rPr>
          <w:szCs w:val="20"/>
        </w:rPr>
      </w:pPr>
      <w:r>
        <w:rPr>
          <w:rFonts w:hint="eastAsia"/>
          <w:szCs w:val="20"/>
        </w:rPr>
        <w:t>环境应急办公室负责组织相关部门对淮南市</w:t>
      </w:r>
      <w:r>
        <w:rPr>
          <w:rFonts w:hint="eastAsia" w:ascii="宋体" w:hAnsi="宋体"/>
          <w:szCs w:val="24"/>
          <w:lang w:bidi="en-US"/>
        </w:rPr>
        <w:t>八公山区</w:t>
      </w:r>
      <w:r>
        <w:rPr>
          <w:rFonts w:hint="eastAsia"/>
          <w:szCs w:val="20"/>
        </w:rPr>
        <w:t>内企业各自类别存在环境污染风险的污染源和危险物的开展普查工作，对</w:t>
      </w:r>
      <w:r>
        <w:rPr>
          <w:rFonts w:hint="eastAsia" w:ascii="宋体" w:hAnsi="宋体"/>
          <w:szCs w:val="24"/>
          <w:lang w:bidi="en-US"/>
        </w:rPr>
        <w:t>区区域</w:t>
      </w:r>
      <w:r>
        <w:rPr>
          <w:rFonts w:hint="eastAsia"/>
          <w:szCs w:val="20"/>
        </w:rPr>
        <w:t>内企业在生产、贮存、运输、销毁废弃化学品情况的登记备案，掌握全区存在环境污染风险的污染源和危险物，强化日常风险管理；筛选和控制对环境构成主要危害的重点污染源。对居民集中区、江河流域沿岸及水源地上游污染事故隐患企业提出相应的监管对策和意见。</w:t>
      </w:r>
    </w:p>
    <w:p>
      <w:pPr>
        <w:pStyle w:val="4"/>
      </w:pPr>
      <w:r>
        <w:rPr>
          <w:rFonts w:hint="eastAsia"/>
        </w:rPr>
        <w:t>4</w:t>
      </w:r>
      <w:r>
        <w:t>.</w:t>
      </w:r>
      <w:r>
        <w:rPr>
          <w:rFonts w:hint="eastAsia"/>
        </w:rPr>
        <w:t>2</w:t>
      </w:r>
      <w:r>
        <w:t>.</w:t>
      </w:r>
      <w:r>
        <w:rPr>
          <w:rFonts w:hint="eastAsia"/>
        </w:rPr>
        <w:t>2加强环境事件风险评价和信息库建设</w:t>
      </w:r>
    </w:p>
    <w:p>
      <w:pPr>
        <w:ind w:firstLine="480"/>
        <w:rPr>
          <w:szCs w:val="20"/>
        </w:rPr>
      </w:pPr>
      <w:r>
        <w:rPr>
          <w:rFonts w:hint="eastAsia" w:hAnsi="宋体"/>
          <w:szCs w:val="20"/>
        </w:rPr>
        <w:t>环境应急办公室应加强突发环境事件风险评价管理和事故防范、处置的宣传教育。环境应急办公室应该要求</w:t>
      </w:r>
      <w:r>
        <w:rPr>
          <w:rFonts w:hint="eastAsia" w:hAnsi="宋体"/>
          <w:szCs w:val="24"/>
          <w:lang w:bidi="en-US"/>
        </w:rPr>
        <w:t>区域</w:t>
      </w:r>
      <w:r>
        <w:rPr>
          <w:rFonts w:hint="eastAsia" w:hAnsi="宋体"/>
          <w:szCs w:val="20"/>
        </w:rPr>
        <w:t>内所有存在危险源企业进行企业环境风险核查和专项评价工作，并对各企业评价报告组织专家进行评审，通过后，由企业报送</w:t>
      </w:r>
      <w:r>
        <w:rPr>
          <w:rFonts w:hint="eastAsia"/>
          <w:szCs w:val="20"/>
        </w:rPr>
        <w:t>淮南市八公山区生态环境分局</w:t>
      </w:r>
      <w:r>
        <w:rPr>
          <w:rFonts w:hint="eastAsia" w:hAnsi="宋体"/>
          <w:szCs w:val="20"/>
        </w:rPr>
        <w:t>进行登记备案保存。应急领导小组还应指导区域内各企事业单位完善各类突发环境事件应急预案。</w:t>
      </w:r>
    </w:p>
    <w:p>
      <w:pPr>
        <w:ind w:firstLine="480"/>
        <w:rPr>
          <w:rFonts w:hAnsi="宋体"/>
          <w:szCs w:val="20"/>
        </w:rPr>
      </w:pPr>
      <w:r>
        <w:rPr>
          <w:rFonts w:hint="eastAsia" w:hAnsi="宋体"/>
          <w:szCs w:val="20"/>
        </w:rPr>
        <w:t>另外淮南市</w:t>
      </w:r>
      <w:r>
        <w:rPr>
          <w:rFonts w:hint="eastAsia"/>
          <w:szCs w:val="24"/>
          <w:lang w:bidi="en-US"/>
        </w:rPr>
        <w:t>八公山区</w:t>
      </w:r>
      <w:r>
        <w:rPr>
          <w:rFonts w:hint="eastAsia" w:hAnsi="宋体"/>
          <w:szCs w:val="20"/>
        </w:rPr>
        <w:t>还应积极筹措资金，委托专业机构，建立健全</w:t>
      </w:r>
      <w:r>
        <w:rPr>
          <w:rFonts w:hint="eastAsia" w:hAnsi="宋体"/>
          <w:szCs w:val="24"/>
          <w:lang w:bidi="en-US"/>
        </w:rPr>
        <w:t>淮南市八公山区</w:t>
      </w:r>
      <w:r>
        <w:rPr>
          <w:rFonts w:hint="eastAsia" w:hAnsi="宋体"/>
          <w:szCs w:val="20"/>
        </w:rPr>
        <w:t>环境事件风险评价的技术咨询支持系统、化学品特性和污染应急救援数据信息库，为应急指挥及时提供决策的咨询依据和信息保障。委托专业机构、科研院所开展对突发环境事件的预测、预警和风险评估管理及应急技术的科学研究，组织环保事故防范和处置的宣传教育，建立第一时间获取突发环境事件信息的有关渠道。</w:t>
      </w:r>
    </w:p>
    <w:p>
      <w:pPr>
        <w:ind w:firstLine="480"/>
        <w:rPr>
          <w:rFonts w:hAnsi="宋体"/>
          <w:szCs w:val="24"/>
          <w:lang w:bidi="en-US"/>
        </w:rPr>
      </w:pPr>
      <w:r>
        <w:rPr>
          <w:rFonts w:hint="eastAsia" w:hAnsi="宋体"/>
          <w:szCs w:val="24"/>
          <w:lang w:bidi="en-US"/>
        </w:rPr>
        <w:t>八公山区生态环境分局应定期了解区内各企业清净下水池、事故应急池、雨水池和消防水池的建设和运行情况，对不规范的情况要求其整改；定期对企业危废库、危险化学品进行检查，要求不规范的存储区域进行整改。</w:t>
      </w:r>
    </w:p>
    <w:p>
      <w:pPr>
        <w:pStyle w:val="3"/>
      </w:pPr>
      <w:bookmarkStart w:id="29" w:name="_Toc115418775"/>
      <w:r>
        <w:rPr>
          <w:rFonts w:hint="eastAsia"/>
        </w:rPr>
        <w:t>4</w:t>
      </w:r>
      <w:r>
        <w:t xml:space="preserve">.3 </w:t>
      </w:r>
      <w:r>
        <w:rPr>
          <w:rFonts w:hint="eastAsia"/>
        </w:rPr>
        <w:t>应急队伍</w:t>
      </w:r>
      <w:bookmarkEnd w:id="29"/>
    </w:p>
    <w:p>
      <w:pPr>
        <w:ind w:firstLine="480"/>
      </w:pPr>
      <w:r>
        <w:rPr>
          <w:rFonts w:hint="eastAsia"/>
        </w:rPr>
        <w:t>区政府及区生态环境主管部门要不断推进环境应急救援能力建设，探索依托社会力量建立专业化环境应急救援队伍模式，定期开展培训和演练，提高突发环境事件快速响应及应急处置能力。</w:t>
      </w:r>
    </w:p>
    <w:p>
      <w:pPr>
        <w:ind w:firstLine="480"/>
      </w:pPr>
      <w:r>
        <w:rPr>
          <w:rFonts w:hint="eastAsia"/>
        </w:rPr>
        <w:t>承担环境安全主体责任的企事业单位和其他生产经营者应当加强环境应急处置救援能力建设，加大员工培训力度，提高自救互救能力，确保环境应急先期处置有序有效。</w:t>
      </w:r>
    </w:p>
    <w:p>
      <w:pPr>
        <w:pStyle w:val="3"/>
      </w:pPr>
      <w:bookmarkStart w:id="30" w:name="_Toc54945202"/>
      <w:bookmarkStart w:id="31" w:name="_Toc115418776"/>
      <w:r>
        <w:rPr>
          <w:rFonts w:hint="eastAsia"/>
        </w:rPr>
        <w:t>4</w:t>
      </w:r>
      <w:r>
        <w:t xml:space="preserve">.4 </w:t>
      </w:r>
      <w:bookmarkEnd w:id="30"/>
      <w:r>
        <w:rPr>
          <w:rFonts w:hint="eastAsia"/>
        </w:rPr>
        <w:t>物资装备</w:t>
      </w:r>
      <w:bookmarkEnd w:id="31"/>
    </w:p>
    <w:p>
      <w:pPr>
        <w:ind w:firstLine="480"/>
      </w:pPr>
      <w:r>
        <w:rPr>
          <w:rFonts w:hint="eastAsia"/>
        </w:rPr>
        <w:t>区级及以上生态环境主管部门应健全制度和规划，了解、掌握符合实际需求的监测设备及监测方法，借助企业的监测仪器设备和装备应对突发环境事件；建立物资储备信息库并实行动态管理，有条件的地区应设立实物储备库。</w:t>
      </w:r>
    </w:p>
    <w:p>
      <w:pPr>
        <w:ind w:firstLine="480"/>
      </w:pPr>
      <w:r>
        <w:rPr>
          <w:rFonts w:hint="eastAsia"/>
        </w:rPr>
        <w:t>承担环境安全主体责任的企事业单位和其他生产经营者应当储备必要的应急装备和物资。</w:t>
      </w:r>
    </w:p>
    <w:p>
      <w:pPr>
        <w:pStyle w:val="3"/>
      </w:pPr>
      <w:bookmarkStart w:id="32" w:name="_Toc115418777"/>
      <w:r>
        <w:rPr>
          <w:rFonts w:hint="eastAsia"/>
        </w:rPr>
        <w:t>4</w:t>
      </w:r>
      <w:r>
        <w:t>.</w:t>
      </w:r>
      <w:r>
        <w:rPr>
          <w:rFonts w:hint="eastAsia"/>
        </w:rPr>
        <w:t>5 科技支撑</w:t>
      </w:r>
      <w:bookmarkEnd w:id="32"/>
    </w:p>
    <w:p>
      <w:pPr>
        <w:ind w:firstLine="480"/>
      </w:pPr>
      <w:r>
        <w:rPr>
          <w:rFonts w:hint="eastAsia"/>
        </w:rPr>
        <w:t>有关部门应积极推进环保先进技术、装备的研究和应用，为环境应急处置提供科技支撑。区级及以上生态环境主管部门应建立突发环境事件应急专家库，规范专家管理和使用，充分发挥专家的决策咨询作用。</w:t>
      </w:r>
    </w:p>
    <w:p>
      <w:pPr>
        <w:pStyle w:val="3"/>
      </w:pPr>
      <w:bookmarkStart w:id="33" w:name="_Toc115418778"/>
      <w:r>
        <w:rPr>
          <w:rFonts w:hint="eastAsia"/>
        </w:rPr>
        <w:t>4</w:t>
      </w:r>
      <w:r>
        <w:t>.</w:t>
      </w:r>
      <w:r>
        <w:rPr>
          <w:rFonts w:hint="eastAsia"/>
        </w:rPr>
        <w:t xml:space="preserve">6 </w:t>
      </w:r>
      <w:r>
        <w:t>联动机制</w:t>
      </w:r>
      <w:bookmarkEnd w:id="33"/>
    </w:p>
    <w:p>
      <w:pPr>
        <w:ind w:firstLine="480"/>
        <w:rPr>
          <w:kern w:val="0"/>
        </w:rPr>
      </w:pPr>
      <w:r>
        <w:rPr>
          <w:rFonts w:hint="eastAsia"/>
          <w:kern w:val="0"/>
        </w:rPr>
        <w:t>根据区域或流域环境风险防范需要，加强与相邻地区环境应急管理部门的联动，健全风险防范、信息通报和应急联动机制；加强生态环境部门与其他部门的联动机制建设，协同高效处置各类突发环境事件。</w:t>
      </w:r>
    </w:p>
    <w:p>
      <w:pPr>
        <w:ind w:firstLine="480"/>
        <w:rPr>
          <w:kern w:val="0"/>
        </w:rPr>
      </w:pPr>
    </w:p>
    <w:p>
      <w:pPr>
        <w:ind w:firstLine="480"/>
        <w:rPr>
          <w:kern w:val="0"/>
        </w:rPr>
      </w:pPr>
    </w:p>
    <w:p>
      <w:pPr>
        <w:pStyle w:val="2"/>
        <w:sectPr>
          <w:footerReference r:id="rId11" w:type="first"/>
          <w:pgSz w:w="11906" w:h="16838"/>
          <w:pgMar w:top="1440" w:right="1800" w:bottom="1440" w:left="1800" w:header="720" w:footer="720" w:gutter="0"/>
          <w:pgNumType w:start="17"/>
          <w:cols w:space="720" w:num="1"/>
          <w:titlePg/>
          <w:docGrid w:type="lines" w:linePitch="326" w:charSpace="0"/>
        </w:sectPr>
      </w:pPr>
      <w:bookmarkStart w:id="34" w:name="_Toc54945203"/>
    </w:p>
    <w:p>
      <w:pPr>
        <w:pStyle w:val="2"/>
      </w:pPr>
      <w:bookmarkStart w:id="35" w:name="_Toc115418779"/>
      <w:r>
        <w:rPr>
          <w:rFonts w:hint="eastAsia"/>
        </w:rPr>
        <w:t>5</w:t>
      </w:r>
      <w:bookmarkEnd w:id="34"/>
      <w:r>
        <w:rPr>
          <w:rFonts w:hint="eastAsia"/>
        </w:rPr>
        <w:t>监测预警</w:t>
      </w:r>
      <w:bookmarkEnd w:id="35"/>
    </w:p>
    <w:p>
      <w:pPr>
        <w:pStyle w:val="3"/>
      </w:pPr>
      <w:bookmarkStart w:id="36" w:name="_Toc54945204"/>
      <w:bookmarkStart w:id="37" w:name="_Toc115418780"/>
      <w:r>
        <w:rPr>
          <w:rFonts w:hint="eastAsia"/>
        </w:rPr>
        <w:t>5</w:t>
      </w:r>
      <w:r>
        <w:t xml:space="preserve">.1 </w:t>
      </w:r>
      <w:bookmarkEnd w:id="36"/>
      <w:r>
        <w:rPr>
          <w:rFonts w:hint="eastAsia"/>
        </w:rPr>
        <w:t>监测</w:t>
      </w:r>
      <w:bookmarkEnd w:id="37"/>
    </w:p>
    <w:p>
      <w:pPr>
        <w:ind w:firstLine="480"/>
      </w:pPr>
      <w:r>
        <w:rPr>
          <w:rFonts w:hint="eastAsia"/>
        </w:rPr>
        <w:t>区环境应急办公室建立健全环境突发事件监测机制，提高监测技术水平；通过日常环境监测、互联网信息、环境污染举报等途径，加强突发环境事件苗头信息收集；自然资源和规划、住房与城乡建设、公安、农业农村水利、卫生健康委员会、应急管理和消防等部门，应当及时将可能导致突发环境事件的信息通报同级生态环境主管部门。承担环境安全主体责任的企事业单位应建立健全监测制度，强化监测手段，提高监测能力。</w:t>
      </w:r>
    </w:p>
    <w:p>
      <w:pPr>
        <w:pStyle w:val="3"/>
      </w:pPr>
      <w:bookmarkStart w:id="38" w:name="_Toc54945205"/>
      <w:bookmarkStart w:id="39" w:name="_Toc115418781"/>
      <w:r>
        <w:rPr>
          <w:rFonts w:hint="eastAsia"/>
        </w:rPr>
        <w:t>5</w:t>
      </w:r>
      <w:r>
        <w:t xml:space="preserve">.2 </w:t>
      </w:r>
      <w:bookmarkEnd w:id="38"/>
      <w:r>
        <w:rPr>
          <w:rFonts w:hint="eastAsia"/>
        </w:rPr>
        <w:t>预警</w:t>
      </w:r>
      <w:bookmarkEnd w:id="39"/>
    </w:p>
    <w:p>
      <w:pPr>
        <w:pStyle w:val="4"/>
      </w:pPr>
      <w:r>
        <w:rPr>
          <w:rFonts w:hint="eastAsia"/>
        </w:rPr>
        <w:t>5</w:t>
      </w:r>
      <w:r>
        <w:t>.</w:t>
      </w:r>
      <w:r>
        <w:rPr>
          <w:rFonts w:hint="eastAsia"/>
        </w:rPr>
        <w:t>2</w:t>
      </w:r>
      <w:r>
        <w:t xml:space="preserve">.1 </w:t>
      </w:r>
      <w:r>
        <w:rPr>
          <w:rFonts w:hint="eastAsia"/>
        </w:rPr>
        <w:t>预警分级</w:t>
      </w:r>
    </w:p>
    <w:p>
      <w:pPr>
        <w:ind w:firstLine="480"/>
      </w:pPr>
      <w:r>
        <w:rPr>
          <w:rFonts w:hAnsi="宋体"/>
        </w:rPr>
        <w:t>区环境应急办公室根据收集到的信息，按照紧急程度、发展态势和可能造成的危害程度对突发环境事件进行初步研判，并报</w:t>
      </w:r>
      <w:r>
        <w:rPr>
          <w:rFonts w:hint="eastAsia" w:hAnsi="宋体"/>
        </w:rPr>
        <w:t>本级人民政府</w:t>
      </w:r>
      <w:r>
        <w:rPr>
          <w:rFonts w:hAnsi="宋体"/>
        </w:rPr>
        <w:t>发布预警信息。突发环境事件的预警分为四级。预警级别由低到高，分别为</w:t>
      </w:r>
      <w:r>
        <w:t>Ⅳ</w:t>
      </w:r>
      <w:r>
        <w:rPr>
          <w:rFonts w:hAnsi="宋体"/>
        </w:rPr>
        <w:t>级、</w:t>
      </w:r>
      <w:r>
        <w:t>Ⅲ</w:t>
      </w:r>
      <w:r>
        <w:rPr>
          <w:rFonts w:hAnsi="宋体"/>
        </w:rPr>
        <w:t>级、</w:t>
      </w:r>
      <w:r>
        <w:t>Ⅱ</w:t>
      </w:r>
      <w:r>
        <w:rPr>
          <w:rFonts w:hAnsi="宋体"/>
        </w:rPr>
        <w:t>级和</w:t>
      </w:r>
      <w:r>
        <w:t>Ⅰ</w:t>
      </w:r>
      <w:r>
        <w:rPr>
          <w:rFonts w:hAnsi="宋体"/>
        </w:rPr>
        <w:t>级预警</w:t>
      </w:r>
      <w:r>
        <w:rPr>
          <w:rFonts w:hint="eastAsia" w:hAnsi="宋体"/>
        </w:rPr>
        <w:t>，</w:t>
      </w:r>
      <w:r>
        <w:rPr>
          <w:rFonts w:hAnsi="宋体"/>
        </w:rPr>
        <w:t>颜色依次为蓝色、黄色、橙色和红色</w:t>
      </w:r>
      <w:r>
        <w:rPr>
          <w:rFonts w:hint="eastAsia"/>
        </w:rPr>
        <w:t>。</w:t>
      </w:r>
      <w:r>
        <w:rPr>
          <w:rFonts w:hAnsi="宋体"/>
        </w:rPr>
        <w:t>根据事态的发展情况和采取措施的效果</w:t>
      </w:r>
      <w:r>
        <w:rPr>
          <w:rFonts w:hint="eastAsia" w:hAnsi="宋体"/>
        </w:rPr>
        <w:t>，</w:t>
      </w:r>
      <w:r>
        <w:rPr>
          <w:rFonts w:hAnsi="宋体"/>
        </w:rPr>
        <w:t>预警颜色可以升级、降级或解除。</w:t>
      </w:r>
    </w:p>
    <w:p>
      <w:pPr>
        <w:ind w:firstLine="480"/>
      </w:pPr>
      <w:r>
        <w:t>Ⅳ</w:t>
      </w:r>
      <w:r>
        <w:rPr>
          <w:rFonts w:hAnsi="宋体"/>
        </w:rPr>
        <w:t>级：存在环境安全隐患，可能发生一般突发环境事件，致使生态破坏、少量人员中毒伤亡的，发布蓝色预警。</w:t>
      </w:r>
    </w:p>
    <w:p>
      <w:pPr>
        <w:ind w:firstLine="480"/>
      </w:pPr>
      <w:r>
        <w:t>Ⅲ</w:t>
      </w:r>
      <w:r>
        <w:rPr>
          <w:rFonts w:hAnsi="宋体"/>
        </w:rPr>
        <w:t>级：情况比较紧急，可能发生较大突发环境事件，或对饮用水源保护区可能造成污染，或一般突发环境事件可能进一步扩大影响范围，致使较大生态破坏、较多人员中毒伤亡的，发布黄色预警。</w:t>
      </w:r>
    </w:p>
    <w:p>
      <w:pPr>
        <w:ind w:firstLine="480"/>
      </w:pPr>
      <w:r>
        <w:t>Ⅱ</w:t>
      </w:r>
      <w:r>
        <w:rPr>
          <w:rFonts w:hAnsi="宋体"/>
        </w:rPr>
        <w:t>级：情况紧急，可能发生重大突发环境事件，或较大突发环境事件可能进一步扩大影响范围，致使生态破坏严重、众多人员中毒伤亡的，发布橙色预警。</w:t>
      </w:r>
    </w:p>
    <w:p>
      <w:pPr>
        <w:ind w:firstLine="480"/>
        <w:rPr>
          <w:rFonts w:hAnsi="宋体"/>
        </w:rPr>
      </w:pPr>
      <w:r>
        <w:t>Ⅰ</w:t>
      </w:r>
      <w:r>
        <w:rPr>
          <w:rFonts w:hAnsi="宋体"/>
        </w:rPr>
        <w:t>级：情况危急</w:t>
      </w:r>
      <w:r>
        <w:rPr>
          <w:rFonts w:hint="eastAsia" w:hAnsi="宋体"/>
        </w:rPr>
        <w:t>，</w:t>
      </w:r>
      <w:r>
        <w:rPr>
          <w:rFonts w:hAnsi="宋体"/>
        </w:rPr>
        <w:t>可能发生特别重大突发环境事件，或重大突发环境事件可能进一步扩大影响范围，致使重大生态破坏、重大人员伤亡的，发布红色预警。</w:t>
      </w:r>
    </w:p>
    <w:p>
      <w:pPr>
        <w:ind w:firstLine="480"/>
      </w:pPr>
      <w:r>
        <w:rPr>
          <w:rFonts w:hAnsi="宋体"/>
        </w:rPr>
        <w:t>根据事态发展情况和采取措施的效果，预警级别可以升、降或解除。</w:t>
      </w:r>
    </w:p>
    <w:p>
      <w:pPr>
        <w:pStyle w:val="4"/>
      </w:pPr>
      <w:r>
        <w:rPr>
          <w:rFonts w:hint="eastAsia"/>
        </w:rPr>
        <w:t>5</w:t>
      </w:r>
      <w:r>
        <w:t>.</w:t>
      </w:r>
      <w:r>
        <w:rPr>
          <w:rFonts w:hint="eastAsia"/>
        </w:rPr>
        <w:t>2</w:t>
      </w:r>
      <w:r>
        <w:t>.</w:t>
      </w:r>
      <w:r>
        <w:rPr>
          <w:rFonts w:hint="eastAsia"/>
        </w:rPr>
        <w:t>2预警信息发布</w:t>
      </w:r>
    </w:p>
    <w:p>
      <w:pPr>
        <w:ind w:firstLine="480"/>
      </w:pPr>
      <w:r>
        <w:rPr>
          <w:rFonts w:hint="eastAsia"/>
        </w:rPr>
        <w:t>1、预警发布内容</w:t>
      </w:r>
    </w:p>
    <w:p>
      <w:pPr>
        <w:ind w:firstLine="480"/>
      </w:pPr>
      <w:r>
        <w:rPr>
          <w:rFonts w:hint="eastAsia"/>
        </w:rPr>
        <w:t>预警信息发布内容主要包括预警原因、预警级别、可能影响范围、警示事项、预警时间、应当采取的措施和发布机关等。</w:t>
      </w:r>
    </w:p>
    <w:p>
      <w:pPr>
        <w:ind w:firstLine="480"/>
      </w:pPr>
      <w:r>
        <w:rPr>
          <w:rFonts w:hint="eastAsia"/>
        </w:rPr>
        <w:t>2、预警发布渠道</w:t>
      </w:r>
    </w:p>
    <w:p>
      <w:pPr>
        <w:ind w:firstLine="480"/>
      </w:pPr>
      <w:r>
        <w:rPr>
          <w:rFonts w:hint="eastAsia"/>
        </w:rPr>
        <w:t>预警信息可通过广播、电视、报刊、通信、信息网络、手机、警报器、宣传车、大喇叭、新媒体等渠道或方式向本行政区域公众发布，针对老、幼、病、残、孕等特殊人群可组织人员逐户当面告知等方式。</w:t>
      </w:r>
    </w:p>
    <w:p>
      <w:pPr>
        <w:ind w:firstLine="480"/>
      </w:pPr>
      <w:r>
        <w:rPr>
          <w:rFonts w:hint="eastAsia"/>
        </w:rPr>
        <w:t>3、预警发布流程</w:t>
      </w:r>
    </w:p>
    <w:p>
      <w:pPr>
        <w:ind w:firstLine="480"/>
      </w:pPr>
      <w:r>
        <w:rPr>
          <w:rFonts w:hint="eastAsia"/>
        </w:rPr>
        <w:t>区生态环境分局研判可能发生突发环境事件时，应当及时向本级人民政府提出发布预警信息的建议，并通报同级相关部门和单位。区人民政府或其授权的相关部门及时、准确向公众发布预警信息，并通报可能影响到的相关地区。</w:t>
      </w:r>
    </w:p>
    <w:p>
      <w:pPr>
        <w:pStyle w:val="4"/>
      </w:pPr>
      <w:r>
        <w:rPr>
          <w:rFonts w:hint="eastAsia"/>
        </w:rPr>
        <w:t>5</w:t>
      </w:r>
      <w:r>
        <w:t>.</w:t>
      </w:r>
      <w:r>
        <w:rPr>
          <w:rFonts w:hint="eastAsia"/>
        </w:rPr>
        <w:t>2</w:t>
      </w:r>
      <w:r>
        <w:t>.</w:t>
      </w:r>
      <w:r>
        <w:rPr>
          <w:rFonts w:hint="eastAsia"/>
        </w:rPr>
        <w:t>3预警措施</w:t>
      </w:r>
    </w:p>
    <w:p>
      <w:pPr>
        <w:ind w:firstLine="480"/>
      </w:pPr>
      <w:r>
        <w:rPr>
          <w:rFonts w:hint="eastAsia"/>
        </w:rPr>
        <w:t>预警信息发布后，指挥部视情况采取以下措施：</w:t>
      </w:r>
    </w:p>
    <w:p>
      <w:pPr>
        <w:ind w:firstLine="480"/>
      </w:pPr>
      <w:r>
        <w:rPr>
          <w:rFonts w:hint="eastAsia"/>
        </w:rPr>
        <w:t>（1）分析研判。组织有关部门和机构、专业技术人员及专家，及时对预警信息进行分析研判，预估影响范围和危害程度。</w:t>
      </w:r>
    </w:p>
    <w:p>
      <w:pPr>
        <w:ind w:firstLine="480"/>
        <w:rPr>
          <w:szCs w:val="20"/>
        </w:rPr>
      </w:pPr>
      <w:r>
        <w:rPr>
          <w:rFonts w:hint="eastAsia"/>
          <w:szCs w:val="20"/>
        </w:rPr>
        <w:t>（</w:t>
      </w:r>
      <w:r>
        <w:rPr>
          <w:szCs w:val="20"/>
        </w:rPr>
        <w:t>2</w:t>
      </w:r>
      <w:r>
        <w:rPr>
          <w:rFonts w:hint="eastAsia"/>
          <w:szCs w:val="20"/>
        </w:rPr>
        <w:t>）启动预案。根据研判结果应急指挥部立即启动相关突发环境事件应急预案。</w:t>
      </w:r>
    </w:p>
    <w:p>
      <w:pPr>
        <w:ind w:firstLine="480"/>
        <w:rPr>
          <w:szCs w:val="20"/>
        </w:rPr>
      </w:pPr>
      <w:r>
        <w:rPr>
          <w:rFonts w:hint="eastAsia"/>
          <w:szCs w:val="20"/>
        </w:rPr>
        <w:t>（</w:t>
      </w:r>
      <w:r>
        <w:rPr>
          <w:szCs w:val="20"/>
        </w:rPr>
        <w:t>3</w:t>
      </w:r>
      <w:r>
        <w:rPr>
          <w:rFonts w:hint="eastAsia"/>
          <w:szCs w:val="20"/>
        </w:rPr>
        <w:t>）动员人员。向各相关部门和单位发出指令，相关人员进入待命状态，并动员后备人员做好参加应急响应工作的准备。</w:t>
      </w:r>
    </w:p>
    <w:p>
      <w:pPr>
        <w:ind w:firstLine="480"/>
      </w:pPr>
      <w:r>
        <w:rPr>
          <w:rFonts w:hint="eastAsia"/>
        </w:rPr>
        <w:t>（4）防范处置。设置危害警告标志，采取健康防护措施；提前疏散、转移可能受到危害的人员；指令应急救援队伍进入待命状态，调集应急处置所需物资和装备，做好应急保障工作；对可能导致突发环境事件发生的相关企事业单位和其他生产经营者加强环境监管。</w:t>
      </w:r>
    </w:p>
    <w:p>
      <w:pPr>
        <w:ind w:firstLine="480"/>
        <w:rPr>
          <w:szCs w:val="20"/>
        </w:rPr>
      </w:pPr>
      <w:r>
        <w:rPr>
          <w:rFonts w:hint="eastAsia"/>
          <w:szCs w:val="20"/>
        </w:rPr>
        <w:t>（</w:t>
      </w:r>
      <w:r>
        <w:rPr>
          <w:szCs w:val="20"/>
        </w:rPr>
        <w:t>5</w:t>
      </w:r>
      <w:r>
        <w:rPr>
          <w:rFonts w:hint="eastAsia"/>
          <w:szCs w:val="20"/>
        </w:rPr>
        <w:t>）应急准备。转移、撤离或疏散可能受到突发环境事件危害的人员，并进行妥善安置；指令环境应急救援队伍进入待命状态，环境监测机构组织开展应急监测，随时掌握并报告事态发展情况；针对突发环境事件可能造成的危害，封闭、隔离或者限制使用有关场所，中止可能导致危害扩大的行为和活动；及时调集环境应急所需物资和设备，确保应急保障工作落实；作好启动突发环境事件应急预案的准备。</w:t>
      </w:r>
    </w:p>
    <w:p>
      <w:pPr>
        <w:ind w:firstLine="480"/>
        <w:rPr>
          <w:szCs w:val="20"/>
        </w:rPr>
      </w:pPr>
      <w:r>
        <w:rPr>
          <w:rFonts w:hint="eastAsia"/>
          <w:szCs w:val="20"/>
        </w:rPr>
        <w:t>（</w:t>
      </w:r>
      <w:r>
        <w:rPr>
          <w:szCs w:val="20"/>
        </w:rPr>
        <w:t>6</w:t>
      </w:r>
      <w:r>
        <w:rPr>
          <w:rFonts w:hint="eastAsia"/>
          <w:szCs w:val="20"/>
        </w:rPr>
        <w:t>）调集资源。调集环境应急物资和设备，确保应急工作顺利进行。</w:t>
      </w:r>
    </w:p>
    <w:p>
      <w:pPr>
        <w:ind w:firstLine="480"/>
      </w:pPr>
      <w:r>
        <w:rPr>
          <w:rFonts w:hint="eastAsia"/>
        </w:rPr>
        <w:t>（7）舆论引导。及时准确发布事态最新情况，公布咨询电话，组织专家解读；加强舆情监测，做好舆论引导工作。</w:t>
      </w:r>
    </w:p>
    <w:p>
      <w:pPr>
        <w:ind w:firstLine="480"/>
      </w:pPr>
      <w:r>
        <w:pict>
          <v:group id="_x0000_s1516" o:spid="_x0000_s1516" o:spt="203" style="height:284.7pt;width:415.3pt;" coordorigin="2280,2541" coordsize="8306,5694" editas="canvas">
            <o:lock v:ext="edit"/>
            <v:shape id="_x0000_s1515" o:spid="_x0000_s1515" o:spt="75" type="#_x0000_t75" style="position:absolute;left:2280;top:2541;height:5694;width:8306;" filled="f" o:preferrelative="f" stroked="f" coordsize="21600,21600">
              <v:fill on="f" focussize="0,0"/>
              <v:stroke on="f" joinstyle="miter"/>
              <v:imagedata o:title=""/>
              <o:lock v:ext="edit" text="t" aspectratio="t"/>
            </v:shape>
            <v:group id="_x0000_s1629" o:spid="_x0000_s1629" o:spt="203" style="position:absolute;left:2446;top:2667;height:5355;width:8072;" coordorigin="2446,2667" coordsize="8072,5355">
              <o:lock v:ext="edit"/>
              <v:rect id="_x0000_s1519" o:spid="_x0000_s1519" o:spt="1" style="position:absolute;left:5300;top:3495;height:464;width:2362;" coordsize="21600,21600">
                <v:path/>
                <v:fill focussize="0,0"/>
                <v:stroke/>
                <v:imagedata o:title=""/>
                <o:lock v:ext="edit"/>
                <v:textbox>
                  <w:txbxContent>
                    <w:p>
                      <w:pPr>
                        <w:spacing w:line="276" w:lineRule="auto"/>
                        <w:ind w:firstLine="0" w:firstLineChars="0"/>
                        <w:jc w:val="center"/>
                        <w:rPr>
                          <w:rFonts w:ascii="黑体" w:hAnsi="黑体" w:eastAsia="黑体"/>
                          <w:szCs w:val="24"/>
                        </w:rPr>
                      </w:pPr>
                      <w:r>
                        <w:rPr>
                          <w:rFonts w:ascii="黑体" w:hAnsi="黑体" w:eastAsia="黑体"/>
                          <w:szCs w:val="24"/>
                        </w:rPr>
                        <w:t>被人员或监控系统发现</w:t>
                      </w:r>
                    </w:p>
                  </w:txbxContent>
                </v:textbox>
              </v:rect>
              <v:rect id="_x0000_s1525" o:spid="_x0000_s1525" o:spt="1" style="position:absolute;left:5301;top:2667;height:465;width:2363;" coordsize="21600,21600">
                <v:path/>
                <v:fill focussize="0,0"/>
                <v:stroke/>
                <v:imagedata o:title=""/>
                <o:lock v:ext="edit"/>
                <v:textbox>
                  <w:txbxContent>
                    <w:p>
                      <w:pPr>
                        <w:spacing w:line="276" w:lineRule="auto"/>
                        <w:ind w:firstLine="0" w:firstLineChars="0"/>
                        <w:jc w:val="center"/>
                        <w:rPr>
                          <w:rFonts w:ascii="黑体" w:hAnsi="黑体" w:eastAsia="黑体"/>
                          <w:szCs w:val="24"/>
                        </w:rPr>
                      </w:pPr>
                      <w:r>
                        <w:rPr>
                          <w:rFonts w:hint="eastAsia" w:ascii="黑体" w:hAnsi="黑体" w:eastAsia="黑体"/>
                          <w:szCs w:val="24"/>
                        </w:rPr>
                        <w:t>事故发生</w:t>
                      </w:r>
                    </w:p>
                  </w:txbxContent>
                </v:textbox>
              </v:rect>
              <v:rect id="_x0000_s1527" o:spid="_x0000_s1527" o:spt="1" style="position:absolute;left:5300;top:4331;height:466;width:2364;" coordsize="21600,21600">
                <v:path/>
                <v:fill focussize="0,0"/>
                <v:stroke/>
                <v:imagedata o:title=""/>
                <o:lock v:ext="edit"/>
                <v:textbox>
                  <w:txbxContent>
                    <w:p>
                      <w:pPr>
                        <w:spacing w:line="276" w:lineRule="auto"/>
                        <w:ind w:firstLine="0" w:firstLineChars="0"/>
                        <w:jc w:val="center"/>
                        <w:rPr>
                          <w:rFonts w:ascii="黑体" w:hAnsi="黑体" w:eastAsia="黑体"/>
                          <w:szCs w:val="24"/>
                        </w:rPr>
                      </w:pPr>
                      <w:r>
                        <w:rPr>
                          <w:rFonts w:hint="eastAsia" w:ascii="黑体" w:hAnsi="黑体" w:eastAsia="黑体"/>
                          <w:szCs w:val="24"/>
                        </w:rPr>
                        <w:t>通知上级领导</w:t>
                      </w:r>
                    </w:p>
                  </w:txbxContent>
                </v:textbox>
              </v:rect>
              <v:rect id="_x0000_s1528" o:spid="_x0000_s1528" o:spt="1" style="position:absolute;left:5301;top:5157;height:466;width:2363;" coordsize="21600,21600">
                <v:path/>
                <v:fill focussize="0,0"/>
                <v:stroke/>
                <v:imagedata o:title=""/>
                <o:lock v:ext="edit"/>
                <v:textbox>
                  <w:txbxContent>
                    <w:p>
                      <w:pPr>
                        <w:spacing w:line="276" w:lineRule="auto"/>
                        <w:ind w:firstLine="0" w:firstLineChars="0"/>
                        <w:jc w:val="center"/>
                        <w:rPr>
                          <w:rFonts w:ascii="黑体" w:hAnsi="黑体" w:eastAsia="黑体"/>
                          <w:szCs w:val="24"/>
                        </w:rPr>
                      </w:pPr>
                      <w:r>
                        <w:rPr>
                          <w:rFonts w:hint="eastAsia" w:ascii="黑体" w:hAnsi="黑体" w:eastAsia="黑体"/>
                          <w:szCs w:val="24"/>
                        </w:rPr>
                        <w:t>信息</w:t>
                      </w:r>
                      <w:r>
                        <w:rPr>
                          <w:rFonts w:ascii="黑体" w:hAnsi="黑体" w:eastAsia="黑体"/>
                          <w:szCs w:val="24"/>
                        </w:rPr>
                        <w:t>分析</w:t>
                      </w:r>
                    </w:p>
                  </w:txbxContent>
                </v:textbox>
              </v:rect>
              <v:rect id="_x0000_s1529" o:spid="_x0000_s1529" o:spt="1" style="position:absolute;left:5301;top:5983;height:465;width:2363;" coordsize="21600,21600">
                <v:path/>
                <v:fill focussize="0,0"/>
                <v:stroke/>
                <v:imagedata o:title=""/>
                <o:lock v:ext="edit"/>
                <v:textbox>
                  <w:txbxContent>
                    <w:p>
                      <w:pPr>
                        <w:spacing w:line="276" w:lineRule="auto"/>
                        <w:ind w:firstLine="0" w:firstLineChars="0"/>
                        <w:jc w:val="center"/>
                        <w:rPr>
                          <w:rFonts w:ascii="黑体" w:hAnsi="黑体" w:eastAsia="黑体"/>
                          <w:szCs w:val="24"/>
                        </w:rPr>
                      </w:pPr>
                      <w:r>
                        <w:rPr>
                          <w:rFonts w:hint="eastAsia" w:ascii="黑体" w:hAnsi="黑体" w:eastAsia="黑体"/>
                          <w:szCs w:val="24"/>
                        </w:rPr>
                        <w:t>确定预警级别</w:t>
                      </w:r>
                    </w:p>
                  </w:txbxContent>
                </v:textbox>
              </v:rect>
              <v:rect id="_x0000_s1530" o:spid="_x0000_s1530" o:spt="1" style="position:absolute;left:5301;top:6808;height:465;width:2363;" coordsize="21600,21600">
                <v:path/>
                <v:fill focussize="0,0"/>
                <v:stroke/>
                <v:imagedata o:title=""/>
                <o:lock v:ext="edit"/>
                <v:textbox>
                  <w:txbxContent>
                    <w:p>
                      <w:pPr>
                        <w:spacing w:line="276" w:lineRule="auto"/>
                        <w:ind w:firstLine="0" w:firstLineChars="0"/>
                        <w:jc w:val="center"/>
                        <w:rPr>
                          <w:rFonts w:ascii="黑体" w:hAnsi="黑体" w:eastAsia="黑体"/>
                          <w:szCs w:val="24"/>
                        </w:rPr>
                      </w:pPr>
                      <w:r>
                        <w:rPr>
                          <w:rFonts w:hint="eastAsia" w:ascii="黑体" w:hAnsi="黑体" w:eastAsia="黑体"/>
                          <w:szCs w:val="24"/>
                        </w:rPr>
                        <w:t>预警信息宣布</w:t>
                      </w:r>
                    </w:p>
                  </w:txbxContent>
                </v:textbox>
              </v:rect>
              <v:rect id="_x0000_s1531" o:spid="_x0000_s1531" o:spt="1" style="position:absolute;left:2446;top:7558;height:464;width:2364;" coordsize="21600,21600">
                <v:path/>
                <v:fill focussize="0,0"/>
                <v:stroke/>
                <v:imagedata o:title=""/>
                <o:lock v:ext="edit"/>
                <v:textbox>
                  <w:txbxContent>
                    <w:p>
                      <w:pPr>
                        <w:spacing w:line="276" w:lineRule="auto"/>
                        <w:ind w:firstLine="0" w:firstLineChars="0"/>
                        <w:jc w:val="center"/>
                        <w:rPr>
                          <w:rFonts w:ascii="黑体" w:hAnsi="黑体" w:eastAsia="黑体"/>
                          <w:szCs w:val="24"/>
                        </w:rPr>
                      </w:pPr>
                      <w:r>
                        <w:rPr>
                          <w:rFonts w:hint="eastAsia" w:ascii="黑体" w:hAnsi="黑体" w:eastAsia="黑体"/>
                          <w:szCs w:val="24"/>
                        </w:rPr>
                        <w:t>应急准备开始</w:t>
                      </w:r>
                    </w:p>
                  </w:txbxContent>
                </v:textbox>
              </v:rect>
              <v:rect id="_x0000_s1532" o:spid="_x0000_s1532" o:spt="1" style="position:absolute;left:8156;top:7558;height:464;width:2362;" coordsize="21600,21600">
                <v:path/>
                <v:fill focussize="0,0"/>
                <v:stroke/>
                <v:imagedata o:title=""/>
                <o:lock v:ext="edit"/>
                <v:textbox>
                  <w:txbxContent>
                    <w:p>
                      <w:pPr>
                        <w:spacing w:line="276" w:lineRule="auto"/>
                        <w:ind w:firstLine="0" w:firstLineChars="0"/>
                        <w:jc w:val="center"/>
                        <w:rPr>
                          <w:rFonts w:ascii="黑体" w:hAnsi="黑体" w:eastAsia="黑体"/>
                          <w:szCs w:val="24"/>
                        </w:rPr>
                      </w:pPr>
                      <w:r>
                        <w:rPr>
                          <w:rFonts w:hint="eastAsia" w:ascii="黑体" w:hAnsi="黑体" w:eastAsia="黑体"/>
                          <w:szCs w:val="24"/>
                        </w:rPr>
                        <w:t>通知外部机构</w:t>
                      </w:r>
                    </w:p>
                  </w:txbxContent>
                </v:textbox>
              </v:rect>
              <v:shape id="_x0000_s1539" o:spid="_x0000_s1539" o:spt="32" type="#_x0000_t32" style="position:absolute;left:6482;top:4797;height:360;width:1;" o:connectortype="straight" filled="f" coordsize="21600,21600">
                <v:path arrowok="t"/>
                <v:fill on="f" focussize="0,0"/>
                <v:stroke endarrow="block"/>
                <v:imagedata o:title=""/>
                <o:lock v:ext="edit"/>
              </v:shape>
              <v:shape id="_x0000_s1540" o:spid="_x0000_s1540" o:spt="32" type="#_x0000_t32" style="position:absolute;left:6483;top:5623;height:360;width:1;" o:connectortype="straight" filled="f" coordsize="21600,21600">
                <v:path arrowok="t"/>
                <v:fill on="f" focussize="0,0"/>
                <v:stroke endarrow="block"/>
                <v:imagedata o:title=""/>
                <o:lock v:ext="edit"/>
              </v:shape>
              <v:shape id="_x0000_s1541" o:spid="_x0000_s1541" o:spt="32" type="#_x0000_t32" style="position:absolute;left:6483;top:6448;height:360;width:1;" o:connectortype="straight" filled="f" coordsize="21600,21600">
                <v:path arrowok="t"/>
                <v:fill on="f" focussize="0,0"/>
                <v:stroke endarrow="block"/>
                <v:imagedata o:title=""/>
                <o:lock v:ext="edit"/>
              </v:shape>
              <v:shape id="_x0000_s1542" o:spid="_x0000_s1542" o:spt="33" type="#_x0000_t33" style="position:absolute;left:3628;top:7041;flip:y;height:517;width:1673;rotation:11796480f;" o:connectortype="elbow" filled="f" coordsize="21600,21600" adj="-68441,294169,-68441">
                <v:path arrowok="t"/>
                <v:fill on="f" focussize="0,0"/>
                <v:stroke endarrow="block"/>
                <v:imagedata o:title=""/>
                <o:lock v:ext="edit"/>
              </v:shape>
              <v:shape id="_x0000_s1543" o:spid="_x0000_s1543" o:spt="33" type="#_x0000_t33" style="position:absolute;left:7664;top:7041;height:517;width:1673;" o:connectortype="elbow" filled="f" coordsize="21600,21600" adj="-98949,-294169,-98949">
                <v:path arrowok="t"/>
                <v:fill on="f" focussize="0,0"/>
                <v:stroke endarrow="block"/>
                <v:imagedata o:title=""/>
                <o:lock v:ext="edit"/>
              </v:shape>
              <v:shape id="_x0000_s1608" o:spid="_x0000_s1608" o:spt="32" type="#_x0000_t32" style="position:absolute;left:6481;top:3959;height:360;width:2;" o:connectortype="straight" filled="f" coordsize="21600,21600">
                <v:path arrowok="t"/>
                <v:fill on="f" focussize="0,0"/>
                <v:stroke endarrow="block"/>
                <v:imagedata o:title=""/>
                <o:lock v:ext="edit"/>
              </v:shape>
              <v:shape id="_x0000_s1626" o:spid="_x0000_s1626" o:spt="32" type="#_x0000_t32" style="position:absolute;left:6481;top:3134;height:360;width:2;" o:connectortype="straight" filled="f" coordsize="21600,21600">
                <v:path arrowok="t"/>
                <v:fill on="f" focussize="0,0"/>
                <v:stroke endarrow="block"/>
                <v:imagedata o:title=""/>
                <o:lock v:ext="edit"/>
              </v:shape>
            </v:group>
            <w10:wrap type="none"/>
            <w10:anchorlock/>
          </v:group>
        </w:pict>
      </w:r>
    </w:p>
    <w:p>
      <w:pPr>
        <w:pStyle w:val="38"/>
        <w:ind w:firstLine="480"/>
      </w:pPr>
      <w:r>
        <w:rPr>
          <w:rFonts w:hint="eastAsia"/>
        </w:rPr>
        <w:t>图5.2-1  预警行动的一般程序示意</w:t>
      </w:r>
      <w:r>
        <w:t>图</w:t>
      </w:r>
    </w:p>
    <w:p>
      <w:pPr>
        <w:pStyle w:val="4"/>
      </w:pPr>
      <w:r>
        <w:rPr>
          <w:rFonts w:hint="eastAsia"/>
        </w:rPr>
        <w:t>5</w:t>
      </w:r>
      <w:r>
        <w:t>.</w:t>
      </w:r>
      <w:r>
        <w:rPr>
          <w:rFonts w:hint="eastAsia"/>
        </w:rPr>
        <w:t>2</w:t>
      </w:r>
      <w:r>
        <w:t>.</w:t>
      </w:r>
      <w:r>
        <w:rPr>
          <w:rFonts w:hint="eastAsia"/>
        </w:rPr>
        <w:t>4预警调整和解除</w:t>
      </w:r>
    </w:p>
    <w:p>
      <w:pPr>
        <w:ind w:firstLine="480"/>
      </w:pPr>
      <w:r>
        <w:rPr>
          <w:rFonts w:hint="eastAsia"/>
        </w:rPr>
        <w:t>在预警有效期内，区环境应急办公室组织有关部门和机构、专业技术人员及专家加强跟踪分析，如有分析结论证明可以提前提升、降低预警级别或解除预警的，应立即提出预警变更或解除的建议。</w:t>
      </w:r>
    </w:p>
    <w:p>
      <w:pPr>
        <w:ind w:firstLine="480"/>
      </w:pPr>
      <w:r>
        <w:rPr>
          <w:rFonts w:hint="eastAsia"/>
        </w:rPr>
        <w:t>预警变更和解除程序与发布程序一致。</w:t>
      </w:r>
    </w:p>
    <w:p>
      <w:pPr>
        <w:ind w:firstLine="480"/>
        <w:sectPr>
          <w:footerReference r:id="rId12" w:type="first"/>
          <w:pgSz w:w="11906" w:h="16838"/>
          <w:pgMar w:top="1440" w:right="1800" w:bottom="1440" w:left="1800" w:header="720" w:footer="720" w:gutter="0"/>
          <w:pgNumType w:start="20"/>
          <w:cols w:space="720" w:num="1"/>
          <w:titlePg/>
          <w:docGrid w:type="lines" w:linePitch="326" w:charSpace="0"/>
        </w:sectPr>
      </w:pPr>
    </w:p>
    <w:p>
      <w:pPr>
        <w:pStyle w:val="2"/>
        <w:rPr>
          <w:kern w:val="0"/>
        </w:rPr>
      </w:pPr>
      <w:bookmarkStart w:id="40" w:name="_Toc115418782"/>
      <w:r>
        <w:rPr>
          <w:rFonts w:hint="eastAsia"/>
        </w:rPr>
        <w:t>6信息报告</w:t>
      </w:r>
      <w:bookmarkEnd w:id="40"/>
    </w:p>
    <w:p>
      <w:pPr>
        <w:pStyle w:val="3"/>
      </w:pPr>
      <w:bookmarkStart w:id="41" w:name="_Toc54945209"/>
      <w:bookmarkStart w:id="42" w:name="_Toc115418783"/>
      <w:r>
        <w:rPr>
          <w:rFonts w:hint="eastAsia"/>
        </w:rPr>
        <w:t>6</w:t>
      </w:r>
      <w:r>
        <w:t xml:space="preserve">.1 </w:t>
      </w:r>
      <w:bookmarkEnd w:id="41"/>
      <w:r>
        <w:rPr>
          <w:rFonts w:hint="eastAsia"/>
        </w:rPr>
        <w:t>信息报告</w:t>
      </w:r>
      <w:bookmarkEnd w:id="42"/>
    </w:p>
    <w:p>
      <w:pPr>
        <w:ind w:firstLine="480"/>
      </w:pPr>
      <w:r>
        <w:rPr>
          <w:rFonts w:hint="eastAsia"/>
        </w:rPr>
        <w:t>突发环境事件发生后，涉事企事业单位或其他生产经营者应立即向八公山区生态环境分局和相关部门报告，及时通报可能受到污染危害的单位和人员。</w:t>
      </w:r>
    </w:p>
    <w:p>
      <w:pPr>
        <w:ind w:firstLine="480"/>
      </w:pPr>
      <w:r>
        <w:rPr>
          <w:rFonts w:hint="eastAsia"/>
        </w:rPr>
        <w:t>八公山区生态环境分局接报后，立即核实、分析研判。对初步认定为一般突发环境事件的，应当在2小时内向区政府和市生态环境局报告。对初步认定为较大及以上级别突发环境事件的，应在1小时内向区政府、市生态环境局报告，报由区政府提请市政府启动应急响应。</w:t>
      </w:r>
    </w:p>
    <w:p>
      <w:pPr>
        <w:ind w:firstLine="480"/>
      </w:pPr>
      <w:r>
        <w:rPr>
          <w:rFonts w:hint="eastAsia"/>
        </w:rPr>
        <w:t>发生下列一时无法判明等级的突发环境事件，应当按照重大以上突发环境事件的报告程序上报：</w:t>
      </w:r>
    </w:p>
    <w:p>
      <w:pPr>
        <w:ind w:firstLine="480"/>
      </w:pPr>
      <w:r>
        <w:rPr>
          <w:rFonts w:hint="eastAsia"/>
        </w:rPr>
        <w:t>（1）对饮用水水源保护区造成或者可能造成影响的；</w:t>
      </w:r>
    </w:p>
    <w:p>
      <w:pPr>
        <w:ind w:firstLine="480"/>
      </w:pPr>
      <w:r>
        <w:rPr>
          <w:rFonts w:hint="eastAsia"/>
        </w:rPr>
        <w:t>（2）涉及居民聚居区、学校、医院等敏感区域和敏感人群的；</w:t>
      </w:r>
    </w:p>
    <w:p>
      <w:pPr>
        <w:ind w:firstLine="480"/>
      </w:pPr>
      <w:r>
        <w:rPr>
          <w:rFonts w:hint="eastAsia"/>
        </w:rPr>
        <w:t>（3）涉及重金属或者类金属污染的；</w:t>
      </w:r>
    </w:p>
    <w:p>
      <w:pPr>
        <w:ind w:firstLine="480"/>
      </w:pPr>
      <w:r>
        <w:rPr>
          <w:rFonts w:hint="eastAsia"/>
        </w:rPr>
        <w:t>（4）有可能产生跨省影响的；</w:t>
      </w:r>
    </w:p>
    <w:p>
      <w:pPr>
        <w:ind w:firstLine="480"/>
      </w:pPr>
      <w:r>
        <w:rPr>
          <w:rFonts w:hint="eastAsia"/>
        </w:rPr>
        <w:t>（5）因环境污染引发群体性事件，或者社会影响较大的；</w:t>
      </w:r>
    </w:p>
    <w:p>
      <w:pPr>
        <w:ind w:firstLine="480"/>
      </w:pPr>
      <w:r>
        <w:rPr>
          <w:rFonts w:hint="eastAsia"/>
        </w:rPr>
        <w:t>（6）其他有必要按照重大以上突发环境事件报告的。</w:t>
      </w:r>
    </w:p>
    <w:p>
      <w:pPr>
        <w:ind w:firstLine="480"/>
      </w:pPr>
      <w:r>
        <w:rPr>
          <w:rFonts w:hint="eastAsia"/>
        </w:rPr>
        <w:t>突发环境事件处置过程中事件级别发生变化的，应当按照变化后的级别及时续报信息。突发环境事件信息报告的内容和格式，按照原环保部《突发环境事件信息报告办法》规定执行。</w:t>
      </w:r>
    </w:p>
    <w:p>
      <w:pPr>
        <w:pStyle w:val="4"/>
      </w:pPr>
      <w:r>
        <w:rPr>
          <w:rFonts w:hint="eastAsia"/>
        </w:rPr>
        <w:t>6.1.1信息报告内容</w:t>
      </w:r>
    </w:p>
    <w:p>
      <w:pPr>
        <w:ind w:firstLine="482"/>
        <w:rPr>
          <w:b/>
        </w:rPr>
      </w:pPr>
      <w:r>
        <w:rPr>
          <w:rFonts w:hint="eastAsia"/>
          <w:b/>
        </w:rPr>
        <w:t>1、突发环境事件信息初报、续报</w:t>
      </w:r>
    </w:p>
    <w:p>
      <w:pPr>
        <w:ind w:firstLine="480"/>
      </w:pPr>
      <w:r>
        <w:rPr>
          <w:rFonts w:hint="eastAsia"/>
        </w:rPr>
        <w:t>发生突发环境事件后，事发单位及相关部门在立即采取措施控制事态的同时，区生态环境分局和相关部门报告应在接报后按照紧急信息报送的有关规定，及时审核并如实上报综合协调组，不得迟报、漏报、瞒报和谎报，在事件处置初期初报事件的有关情况，后续及时书面续报基本情况。对初步判定属于较大级别以上的突发环境事件，经审核确认后应立即初报应急协调办公室及淮南市生态环境局，及时提请启动，上级突发环境事件应急预案，并实行态势变化进程报告和日报告制度。</w:t>
      </w:r>
    </w:p>
    <w:p>
      <w:pPr>
        <w:ind w:firstLine="480"/>
      </w:pPr>
      <w:r>
        <w:rPr>
          <w:rFonts w:hint="eastAsia"/>
        </w:rPr>
        <w:t>（1）初报从发现事件起30分钟内上报。初报可用电话直接报告，主要内容包括:环境事件的类型、发生事件时间、地点、污染源、主要污染物质、泄漏数量、人员伤亡情况、财产损失情况、事件潜在的危害程度、转化方式趋向等初步情况，并提供可能受到突发环境事件影响的环境敏感点的分布示意图。</w:t>
      </w:r>
    </w:p>
    <w:p>
      <w:pPr>
        <w:ind w:firstLine="480"/>
      </w:pPr>
      <w:r>
        <w:rPr>
          <w:rFonts w:hint="eastAsia"/>
        </w:rPr>
        <w:t>（2）续报在初报的基础上,报告有关处置进展情况。续报可通过网络或书面报告（传真），在初报的基础上报告有关确切数据，事件发生的原因、过程、进展情况及采取的应急措施等基本情况。</w:t>
      </w:r>
    </w:p>
    <w:p>
      <w:pPr>
        <w:pStyle w:val="38"/>
        <w:ind w:firstLine="480"/>
      </w:pPr>
      <w:r>
        <w:rPr>
          <w:rFonts w:hint="eastAsia"/>
        </w:rPr>
        <w:t>表6.1-1  突发环境事件信息报送内容（初报、续报）</w:t>
      </w:r>
    </w:p>
    <w:tbl>
      <w:tblPr>
        <w:tblStyle w:val="2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25"/>
        <w:gridCol w:w="69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95" w:type="pct"/>
            <w:vAlign w:val="center"/>
          </w:tcPr>
          <w:p>
            <w:pPr>
              <w:spacing w:line="276" w:lineRule="auto"/>
              <w:ind w:firstLine="0" w:firstLineChars="0"/>
              <w:jc w:val="center"/>
              <w:rPr>
                <w:sz w:val="21"/>
                <w:szCs w:val="21"/>
              </w:rPr>
            </w:pPr>
            <w:r>
              <w:rPr>
                <w:rFonts w:hAnsi="宋体"/>
                <w:sz w:val="21"/>
                <w:szCs w:val="21"/>
              </w:rPr>
              <w:t>项目</w:t>
            </w:r>
          </w:p>
        </w:tc>
        <w:tc>
          <w:tcPr>
            <w:tcW w:w="4105" w:type="pct"/>
            <w:vAlign w:val="center"/>
          </w:tcPr>
          <w:p>
            <w:pPr>
              <w:spacing w:line="276" w:lineRule="auto"/>
              <w:ind w:firstLine="0" w:firstLineChars="0"/>
              <w:jc w:val="center"/>
              <w:rPr>
                <w:sz w:val="21"/>
                <w:szCs w:val="21"/>
              </w:rPr>
            </w:pPr>
            <w:r>
              <w:rPr>
                <w:rFonts w:hAnsi="宋体"/>
                <w:sz w:val="21"/>
                <w:szCs w:val="21"/>
              </w:rPr>
              <w:t>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95" w:type="pct"/>
            <w:vAlign w:val="center"/>
          </w:tcPr>
          <w:p>
            <w:pPr>
              <w:spacing w:line="276" w:lineRule="auto"/>
              <w:ind w:firstLine="0" w:firstLineChars="0"/>
              <w:jc w:val="center"/>
              <w:rPr>
                <w:sz w:val="21"/>
                <w:szCs w:val="21"/>
              </w:rPr>
            </w:pPr>
            <w:r>
              <w:rPr>
                <w:rFonts w:hAnsi="宋体"/>
                <w:sz w:val="21"/>
                <w:szCs w:val="21"/>
              </w:rPr>
              <w:t>现场信息</w:t>
            </w:r>
          </w:p>
        </w:tc>
        <w:tc>
          <w:tcPr>
            <w:tcW w:w="4105" w:type="pct"/>
            <w:vAlign w:val="center"/>
          </w:tcPr>
          <w:p>
            <w:pPr>
              <w:spacing w:line="276" w:lineRule="auto"/>
              <w:ind w:firstLine="0" w:firstLineChars="0"/>
              <w:jc w:val="center"/>
              <w:rPr>
                <w:sz w:val="21"/>
                <w:szCs w:val="21"/>
              </w:rPr>
            </w:pPr>
            <w:r>
              <w:rPr>
                <w:rFonts w:hAnsi="宋体"/>
                <w:sz w:val="21"/>
                <w:szCs w:val="21"/>
              </w:rPr>
              <w:t>报告时间、现场联系人、报告人及联系方式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95" w:type="pct"/>
            <w:vAlign w:val="center"/>
          </w:tcPr>
          <w:p>
            <w:pPr>
              <w:spacing w:line="276" w:lineRule="auto"/>
              <w:ind w:firstLine="0" w:firstLineChars="0"/>
              <w:jc w:val="center"/>
              <w:rPr>
                <w:sz w:val="21"/>
                <w:szCs w:val="21"/>
              </w:rPr>
            </w:pPr>
            <w:r>
              <w:rPr>
                <w:rFonts w:hAnsi="宋体"/>
                <w:sz w:val="21"/>
                <w:szCs w:val="21"/>
              </w:rPr>
              <w:t>事件基本信息</w:t>
            </w:r>
          </w:p>
        </w:tc>
        <w:tc>
          <w:tcPr>
            <w:tcW w:w="4105" w:type="pct"/>
            <w:vAlign w:val="center"/>
          </w:tcPr>
          <w:p>
            <w:pPr>
              <w:spacing w:line="276" w:lineRule="auto"/>
              <w:ind w:firstLine="0" w:firstLineChars="0"/>
              <w:jc w:val="center"/>
              <w:rPr>
                <w:sz w:val="21"/>
                <w:szCs w:val="21"/>
              </w:rPr>
            </w:pPr>
            <w:r>
              <w:rPr>
                <w:rFonts w:hAnsi="宋体"/>
                <w:sz w:val="21"/>
                <w:szCs w:val="21"/>
              </w:rPr>
              <w:t>环境事件的类型、发生事件时间、地点、污染源、主要污染物质、泄漏数量、人员伤亡情况、财产损失情况、事件潜在的危害程度、转化方式趋向、事发原因、过程、进展情况、采取应急措施情况等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95" w:type="pct"/>
            <w:vAlign w:val="center"/>
          </w:tcPr>
          <w:p>
            <w:pPr>
              <w:spacing w:line="276" w:lineRule="auto"/>
              <w:ind w:firstLine="0" w:firstLineChars="0"/>
              <w:jc w:val="center"/>
              <w:rPr>
                <w:sz w:val="21"/>
                <w:szCs w:val="21"/>
              </w:rPr>
            </w:pPr>
            <w:r>
              <w:rPr>
                <w:rFonts w:hAnsi="宋体"/>
                <w:sz w:val="21"/>
                <w:szCs w:val="21"/>
              </w:rPr>
              <w:t>现场勘察情况</w:t>
            </w:r>
          </w:p>
        </w:tc>
        <w:tc>
          <w:tcPr>
            <w:tcW w:w="4105" w:type="pct"/>
            <w:vAlign w:val="center"/>
          </w:tcPr>
          <w:p>
            <w:pPr>
              <w:spacing w:line="276" w:lineRule="auto"/>
              <w:ind w:firstLine="0" w:firstLineChars="0"/>
              <w:jc w:val="center"/>
              <w:rPr>
                <w:sz w:val="21"/>
                <w:szCs w:val="21"/>
              </w:rPr>
            </w:pPr>
            <w:r>
              <w:rPr>
                <w:rFonts w:hAnsi="宋体"/>
                <w:sz w:val="21"/>
                <w:szCs w:val="21"/>
              </w:rPr>
              <w:t>（</w:t>
            </w:r>
            <w:r>
              <w:rPr>
                <w:sz w:val="21"/>
                <w:szCs w:val="21"/>
              </w:rPr>
              <w:t>1</w:t>
            </w:r>
            <w:r>
              <w:rPr>
                <w:rFonts w:hAnsi="宋体"/>
                <w:sz w:val="21"/>
                <w:szCs w:val="21"/>
              </w:rPr>
              <w:t>）周边饮用水源地情况</w:t>
            </w:r>
            <w:r>
              <w:rPr>
                <w:sz w:val="21"/>
                <w:szCs w:val="21"/>
              </w:rPr>
              <w:t>:</w:t>
            </w:r>
            <w:r>
              <w:rPr>
                <w:rFonts w:hAnsi="宋体"/>
                <w:sz w:val="21"/>
                <w:szCs w:val="21"/>
              </w:rPr>
              <w:t>事发地是否在该饮用水源地的上游及与之距离；</w:t>
            </w:r>
          </w:p>
          <w:p>
            <w:pPr>
              <w:spacing w:line="276" w:lineRule="auto"/>
              <w:ind w:firstLine="0" w:firstLineChars="0"/>
              <w:jc w:val="center"/>
              <w:rPr>
                <w:sz w:val="21"/>
                <w:szCs w:val="21"/>
              </w:rPr>
            </w:pPr>
            <w:r>
              <w:rPr>
                <w:rFonts w:hAnsi="宋体"/>
                <w:sz w:val="21"/>
                <w:szCs w:val="21"/>
              </w:rPr>
              <w:t>（</w:t>
            </w:r>
            <w:r>
              <w:rPr>
                <w:sz w:val="21"/>
                <w:szCs w:val="21"/>
              </w:rPr>
              <w:t>2</w:t>
            </w:r>
            <w:r>
              <w:rPr>
                <w:rFonts w:hAnsi="宋体"/>
                <w:sz w:val="21"/>
                <w:szCs w:val="21"/>
              </w:rPr>
              <w:t>）周边是否有居民点</w:t>
            </w:r>
            <w:r>
              <w:rPr>
                <w:sz w:val="21"/>
                <w:szCs w:val="21"/>
              </w:rPr>
              <w:t>:</w:t>
            </w:r>
            <w:r>
              <w:rPr>
                <w:rFonts w:hAnsi="宋体"/>
                <w:sz w:val="21"/>
                <w:szCs w:val="21"/>
              </w:rPr>
              <w:t>离事发地距离；</w:t>
            </w:r>
          </w:p>
          <w:p>
            <w:pPr>
              <w:spacing w:line="276" w:lineRule="auto"/>
              <w:ind w:firstLine="0" w:firstLineChars="0"/>
              <w:jc w:val="center"/>
              <w:rPr>
                <w:sz w:val="21"/>
                <w:szCs w:val="21"/>
              </w:rPr>
            </w:pPr>
            <w:r>
              <w:rPr>
                <w:rFonts w:hAnsi="宋体"/>
                <w:sz w:val="21"/>
                <w:szCs w:val="21"/>
              </w:rPr>
              <w:t>（</w:t>
            </w:r>
            <w:r>
              <w:rPr>
                <w:sz w:val="21"/>
                <w:szCs w:val="21"/>
              </w:rPr>
              <w:t>3</w:t>
            </w:r>
            <w:r>
              <w:rPr>
                <w:rFonts w:hAnsi="宋体"/>
                <w:sz w:val="21"/>
                <w:szCs w:val="21"/>
              </w:rPr>
              <w:t>）水文、气象条件</w:t>
            </w:r>
            <w:r>
              <w:rPr>
                <w:sz w:val="21"/>
                <w:szCs w:val="21"/>
              </w:rPr>
              <w:t>:</w:t>
            </w:r>
            <w:r>
              <w:rPr>
                <w:rFonts w:hAnsi="宋体"/>
                <w:sz w:val="21"/>
                <w:szCs w:val="21"/>
              </w:rPr>
              <w:t>流速、风速。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95" w:type="pct"/>
            <w:vAlign w:val="center"/>
          </w:tcPr>
          <w:p>
            <w:pPr>
              <w:spacing w:line="276" w:lineRule="auto"/>
              <w:ind w:firstLine="0" w:firstLineChars="0"/>
              <w:jc w:val="center"/>
              <w:rPr>
                <w:sz w:val="21"/>
                <w:szCs w:val="21"/>
              </w:rPr>
            </w:pPr>
            <w:r>
              <w:rPr>
                <w:rFonts w:hAnsi="宋体"/>
                <w:sz w:val="21"/>
                <w:szCs w:val="21"/>
              </w:rPr>
              <w:t>现场监测情况</w:t>
            </w:r>
          </w:p>
        </w:tc>
        <w:tc>
          <w:tcPr>
            <w:tcW w:w="4105" w:type="pct"/>
            <w:vAlign w:val="center"/>
          </w:tcPr>
          <w:p>
            <w:pPr>
              <w:spacing w:line="276" w:lineRule="auto"/>
              <w:ind w:firstLine="0" w:firstLineChars="0"/>
              <w:jc w:val="center"/>
              <w:rPr>
                <w:sz w:val="21"/>
                <w:szCs w:val="21"/>
              </w:rPr>
            </w:pPr>
            <w:r>
              <w:rPr>
                <w:rFonts w:hAnsi="宋体"/>
                <w:sz w:val="21"/>
                <w:szCs w:val="21"/>
              </w:rPr>
              <w:t>监测报告、监测点位图（关键点位离事发地及敏感区域距离）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95" w:type="pct"/>
            <w:vAlign w:val="center"/>
          </w:tcPr>
          <w:p>
            <w:pPr>
              <w:spacing w:line="276" w:lineRule="auto"/>
              <w:ind w:firstLine="0" w:firstLineChars="0"/>
              <w:jc w:val="center"/>
              <w:rPr>
                <w:sz w:val="21"/>
                <w:szCs w:val="21"/>
              </w:rPr>
            </w:pPr>
            <w:r>
              <w:rPr>
                <w:rFonts w:hAnsi="宋体"/>
                <w:sz w:val="21"/>
                <w:szCs w:val="21"/>
              </w:rPr>
              <w:t>应急处置措施</w:t>
            </w:r>
          </w:p>
        </w:tc>
        <w:tc>
          <w:tcPr>
            <w:tcW w:w="4105" w:type="pct"/>
            <w:vAlign w:val="center"/>
          </w:tcPr>
          <w:p>
            <w:pPr>
              <w:spacing w:line="276" w:lineRule="auto"/>
              <w:ind w:firstLine="0" w:firstLineChars="0"/>
              <w:jc w:val="center"/>
              <w:rPr>
                <w:sz w:val="21"/>
                <w:szCs w:val="21"/>
              </w:rPr>
            </w:pPr>
            <w:r>
              <w:rPr>
                <w:rFonts w:hAnsi="宋体"/>
                <w:sz w:val="21"/>
                <w:szCs w:val="21"/>
              </w:rPr>
              <w:t>政府和环保部门采取的措施</w:t>
            </w:r>
          </w:p>
        </w:tc>
      </w:tr>
    </w:tbl>
    <w:p>
      <w:pPr>
        <w:ind w:firstLine="482"/>
        <w:rPr>
          <w:b/>
        </w:rPr>
      </w:pPr>
      <w:r>
        <w:rPr>
          <w:rFonts w:hint="eastAsia"/>
          <w:b/>
        </w:rPr>
        <w:t>2、处置结果报告</w:t>
      </w:r>
    </w:p>
    <w:p>
      <w:pPr>
        <w:ind w:firstLine="480"/>
      </w:pPr>
      <w:r>
        <w:rPr>
          <w:rFonts w:hint="eastAsia"/>
        </w:rPr>
        <w:t>处置结果报告在切报和续报的基础上，报告处置安发环境事件的措施、过程和结果，突发环境事件潜在或者间接危喜以及损失、社会影响、处置后的遗留问题、责任追究等详细情况。</w:t>
      </w:r>
    </w:p>
    <w:p>
      <w:pPr>
        <w:ind w:firstLine="482"/>
        <w:rPr>
          <w:b/>
        </w:rPr>
      </w:pPr>
      <w:r>
        <w:rPr>
          <w:rFonts w:hint="eastAsia"/>
          <w:b/>
        </w:rPr>
        <w:t>3、突发环境事件处理结果报告</w:t>
      </w:r>
    </w:p>
    <w:p>
      <w:pPr>
        <w:ind w:firstLine="480"/>
      </w:pPr>
      <w:r>
        <w:rPr>
          <w:rFonts w:hint="eastAsia"/>
        </w:rPr>
        <w:t>处理结果报告在完成善后工作后两周内上报。处理结果报告采用书面报告（传真），处理结果报告在初报和续报的基础上，报告处理时间的措施、过程和结果，事件潜在或间接的危害、社会影响、处理后的遗留问题、参加处理工作的有关部门和工作内容、出具有关危害与损失的证明文件等详细情况。</w:t>
      </w:r>
    </w:p>
    <w:p>
      <w:pPr>
        <w:ind w:firstLine="480"/>
      </w:pPr>
    </w:p>
    <w:p>
      <w:pPr>
        <w:ind w:firstLine="480"/>
      </w:pPr>
    </w:p>
    <w:p>
      <w:pPr>
        <w:pStyle w:val="4"/>
      </w:pPr>
      <w:r>
        <w:rPr>
          <w:rFonts w:hint="eastAsia"/>
        </w:rPr>
        <w:t>6.1.2信息报告渠道</w:t>
      </w:r>
    </w:p>
    <w:p>
      <w:pPr>
        <w:ind w:firstLine="480"/>
      </w:pPr>
      <w:r>
        <w:rPr>
          <w:rFonts w:hint="eastAsia"/>
        </w:rPr>
        <w:t>信息报告可采用传真、网络等方式报告，事后按照突发环境事件信息报告时间要求及时补充完整的书面报告。</w:t>
      </w:r>
    </w:p>
    <w:p>
      <w:pPr>
        <w:pStyle w:val="3"/>
      </w:pPr>
      <w:bookmarkStart w:id="43" w:name="_Toc54945210"/>
      <w:bookmarkStart w:id="44" w:name="_Toc115418784"/>
      <w:r>
        <w:rPr>
          <w:rFonts w:hint="eastAsia"/>
        </w:rPr>
        <w:t>6</w:t>
      </w:r>
      <w:r>
        <w:t xml:space="preserve">.2 </w:t>
      </w:r>
      <w:bookmarkEnd w:id="43"/>
      <w:r>
        <w:rPr>
          <w:rFonts w:hint="eastAsia"/>
        </w:rPr>
        <w:t>信息通报</w:t>
      </w:r>
      <w:bookmarkEnd w:id="44"/>
    </w:p>
    <w:p>
      <w:pPr>
        <w:ind w:firstLine="480"/>
      </w:pPr>
      <w:r>
        <w:rPr>
          <w:rFonts w:hint="eastAsia"/>
        </w:rPr>
        <w:t>因交通事故、安全生产事故、火灾事故等引发或可能引发突发环境事件的，公安、交警、交通、应急管理和消防等相关部门应当及时通报同级生态环境主管部门。其他部门和单位获得环境污染事件信息后应及时向同级生态环境主管部门通报。</w:t>
      </w:r>
    </w:p>
    <w:p>
      <w:pPr>
        <w:ind w:firstLine="480"/>
      </w:pPr>
      <w:r>
        <w:rPr>
          <w:rFonts w:hint="eastAsia"/>
        </w:rPr>
        <w:t>突发环境事件影响或者可能影响相邻行政区域的，事发地政府或生态环境主管部门应当及时通报相邻行政区域同级政府或生态环境主管部门。</w:t>
      </w:r>
    </w:p>
    <w:p>
      <w:pPr>
        <w:ind w:firstLine="480"/>
      </w:pPr>
      <w:r>
        <w:rPr>
          <w:rFonts w:hint="eastAsia"/>
        </w:rPr>
        <w:t>接到已经发生或者可能发生跨行政区域突发环境事件信息时，区生态环境分局要及时通报相关地区生态环境主管部门。</w:t>
      </w:r>
    </w:p>
    <w:p>
      <w:pPr>
        <w:ind w:firstLine="480"/>
        <w:sectPr>
          <w:footerReference r:id="rId13" w:type="first"/>
          <w:pgSz w:w="11906" w:h="16838"/>
          <w:pgMar w:top="1440" w:right="1800" w:bottom="1440" w:left="1800" w:header="720" w:footer="720" w:gutter="0"/>
          <w:pgNumType w:start="23"/>
          <w:cols w:space="720" w:num="1"/>
          <w:titlePg/>
          <w:docGrid w:type="lines" w:linePitch="326" w:charSpace="0"/>
        </w:sectPr>
      </w:pPr>
    </w:p>
    <w:p>
      <w:pPr>
        <w:pStyle w:val="2"/>
      </w:pPr>
      <w:bookmarkStart w:id="45" w:name="_Toc54945212"/>
      <w:bookmarkStart w:id="46" w:name="_Toc115418785"/>
      <w:r>
        <w:rPr>
          <w:rFonts w:hint="eastAsia"/>
        </w:rPr>
        <w:t>7</w:t>
      </w:r>
      <w:r>
        <w:t>应急</w:t>
      </w:r>
      <w:bookmarkEnd w:id="45"/>
      <w:r>
        <w:t>响应</w:t>
      </w:r>
      <w:bookmarkEnd w:id="46"/>
    </w:p>
    <w:p>
      <w:pPr>
        <w:pStyle w:val="3"/>
      </w:pPr>
      <w:bookmarkStart w:id="47" w:name="_Toc54945213"/>
      <w:bookmarkStart w:id="48" w:name="_Toc115418786"/>
      <w:r>
        <w:rPr>
          <w:rFonts w:hint="eastAsia"/>
        </w:rPr>
        <w:t>7</w:t>
      </w:r>
      <w:r>
        <w:t xml:space="preserve">.1 </w:t>
      </w:r>
      <w:bookmarkEnd w:id="47"/>
      <w:r>
        <w:rPr>
          <w:rFonts w:hAnsi="宋体"/>
        </w:rPr>
        <w:t>响应分级</w:t>
      </w:r>
      <w:bookmarkEnd w:id="48"/>
    </w:p>
    <w:p>
      <w:pPr>
        <w:ind w:firstLine="480"/>
      </w:pPr>
      <w:r>
        <w:rPr>
          <w:rFonts w:hAnsi="宋体"/>
        </w:rPr>
        <w:t>根据突发环境事件的严重程度、影响范围和发展态势，将应急响应设定为</w:t>
      </w:r>
      <w:r>
        <w:t>Ⅰ</w:t>
      </w:r>
      <w:r>
        <w:rPr>
          <w:rFonts w:hAnsi="宋体"/>
        </w:rPr>
        <w:t>级、</w:t>
      </w:r>
      <w:r>
        <w:t>Ⅱ</w:t>
      </w:r>
      <w:r>
        <w:rPr>
          <w:rFonts w:hAnsi="宋体"/>
        </w:rPr>
        <w:t>级和</w:t>
      </w:r>
      <w:r>
        <w:t>Ⅲ</w:t>
      </w:r>
      <w:r>
        <w:rPr>
          <w:rFonts w:hAnsi="宋体"/>
        </w:rPr>
        <w:t>级三个等级。</w:t>
      </w:r>
    </w:p>
    <w:p>
      <w:pPr>
        <w:ind w:firstLine="480"/>
      </w:pPr>
      <w:r>
        <w:rPr>
          <w:rFonts w:hAnsi="宋体"/>
        </w:rPr>
        <w:t>初判发生特别重大、重大突发环境事件，区生态环境分局提出相应响应建议，区指挥部启动</w:t>
      </w:r>
      <w:r>
        <w:t>Ⅰ</w:t>
      </w:r>
      <w:r>
        <w:rPr>
          <w:rFonts w:hAnsi="宋体"/>
        </w:rPr>
        <w:t>级响应，按照区指挥部指令具体负责突发环境事件应急处置工作，其中特别重大突发环境事件的应对工作在省、市领导下开展。</w:t>
      </w:r>
    </w:p>
    <w:p>
      <w:pPr>
        <w:ind w:firstLine="480"/>
      </w:pPr>
      <w:r>
        <w:rPr>
          <w:rFonts w:hAnsi="宋体"/>
        </w:rPr>
        <w:t>初判发生较大突发环境事件，区生态环境分局提出相应响应建议，区指挥部启动</w:t>
      </w:r>
      <w:r>
        <w:t>Ⅱ</w:t>
      </w:r>
      <w:r>
        <w:rPr>
          <w:rFonts w:hAnsi="宋体"/>
        </w:rPr>
        <w:t>级响应，统一指挥突发环境事件应急处置工作。</w:t>
      </w:r>
    </w:p>
    <w:p>
      <w:pPr>
        <w:ind w:firstLine="480"/>
      </w:pPr>
      <w:r>
        <w:rPr>
          <w:rFonts w:hAnsi="宋体"/>
        </w:rPr>
        <w:t>初判发生一般突发环境事件时，区生态环境分局提出相应响应建议，区指挥部视情启动</w:t>
      </w:r>
      <w:r>
        <w:t>Ⅲ</w:t>
      </w:r>
      <w:r>
        <w:rPr>
          <w:rFonts w:hAnsi="宋体"/>
        </w:rPr>
        <w:t>级响应，由事发地镇政府负责应急处置工作，必要时，区指挥部给予指导和支持。</w:t>
      </w:r>
    </w:p>
    <w:p>
      <w:pPr>
        <w:ind w:firstLine="480"/>
      </w:pPr>
      <w:r>
        <w:rPr>
          <w:rFonts w:hAnsi="宋体"/>
        </w:rPr>
        <w:t>突发环境事件发生在易造成重大影响的地区或重要时段时，可适当提高响应级别。应急响应启动后，可视事件损失情况及其发展趋势调整响应级别，避免响应不足或响应过度。</w:t>
      </w:r>
    </w:p>
    <w:p>
      <w:pPr>
        <w:pStyle w:val="3"/>
      </w:pPr>
      <w:bookmarkStart w:id="49" w:name="_Toc54945214"/>
      <w:bookmarkStart w:id="50" w:name="_Toc115418787"/>
      <w:r>
        <w:rPr>
          <w:rFonts w:hint="eastAsia"/>
        </w:rPr>
        <w:t>7</w:t>
      </w:r>
      <w:r>
        <w:t xml:space="preserve">.2 </w:t>
      </w:r>
      <w:bookmarkEnd w:id="49"/>
      <w:r>
        <w:rPr>
          <w:rFonts w:hAnsi="宋体"/>
        </w:rPr>
        <w:t>先期处置</w:t>
      </w:r>
      <w:bookmarkEnd w:id="50"/>
    </w:p>
    <w:p>
      <w:pPr>
        <w:ind w:firstLine="480"/>
        <w:rPr>
          <w:szCs w:val="20"/>
        </w:rPr>
      </w:pPr>
      <w:r>
        <w:rPr>
          <w:rFonts w:hint="eastAsia"/>
          <w:szCs w:val="20"/>
        </w:rPr>
        <w:t>辖区内人民政府对本辖区内发生的各类突发环境事件，应迅速调度力量，尽快判明事件性质和危害程度，及时采取相应的处置措施，全力控制事态发展，减少人员财产损失，减轻或消除社会影响，并及时向区人民政府及区生态环境分局报告。</w:t>
      </w:r>
    </w:p>
    <w:p>
      <w:pPr>
        <w:ind w:firstLine="480"/>
        <w:rPr>
          <w:szCs w:val="20"/>
        </w:rPr>
      </w:pPr>
      <w:r>
        <w:rPr>
          <w:rFonts w:hint="eastAsia"/>
          <w:szCs w:val="20"/>
        </w:rPr>
        <w:t>涉事企事业单位或其他生产经营者要立即采取关闭、停产、封堵、围挡、喷淋、转移等措施，切断和控制污染源，防止污染蔓延扩散。做好有毒有害物质和消防废水、废液等的收集、清理和安全处置工作。当涉事企事业单位或其他生产经营者不明时，由区生态环境分局会同公安、应急管理等相关部门组织对污染来源开展排查，查明涉事单位，确定污染物种类和污染范围，切断污染源。</w:t>
      </w:r>
    </w:p>
    <w:p>
      <w:pPr>
        <w:pStyle w:val="3"/>
      </w:pPr>
      <w:bookmarkStart w:id="51" w:name="_Toc115418788"/>
      <w:r>
        <w:rPr>
          <w:rFonts w:hint="eastAsia"/>
        </w:rPr>
        <w:t>7</w:t>
      </w:r>
      <w:r>
        <w:t>.3 响应措施</w:t>
      </w:r>
      <w:bookmarkEnd w:id="51"/>
    </w:p>
    <w:p>
      <w:pPr>
        <w:ind w:firstLine="480"/>
        <w:rPr>
          <w:rFonts w:hAnsi="宋体"/>
        </w:rPr>
      </w:pPr>
      <w:r>
        <w:rPr>
          <w:rFonts w:hint="eastAsia" w:hAnsi="宋体"/>
        </w:rPr>
        <w:t>区指挥部接到突发环境事件报告后，根据事故的危害程度、影响范围和可控情况，启动相应级别应急响应。</w:t>
      </w:r>
    </w:p>
    <w:p>
      <w:pPr>
        <w:ind w:firstLine="480"/>
        <w:rPr>
          <w:rFonts w:hAnsi="宋体"/>
        </w:rPr>
      </w:pPr>
      <w:r>
        <w:rPr>
          <w:rFonts w:hint="eastAsia" w:hAnsi="宋体"/>
        </w:rPr>
        <w:t>（1）三级响应。对涉及面广、敏感复杂或处置不当将会产生严重后果的一般突发环境事件，由区指挥部办公室决定启动三级响应，同时报告区指挥部总指挥。区指挥部办公室派出工作组赶赴现场，给予指导和支持。区指挥部办公室实行24小时值班，及时处置相关信息和事项。</w:t>
      </w:r>
    </w:p>
    <w:p>
      <w:pPr>
        <w:ind w:firstLine="480"/>
        <w:rPr>
          <w:rFonts w:hAnsi="宋体"/>
        </w:rPr>
      </w:pPr>
      <w:r>
        <w:rPr>
          <w:rFonts w:hint="eastAsia" w:hAnsi="宋体"/>
        </w:rPr>
        <w:t>（2）二级响应。对初判发生较大突发环境事件，由区生态环境分局提出相应响应建议，区指挥部决定启动二级响应。区指挥部总指挥率领区生态环境分局及有关部门主要负责人赶赴现场，组织应急处置工作，指挥部成员单位进入响应状态。区指挥部办公室实行24小时值班。必要时，提请区政府研究并作出工作部署。</w:t>
      </w:r>
    </w:p>
    <w:p>
      <w:pPr>
        <w:ind w:firstLine="480"/>
        <w:rPr>
          <w:rFonts w:hAnsi="宋体"/>
        </w:rPr>
      </w:pPr>
      <w:r>
        <w:rPr>
          <w:rFonts w:hint="eastAsia" w:hAnsi="宋体"/>
        </w:rPr>
        <w:t>（3）一级响应。对初判发生重大及以上突发环境事件，由区生态环境分局提出相应响应建议，区指挥部决定启动一级响应。区指挥部总指挥率领区生态环境分局及有关部门主要负责人赶赴现场，组织应急处置工作，指挥部成员单位进入响应状态（视情报请市人民政府或市生态环境局组织指导协调）。区指挥部办公室实行24小时值班，区生态环境分局相关负责同志在岗带班。必要时，提请区委、区政府研究并作出工作部署。</w:t>
      </w:r>
    </w:p>
    <w:p>
      <w:pPr>
        <w:pStyle w:val="3"/>
      </w:pPr>
      <w:bookmarkStart w:id="52" w:name="_Toc115418789"/>
      <w:r>
        <w:rPr>
          <w:rFonts w:hint="eastAsia"/>
        </w:rPr>
        <w:t>7</w:t>
      </w:r>
      <w:r>
        <w:t>.</w:t>
      </w:r>
      <w:r>
        <w:rPr>
          <w:rFonts w:hint="eastAsia"/>
        </w:rPr>
        <w:t xml:space="preserve">4 </w:t>
      </w:r>
      <w:r>
        <w:t>指挥协调</w:t>
      </w:r>
      <w:bookmarkEnd w:id="52"/>
    </w:p>
    <w:p>
      <w:pPr>
        <w:ind w:firstLine="480"/>
      </w:pPr>
      <w:r>
        <w:rPr>
          <w:rFonts w:hint="eastAsia"/>
        </w:rPr>
        <w:t>发生较大及以上突发环境事件后，区指挥部立即启动应急响应，部署应急处置工作。</w:t>
      </w:r>
    </w:p>
    <w:p>
      <w:pPr>
        <w:ind w:firstLine="480"/>
      </w:pPr>
      <w:r>
        <w:rPr>
          <w:rFonts w:hint="eastAsia"/>
        </w:rPr>
        <w:t>（1）组织专家进行会商，研究分析突发环境事件影响和发展趋势；</w:t>
      </w:r>
    </w:p>
    <w:p>
      <w:pPr>
        <w:ind w:firstLine="480"/>
      </w:pPr>
      <w:r>
        <w:rPr>
          <w:rFonts w:hint="eastAsia"/>
        </w:rPr>
        <w:t>（2）成立并派出现场指挥部，赴现场组织、指挥和协调现场处置工作，事发辖区内人民政府先期设立的现场应急指挥机构应纳入区现场应急指挥部，在区现场应急指挥部的统一领导下，组织开展应对工作；</w:t>
      </w:r>
    </w:p>
    <w:p>
      <w:pPr>
        <w:ind w:firstLine="480"/>
      </w:pPr>
      <w:r>
        <w:rPr>
          <w:rFonts w:hint="eastAsia"/>
        </w:rPr>
        <w:t>（3）根据需要，区指挥机构相关成员单位派出前方工作组，赴事发现场协调开展污染处置、应急监测、医疗救治、应急保障、转移安置、新闻宣传、社会维稳等应对工作；</w:t>
      </w:r>
    </w:p>
    <w:p>
      <w:pPr>
        <w:ind w:firstLine="480"/>
      </w:pPr>
      <w:r>
        <w:rPr>
          <w:rFonts w:hint="eastAsia"/>
        </w:rPr>
        <w:t>（4）研究决定事发地人民政府和有关部门提出的请求事项；</w:t>
      </w:r>
    </w:p>
    <w:p>
      <w:pPr>
        <w:ind w:firstLine="480"/>
      </w:pPr>
      <w:r>
        <w:rPr>
          <w:rFonts w:hint="eastAsia"/>
        </w:rPr>
        <w:t>（5）统一组织应急处置信息发布，做好舆论引导；</w:t>
      </w:r>
    </w:p>
    <w:p>
      <w:pPr>
        <w:ind w:firstLine="480"/>
      </w:pPr>
      <w:r>
        <w:rPr>
          <w:rFonts w:hint="eastAsia"/>
        </w:rPr>
        <w:t>（6）向受事件影响或可能受事件影响的省内有关市通报情况；</w:t>
      </w:r>
    </w:p>
    <w:p>
      <w:pPr>
        <w:ind w:firstLine="480"/>
      </w:pPr>
      <w:r>
        <w:rPr>
          <w:rFonts w:hint="eastAsia"/>
        </w:rPr>
        <w:t>（7）视情向兄弟区或市有关方面请求支援。</w:t>
      </w:r>
    </w:p>
    <w:p>
      <w:pPr>
        <w:ind w:firstLine="480"/>
      </w:pPr>
      <w:r>
        <w:rPr>
          <w:rFonts w:hint="eastAsia"/>
        </w:rPr>
        <w:t>接到一般突发环境事件报告后，区指挥部办公室启动应急响应，事发地人民政府成立现场指挥部，负责现场指挥。</w:t>
      </w:r>
    </w:p>
    <w:p>
      <w:pPr>
        <w:ind w:firstLine="480"/>
      </w:pPr>
      <w:r>
        <w:rPr>
          <w:rFonts w:hint="eastAsia"/>
        </w:rPr>
        <w:t>区指挥部办公室派出工作组赴现场，指导和支持事发地人民政府开展应急处置、应急监测、原因调查等工作，并根据需要协调有关方面提供队伍、物资、技术等支持。主要工作：</w:t>
      </w:r>
    </w:p>
    <w:p>
      <w:pPr>
        <w:ind w:firstLine="480"/>
      </w:pPr>
      <w:r>
        <w:rPr>
          <w:rFonts w:hint="eastAsia"/>
        </w:rPr>
        <w:t>（1）了解事件情况、影响、应急处置进展及当地需求等；</w:t>
      </w:r>
    </w:p>
    <w:p>
      <w:pPr>
        <w:ind w:firstLine="480"/>
      </w:pPr>
      <w:r>
        <w:rPr>
          <w:rFonts w:hint="eastAsia"/>
        </w:rPr>
        <w:t>（2）指导事发地制订应急处置方案；</w:t>
      </w:r>
    </w:p>
    <w:p>
      <w:pPr>
        <w:ind w:firstLine="480"/>
      </w:pPr>
      <w:r>
        <w:rPr>
          <w:rFonts w:hint="eastAsia"/>
        </w:rPr>
        <w:t>（3）根据事发地请求，组织协调相关应急队伍、物资、装备等，为应急处置提供支援和技术支持；</w:t>
      </w:r>
    </w:p>
    <w:p>
      <w:pPr>
        <w:ind w:firstLine="480"/>
      </w:pPr>
      <w:r>
        <w:rPr>
          <w:rFonts w:hint="eastAsia"/>
        </w:rPr>
        <w:t>（4）对跨镇级行政区域突发环境事件应对工作进行协调；</w:t>
      </w:r>
    </w:p>
    <w:p>
      <w:pPr>
        <w:ind w:firstLine="480"/>
      </w:pPr>
      <w:r>
        <w:rPr>
          <w:rFonts w:hint="eastAsia"/>
        </w:rPr>
        <w:t>（5）指导开展事件原因调查及损害评估工作。</w:t>
      </w:r>
    </w:p>
    <w:p>
      <w:pPr>
        <w:pStyle w:val="3"/>
      </w:pPr>
      <w:bookmarkStart w:id="53" w:name="_Toc115418790"/>
      <w:r>
        <w:rPr>
          <w:rFonts w:hint="eastAsia"/>
        </w:rPr>
        <w:t>7</w:t>
      </w:r>
      <w:r>
        <w:t>.</w:t>
      </w:r>
      <w:r>
        <w:rPr>
          <w:rFonts w:hint="eastAsia"/>
        </w:rPr>
        <w:t xml:space="preserve">5 </w:t>
      </w:r>
      <w:r>
        <w:t>应急处置</w:t>
      </w:r>
      <w:bookmarkEnd w:id="53"/>
    </w:p>
    <w:p>
      <w:pPr>
        <w:ind w:firstLine="480"/>
      </w:pPr>
      <w:r>
        <w:rPr>
          <w:rFonts w:hint="eastAsia"/>
        </w:rPr>
        <w:t>区指挥部各工作组、区人民政府各相关部门及企事业单位按照区指挥部的统一部署，会同事发地政府迅速开展协调疏散工作，协调企业进行应急处置工作。</w:t>
      </w:r>
    </w:p>
    <w:p>
      <w:pPr>
        <w:pStyle w:val="4"/>
      </w:pPr>
      <w:r>
        <w:rPr>
          <w:rFonts w:hint="eastAsia"/>
        </w:rPr>
        <w:t>7</w:t>
      </w:r>
      <w:r>
        <w:t>.</w:t>
      </w:r>
      <w:r>
        <w:rPr>
          <w:rFonts w:hint="eastAsia"/>
        </w:rPr>
        <w:t>5</w:t>
      </w:r>
      <w:r>
        <w:t>.1  污染处置</w:t>
      </w:r>
    </w:p>
    <w:p>
      <w:pPr>
        <w:ind w:firstLine="480"/>
      </w:pPr>
      <w:r>
        <w:rPr>
          <w:rFonts w:hint="eastAsia"/>
        </w:rPr>
        <w:t>突发环境事件发生后，涉事企事业单位或其他生产经营者要立即采取措施，查找并确定污染物种类和污染范围，切断和控制污染源，防止污染蔓延扩散。必要时，事发地人民政府可要求其他排污单位停产、限产、限排，减轻环境污染负荷。</w:t>
      </w:r>
    </w:p>
    <w:p>
      <w:pPr>
        <w:ind w:firstLine="480"/>
      </w:pPr>
      <w:r>
        <w:rPr>
          <w:rFonts w:hint="eastAsia"/>
        </w:rPr>
        <w:t>事发地人民政府应组织制订综合治污方案。采用监测和模拟等手段追踪污染气体扩散途径和范围；采取拦截、导流、疏浚等形式防止水体污染扩大，采取隔离、吸附、打捞、氧化还原、中和、沉淀、消毒、去污洗消、临时收贮、微生物消解、调水稀释、转移异地处置、临时改造污染处置工艺或临时建设污染处置工程等方法处置污染物。做好有毒有害物质和消防废水、废液等的收集、清理和安全处置工作。</w:t>
      </w:r>
    </w:p>
    <w:p>
      <w:pPr>
        <w:ind w:firstLine="480"/>
      </w:pPr>
      <w:r>
        <w:rPr>
          <w:rFonts w:hint="eastAsia"/>
        </w:rPr>
        <w:t>突发水污染事件</w:t>
      </w:r>
    </w:p>
    <w:p>
      <w:pPr>
        <w:ind w:firstLine="480"/>
      </w:pPr>
      <w:r>
        <w:rPr>
          <w:rFonts w:hint="eastAsia"/>
        </w:rPr>
        <w:t>（1）危险化学品泄漏、火灾或爆炸</w:t>
      </w:r>
    </w:p>
    <w:p>
      <w:pPr>
        <w:ind w:firstLine="480"/>
        <w:rPr>
          <w:szCs w:val="20"/>
        </w:rPr>
      </w:pPr>
      <w:r>
        <w:rPr>
          <w:rFonts w:hint="eastAsia"/>
          <w:szCs w:val="20"/>
        </w:rPr>
        <w:t>当发生危险化学品泄漏、火灾或爆炸事件时，大量含有毒有害污染物排入水体，由污染处置组相关单位负责事故救援，采取向泄漏区投放吸附剂、中和剂、围油索，投放沙袋围堵消防废液等措施进行应急处置；</w:t>
      </w:r>
    </w:p>
    <w:p>
      <w:pPr>
        <w:ind w:firstLine="480"/>
        <w:rPr>
          <w:szCs w:val="20"/>
        </w:rPr>
      </w:pPr>
      <w:r>
        <w:rPr>
          <w:rFonts w:hint="eastAsia"/>
          <w:szCs w:val="20"/>
        </w:rPr>
        <w:t>转移安置组相关单位负责组织周围居民、学生及教职工进行疏散并建立隔离区，及时清除路障，对事故发生地主要交通干线实行交通管制；</w:t>
      </w:r>
    </w:p>
    <w:p>
      <w:pPr>
        <w:ind w:firstLine="480"/>
        <w:rPr>
          <w:szCs w:val="20"/>
        </w:rPr>
      </w:pPr>
      <w:r>
        <w:rPr>
          <w:rFonts w:hint="eastAsia"/>
          <w:szCs w:val="20"/>
        </w:rPr>
        <w:t>医疗救治组负责事故伤员、中毒人员的救治；</w:t>
      </w:r>
    </w:p>
    <w:p>
      <w:pPr>
        <w:ind w:firstLine="480"/>
        <w:rPr>
          <w:szCs w:val="20"/>
        </w:rPr>
      </w:pPr>
      <w:r>
        <w:rPr>
          <w:rFonts w:hint="eastAsia"/>
          <w:szCs w:val="20"/>
        </w:rPr>
        <w:t>应急保障组相关单位负责协调应急物资的供应；</w:t>
      </w:r>
    </w:p>
    <w:p>
      <w:pPr>
        <w:ind w:firstLine="480"/>
        <w:rPr>
          <w:szCs w:val="20"/>
        </w:rPr>
      </w:pPr>
      <w:r>
        <w:rPr>
          <w:rFonts w:hint="eastAsia"/>
          <w:szCs w:val="20"/>
        </w:rPr>
        <w:t>应急监测组（</w:t>
      </w:r>
      <w:r>
        <w:rPr>
          <w:rFonts w:hAnsi="宋体"/>
          <w:szCs w:val="24"/>
        </w:rPr>
        <w:t>委托</w:t>
      </w:r>
      <w:r>
        <w:rPr>
          <w:rFonts w:hint="eastAsia" w:hAnsi="宋体"/>
          <w:szCs w:val="24"/>
        </w:rPr>
        <w:t>淮南市环境保护监测站</w:t>
      </w:r>
      <w:r>
        <w:rPr>
          <w:rFonts w:hint="eastAsia"/>
          <w:szCs w:val="20"/>
        </w:rPr>
        <w:t>）对现场地表水、地下水进行取样监测；</w:t>
      </w:r>
    </w:p>
    <w:p>
      <w:pPr>
        <w:ind w:firstLine="480"/>
      </w:pPr>
      <w:r>
        <w:rPr>
          <w:rFonts w:hint="eastAsia"/>
          <w:szCs w:val="20"/>
        </w:rPr>
        <w:t>综合协调组立即发布预警公告通知周边居民，同时根据应急监测组监测、预测结果，及时通知下风向可能受影响区域的居民。当事故可能危及饮用水源地时，立即向上级政府部门报告，请求支援。</w:t>
      </w:r>
    </w:p>
    <w:p>
      <w:pPr>
        <w:ind w:firstLine="480"/>
        <w:rPr>
          <w:szCs w:val="20"/>
        </w:rPr>
      </w:pPr>
      <w:r>
        <w:rPr>
          <w:rFonts w:hint="eastAsia"/>
          <w:szCs w:val="20"/>
        </w:rPr>
        <w:t>（2）生产废水事故排放</w:t>
      </w:r>
    </w:p>
    <w:p>
      <w:pPr>
        <w:ind w:firstLine="480"/>
        <w:rPr>
          <w:szCs w:val="20"/>
        </w:rPr>
      </w:pPr>
      <w:r>
        <w:rPr>
          <w:rFonts w:hint="eastAsia"/>
          <w:szCs w:val="20"/>
        </w:rPr>
        <w:t>由污染处置组负责事故救援，针对排入城市污水管网的生产废水采取截流、导流措施；</w:t>
      </w:r>
    </w:p>
    <w:p>
      <w:pPr>
        <w:ind w:firstLine="480"/>
        <w:rPr>
          <w:szCs w:val="20"/>
        </w:rPr>
      </w:pPr>
      <w:r>
        <w:rPr>
          <w:rFonts w:hint="eastAsia"/>
          <w:szCs w:val="20"/>
        </w:rPr>
        <w:t>应急保障组相关单位负责协调应急物资的供应和受灾人员的安抚、善后工作；</w:t>
      </w:r>
    </w:p>
    <w:p>
      <w:pPr>
        <w:ind w:firstLine="480"/>
        <w:rPr>
          <w:szCs w:val="20"/>
        </w:rPr>
      </w:pPr>
      <w:r>
        <w:rPr>
          <w:rFonts w:hint="eastAsia"/>
          <w:szCs w:val="20"/>
        </w:rPr>
        <w:t>应急监测组（</w:t>
      </w:r>
      <w:r>
        <w:rPr>
          <w:rFonts w:hAnsi="宋体"/>
          <w:szCs w:val="24"/>
        </w:rPr>
        <w:t>委托</w:t>
      </w:r>
      <w:r>
        <w:rPr>
          <w:rFonts w:hint="eastAsia" w:hAnsi="宋体"/>
          <w:szCs w:val="24"/>
        </w:rPr>
        <w:t>淮南市环境保护监测站</w:t>
      </w:r>
      <w:r>
        <w:rPr>
          <w:rFonts w:hint="eastAsia"/>
          <w:szCs w:val="20"/>
        </w:rPr>
        <w:t>）、调查评估组对溢流现场及附近地下水、地表水进行取样监测；</w:t>
      </w:r>
    </w:p>
    <w:p>
      <w:pPr>
        <w:ind w:firstLine="480"/>
        <w:rPr>
          <w:szCs w:val="20"/>
        </w:rPr>
      </w:pPr>
      <w:r>
        <w:rPr>
          <w:rFonts w:hint="eastAsia"/>
          <w:szCs w:val="20"/>
        </w:rPr>
        <w:t>综合协调组、社会维稳组、新闻宣传组立即发布预警公告，及时通知污水处理厂排放的生产废水（或医疗废水）类型、提出强化处理的建议措施，要求污水处理厂加强对进出厂水质的监测频率直至应急响应结束；同时根据应急监测组监测、预测结果，及时通知河流下游区域注意人畜饮水安全；</w:t>
      </w:r>
    </w:p>
    <w:p>
      <w:pPr>
        <w:ind w:firstLine="480"/>
        <w:rPr>
          <w:szCs w:val="20"/>
        </w:rPr>
      </w:pPr>
      <w:r>
        <w:rPr>
          <w:rFonts w:hint="eastAsia"/>
          <w:szCs w:val="20"/>
        </w:rPr>
        <w:t>当区域内污水处理厂突发设备故障或停电导致污水未经处理直接外排进入地表水体，可能引发跨区域污染的情况下，应急指挥部应及时向上级生态环境保护部门报告。</w:t>
      </w:r>
    </w:p>
    <w:p>
      <w:pPr>
        <w:ind w:firstLine="480"/>
      </w:pPr>
      <w:r>
        <w:rPr>
          <w:rFonts w:hint="eastAsia"/>
        </w:rPr>
        <w:t>（3）固体废物（含危险废物）事故排放</w:t>
      </w:r>
    </w:p>
    <w:p>
      <w:pPr>
        <w:ind w:firstLine="480"/>
        <w:rPr>
          <w:szCs w:val="20"/>
        </w:rPr>
      </w:pPr>
      <w:r>
        <w:rPr>
          <w:rFonts w:hint="eastAsia"/>
          <w:szCs w:val="20"/>
        </w:rPr>
        <w:t>由污染处置组负责事故救援，对撒落废物进行打捞、收集和无害化处理；</w:t>
      </w:r>
    </w:p>
    <w:p>
      <w:pPr>
        <w:ind w:firstLine="480"/>
        <w:rPr>
          <w:szCs w:val="20"/>
        </w:rPr>
      </w:pPr>
      <w:r>
        <w:rPr>
          <w:rFonts w:hint="eastAsia"/>
          <w:szCs w:val="20"/>
        </w:rPr>
        <w:t>应急监测组（</w:t>
      </w:r>
      <w:r>
        <w:rPr>
          <w:rFonts w:hAnsi="宋体"/>
          <w:szCs w:val="24"/>
        </w:rPr>
        <w:t>委托</w:t>
      </w:r>
      <w:r>
        <w:rPr>
          <w:rFonts w:hint="eastAsia" w:hAnsi="宋体"/>
          <w:szCs w:val="24"/>
        </w:rPr>
        <w:t>淮南市环境保护监测站</w:t>
      </w:r>
      <w:r>
        <w:rPr>
          <w:rFonts w:hint="eastAsia"/>
          <w:szCs w:val="20"/>
        </w:rPr>
        <w:t>）、调查评估组负责对废物撒落现场附近地下水、地表水进行取样监测。</w:t>
      </w:r>
    </w:p>
    <w:p>
      <w:pPr>
        <w:ind w:firstLine="480"/>
        <w:rPr>
          <w:szCs w:val="20"/>
        </w:rPr>
      </w:pPr>
      <w:r>
        <w:rPr>
          <w:rFonts w:hint="eastAsia"/>
          <w:szCs w:val="20"/>
        </w:rPr>
        <w:t>综合协调组、社会维稳组、新闻宣传组立即发布预警公告，根据监测结果及污染蔓延趋势，及时通知河流下游区域注意人畜饮水安全。</w:t>
      </w:r>
    </w:p>
    <w:p>
      <w:pPr>
        <w:ind w:firstLine="480"/>
      </w:pPr>
      <w:r>
        <w:rPr>
          <w:rFonts w:hint="eastAsia"/>
        </w:rPr>
        <w:t>突发大气污染事件</w:t>
      </w:r>
    </w:p>
    <w:p>
      <w:pPr>
        <w:ind w:firstLine="480"/>
      </w:pPr>
      <w:r>
        <w:rPr>
          <w:rFonts w:hint="eastAsia"/>
        </w:rPr>
        <w:t>（1）危险化学品燃烧（或爆炸）</w:t>
      </w:r>
    </w:p>
    <w:p>
      <w:pPr>
        <w:ind w:firstLine="480"/>
        <w:rPr>
          <w:szCs w:val="20"/>
        </w:rPr>
      </w:pPr>
      <w:r>
        <w:rPr>
          <w:rFonts w:hint="eastAsia"/>
          <w:szCs w:val="20"/>
        </w:rPr>
        <w:t>当发生危险化学品火灾或爆炸事件时，大量燃烧废气进入空气中，由污染处置组相关单位负责事故救援，采取向火灾或爆炸区喷洒水雾、稀酸或稀碱液进行紧急处理，防止危险物质挥发，同时在较低处投放沙袋围堵消防废液防止污染物进入水体；</w:t>
      </w:r>
    </w:p>
    <w:p>
      <w:pPr>
        <w:ind w:firstLine="480"/>
        <w:rPr>
          <w:szCs w:val="20"/>
        </w:rPr>
      </w:pPr>
      <w:r>
        <w:rPr>
          <w:rFonts w:hint="eastAsia"/>
          <w:szCs w:val="20"/>
        </w:rPr>
        <w:t>转移安置组相关单位负责组织事发地周围居民进行疏散并建立隔离区，及时清除路障，对事故发生地主要交通干线实行交通管制；</w:t>
      </w:r>
    </w:p>
    <w:p>
      <w:pPr>
        <w:ind w:firstLine="480"/>
        <w:rPr>
          <w:szCs w:val="20"/>
        </w:rPr>
      </w:pPr>
      <w:r>
        <w:rPr>
          <w:rFonts w:hint="eastAsia"/>
          <w:szCs w:val="20"/>
        </w:rPr>
        <w:t>医疗救治组负责事故伤员、中毒人员的救治；</w:t>
      </w:r>
    </w:p>
    <w:p>
      <w:pPr>
        <w:ind w:firstLine="480"/>
        <w:rPr>
          <w:szCs w:val="20"/>
        </w:rPr>
      </w:pPr>
      <w:r>
        <w:rPr>
          <w:rFonts w:hint="eastAsia"/>
          <w:szCs w:val="20"/>
        </w:rPr>
        <w:t>应急监测组（</w:t>
      </w:r>
      <w:r>
        <w:rPr>
          <w:rFonts w:hAnsi="宋体"/>
          <w:szCs w:val="24"/>
        </w:rPr>
        <w:t>委托</w:t>
      </w:r>
      <w:r>
        <w:rPr>
          <w:rFonts w:hint="eastAsia" w:hAnsi="宋体"/>
          <w:szCs w:val="24"/>
        </w:rPr>
        <w:t>淮南市环境保护监测站</w:t>
      </w:r>
      <w:r>
        <w:rPr>
          <w:rFonts w:hint="eastAsia"/>
          <w:szCs w:val="20"/>
        </w:rPr>
        <w:t>）、调查评估组对现场及下风向敏感保护目标进行布点监测；</w:t>
      </w:r>
    </w:p>
    <w:p>
      <w:pPr>
        <w:ind w:firstLine="480"/>
        <w:rPr>
          <w:szCs w:val="20"/>
        </w:rPr>
      </w:pPr>
      <w:r>
        <w:rPr>
          <w:rFonts w:hint="eastAsia"/>
          <w:szCs w:val="20"/>
        </w:rPr>
        <w:t>综合协调组、社会维稳组、新闻宣传组立即发布预警公告，同时根据应急监测组监测、预测结果，及时通知下风向可能受影响区域的居民，做好紧急疏散准备，并采取必要的身体防护措施。</w:t>
      </w:r>
    </w:p>
    <w:p>
      <w:pPr>
        <w:ind w:firstLine="480"/>
        <w:rPr>
          <w:szCs w:val="20"/>
        </w:rPr>
      </w:pPr>
      <w:r>
        <w:rPr>
          <w:rFonts w:hint="eastAsia"/>
          <w:szCs w:val="20"/>
        </w:rPr>
        <w:t>突发土壤污染事件</w:t>
      </w:r>
    </w:p>
    <w:p>
      <w:pPr>
        <w:ind w:firstLine="480"/>
        <w:rPr>
          <w:szCs w:val="20"/>
        </w:rPr>
      </w:pPr>
      <w:r>
        <w:rPr>
          <w:rFonts w:hint="eastAsia"/>
          <w:szCs w:val="20"/>
        </w:rPr>
        <w:t>（</w:t>
      </w:r>
      <w:r>
        <w:rPr>
          <w:szCs w:val="20"/>
        </w:rPr>
        <w:t>1</w:t>
      </w:r>
      <w:r>
        <w:rPr>
          <w:rFonts w:hint="eastAsia"/>
          <w:szCs w:val="20"/>
        </w:rPr>
        <w:t>）危险化学品泄漏</w:t>
      </w:r>
    </w:p>
    <w:p>
      <w:pPr>
        <w:ind w:firstLine="480"/>
        <w:rPr>
          <w:szCs w:val="20"/>
        </w:rPr>
      </w:pPr>
      <w:r>
        <w:rPr>
          <w:rFonts w:hint="eastAsia"/>
          <w:szCs w:val="20"/>
        </w:rPr>
        <w:t>当发生危险化学品泄漏污染附近土壤时，由污染处置组相关单位负责事故应急救援，采取向泄漏区投放吸附剂或中和剂进行紧急处理，防止泄漏物质进一步扩散；同时根据应急监测、预测结果，深挖被污染区域的土壤，将受污染土壤收集起来后进行无害化处置。</w:t>
      </w:r>
    </w:p>
    <w:p>
      <w:pPr>
        <w:ind w:firstLine="480"/>
        <w:rPr>
          <w:szCs w:val="20"/>
        </w:rPr>
      </w:pPr>
      <w:r>
        <w:rPr>
          <w:rFonts w:hint="eastAsia"/>
          <w:szCs w:val="20"/>
        </w:rPr>
        <w:t>转移安置组相关单位负责在事发地建立隔离区，对事故发生地主要交通干线实行交通管制；</w:t>
      </w:r>
    </w:p>
    <w:p>
      <w:pPr>
        <w:ind w:firstLine="480"/>
        <w:rPr>
          <w:szCs w:val="20"/>
        </w:rPr>
      </w:pPr>
      <w:r>
        <w:rPr>
          <w:rFonts w:hint="eastAsia"/>
          <w:szCs w:val="20"/>
        </w:rPr>
        <w:t>医疗救治组负责事故伤员、中毒人员的救治；</w:t>
      </w:r>
    </w:p>
    <w:p>
      <w:pPr>
        <w:ind w:firstLine="480"/>
        <w:rPr>
          <w:szCs w:val="20"/>
        </w:rPr>
      </w:pPr>
      <w:r>
        <w:rPr>
          <w:rFonts w:hint="eastAsia"/>
          <w:szCs w:val="20"/>
        </w:rPr>
        <w:t>应急监测组（</w:t>
      </w:r>
      <w:r>
        <w:rPr>
          <w:rFonts w:hAnsi="宋体"/>
          <w:szCs w:val="24"/>
        </w:rPr>
        <w:t>委托</w:t>
      </w:r>
      <w:r>
        <w:rPr>
          <w:rFonts w:hint="eastAsia" w:hAnsi="宋体"/>
          <w:szCs w:val="24"/>
        </w:rPr>
        <w:t>淮南市环境保护监测站</w:t>
      </w:r>
      <w:r>
        <w:rPr>
          <w:rFonts w:hint="eastAsia"/>
          <w:szCs w:val="20"/>
        </w:rPr>
        <w:t>）、调查评估组对污染区域下层及周边土壤进行布点采样监测，初步判断污染物扩散趋势，划定污染范围；</w:t>
      </w:r>
    </w:p>
    <w:p>
      <w:pPr>
        <w:ind w:firstLine="480"/>
        <w:rPr>
          <w:szCs w:val="20"/>
        </w:rPr>
      </w:pPr>
      <w:r>
        <w:rPr>
          <w:rFonts w:hint="eastAsia"/>
          <w:szCs w:val="20"/>
        </w:rPr>
        <w:t>综合协调组、社会维稳组、新闻宣传组立即发布预警公告，同时根据应急监测组监测、预测结果，及时通知可能受影响区域的居民，做好紧急疏散准备，并采取必要的防护措施。</w:t>
      </w:r>
    </w:p>
    <w:p>
      <w:pPr>
        <w:ind w:firstLine="480"/>
        <w:rPr>
          <w:szCs w:val="20"/>
        </w:rPr>
      </w:pPr>
      <w:r>
        <w:rPr>
          <w:rFonts w:hint="eastAsia"/>
          <w:szCs w:val="20"/>
        </w:rPr>
        <w:t>（</w:t>
      </w:r>
      <w:r>
        <w:rPr>
          <w:szCs w:val="20"/>
        </w:rPr>
        <w:t>2</w:t>
      </w:r>
      <w:r>
        <w:rPr>
          <w:rFonts w:hint="eastAsia"/>
          <w:szCs w:val="20"/>
        </w:rPr>
        <w:t>）废水事故排放</w:t>
      </w:r>
    </w:p>
    <w:p>
      <w:pPr>
        <w:ind w:firstLine="480"/>
        <w:rPr>
          <w:szCs w:val="20"/>
        </w:rPr>
      </w:pPr>
      <w:r>
        <w:rPr>
          <w:rFonts w:hint="eastAsia"/>
          <w:szCs w:val="20"/>
        </w:rPr>
        <w:t>当发生工业废水事故排放污染附近土壤时，由污染处置组相关单位负责事故应急救援，及时切断污染源，设法将废水引流至附近污水管网；同时根据应急监测、预测结果，深挖被污染区域的土壤，将受污染土壤收集起来后进行无害化处置。</w:t>
      </w:r>
    </w:p>
    <w:p>
      <w:pPr>
        <w:ind w:firstLine="480"/>
        <w:rPr>
          <w:szCs w:val="20"/>
        </w:rPr>
      </w:pPr>
      <w:r>
        <w:rPr>
          <w:rFonts w:hint="eastAsia"/>
          <w:szCs w:val="20"/>
        </w:rPr>
        <w:t>转移安置组相关单位负责在事发地建立隔离区，对事故发生地主要交通干线实行交通管制；</w:t>
      </w:r>
    </w:p>
    <w:p>
      <w:pPr>
        <w:ind w:firstLine="480"/>
        <w:rPr>
          <w:szCs w:val="20"/>
        </w:rPr>
      </w:pPr>
      <w:r>
        <w:rPr>
          <w:rFonts w:hint="eastAsia"/>
          <w:szCs w:val="20"/>
        </w:rPr>
        <w:t>医疗救治组负责事故伤员、中毒人员的救治；</w:t>
      </w:r>
    </w:p>
    <w:p>
      <w:pPr>
        <w:ind w:firstLine="480"/>
        <w:rPr>
          <w:szCs w:val="20"/>
        </w:rPr>
      </w:pPr>
      <w:r>
        <w:rPr>
          <w:rFonts w:hint="eastAsia"/>
          <w:szCs w:val="20"/>
        </w:rPr>
        <w:t>应急监测组（</w:t>
      </w:r>
      <w:r>
        <w:rPr>
          <w:rFonts w:hAnsi="宋体"/>
          <w:szCs w:val="24"/>
        </w:rPr>
        <w:t>委托</w:t>
      </w:r>
      <w:r>
        <w:rPr>
          <w:rFonts w:hint="eastAsia" w:hAnsi="宋体"/>
          <w:szCs w:val="24"/>
        </w:rPr>
        <w:t>淮南市环境保护监测站</w:t>
      </w:r>
      <w:r>
        <w:rPr>
          <w:rFonts w:hint="eastAsia"/>
          <w:szCs w:val="20"/>
        </w:rPr>
        <w:t>）、调查评估组对污染区域下层及周边土壤进行布点采样监测，重点监测重金属离子、氰化物等，初步判断污染物扩散趋势，划定污染范围；</w:t>
      </w:r>
    </w:p>
    <w:p>
      <w:pPr>
        <w:ind w:firstLine="480"/>
        <w:rPr>
          <w:szCs w:val="20"/>
        </w:rPr>
      </w:pPr>
      <w:r>
        <w:rPr>
          <w:rFonts w:hint="eastAsia"/>
          <w:szCs w:val="20"/>
        </w:rPr>
        <w:t>综合协调组、社会维稳组、新闻宣传组立即发布预警公告，根据应急监测、预测结果，同时根据应急监测组监测、预测结果，及时通知可能受影响区域的居民，做好紧急疏散准备，并采取必要的防护措施。</w:t>
      </w:r>
    </w:p>
    <w:p>
      <w:pPr>
        <w:ind w:firstLine="480"/>
        <w:rPr>
          <w:szCs w:val="20"/>
        </w:rPr>
      </w:pPr>
      <w:r>
        <w:rPr>
          <w:szCs w:val="20"/>
        </w:rPr>
        <w:t>（3）固体废物（含危险废物）事故排放</w:t>
      </w:r>
    </w:p>
    <w:p>
      <w:pPr>
        <w:ind w:firstLine="480"/>
        <w:rPr>
          <w:szCs w:val="20"/>
        </w:rPr>
      </w:pPr>
      <w:r>
        <w:rPr>
          <w:rFonts w:hint="eastAsia"/>
          <w:szCs w:val="20"/>
        </w:rPr>
        <w:t>当发生固体废物事故排放污染附近土壤时，由污染处置组相关单位负责事故应急救援，及时切断污染源、组织有关人员将废物清运并无害化处理；同时根据应急监测、预测结果，深挖被污染区域的土壤，将受污染土壤收集起来后进行无害化处置。</w:t>
      </w:r>
    </w:p>
    <w:p>
      <w:pPr>
        <w:ind w:firstLine="480"/>
        <w:rPr>
          <w:szCs w:val="20"/>
        </w:rPr>
      </w:pPr>
      <w:r>
        <w:rPr>
          <w:rFonts w:hint="eastAsia"/>
          <w:szCs w:val="20"/>
        </w:rPr>
        <w:t>转移安置组负责在事发地建立隔离区，对事故发生地主要交通干线实行交通管制；</w:t>
      </w:r>
    </w:p>
    <w:p>
      <w:pPr>
        <w:ind w:firstLine="480"/>
        <w:rPr>
          <w:szCs w:val="20"/>
        </w:rPr>
      </w:pPr>
      <w:r>
        <w:rPr>
          <w:rFonts w:hint="eastAsia"/>
          <w:szCs w:val="20"/>
        </w:rPr>
        <w:t>医疗救护组负责事故伤员、中毒人员的救治；</w:t>
      </w:r>
    </w:p>
    <w:p>
      <w:pPr>
        <w:ind w:firstLine="480"/>
        <w:rPr>
          <w:szCs w:val="20"/>
        </w:rPr>
      </w:pPr>
      <w:r>
        <w:rPr>
          <w:rFonts w:hint="eastAsia"/>
          <w:szCs w:val="20"/>
        </w:rPr>
        <w:t>应急监测组（</w:t>
      </w:r>
      <w:r>
        <w:rPr>
          <w:rFonts w:hAnsi="宋体"/>
          <w:szCs w:val="24"/>
        </w:rPr>
        <w:t>委托</w:t>
      </w:r>
      <w:r>
        <w:rPr>
          <w:rFonts w:hint="eastAsia" w:hAnsi="宋体"/>
          <w:szCs w:val="24"/>
        </w:rPr>
        <w:t>淮南市环境保护监测站</w:t>
      </w:r>
      <w:r>
        <w:rPr>
          <w:rFonts w:hint="eastAsia"/>
          <w:szCs w:val="20"/>
        </w:rPr>
        <w:t>）、调查评估组对污染区域下层及周边土壤进行布点采样监测，重点监测重金属离子、氰化物等，初步判断污染物扩散趋势，划定污染范围；</w:t>
      </w:r>
    </w:p>
    <w:p>
      <w:pPr>
        <w:ind w:firstLine="480"/>
        <w:rPr>
          <w:szCs w:val="20"/>
        </w:rPr>
      </w:pPr>
      <w:r>
        <w:rPr>
          <w:rFonts w:hint="eastAsia"/>
          <w:szCs w:val="20"/>
        </w:rPr>
        <w:t>综合协调组、社会维稳组、新闻宣传组立即发布预警公告，同时根据应急监测组监测、预测结果，及时通知可能受影响区域的居民，做好紧急疏散准备，并采取必要的防护措施。</w:t>
      </w:r>
    </w:p>
    <w:p>
      <w:pPr>
        <w:pStyle w:val="4"/>
      </w:pPr>
      <w:r>
        <w:rPr>
          <w:rFonts w:hint="eastAsia"/>
        </w:rPr>
        <w:t>7</w:t>
      </w:r>
      <w:r>
        <w:t>.</w:t>
      </w:r>
      <w:r>
        <w:rPr>
          <w:rFonts w:hint="eastAsia"/>
        </w:rPr>
        <w:t>5</w:t>
      </w:r>
      <w:r>
        <w:t>.</w:t>
      </w:r>
      <w:r>
        <w:rPr>
          <w:rFonts w:hint="eastAsia"/>
        </w:rPr>
        <w:t>2转移安置人员</w:t>
      </w:r>
    </w:p>
    <w:p>
      <w:pPr>
        <w:ind w:firstLine="480"/>
      </w:pPr>
      <w:r>
        <w:rPr>
          <w:rFonts w:hint="eastAsia"/>
        </w:rPr>
        <w:t>根据突发环境事件影响及事发地的气象、地理环境、人员密集度等，建立现场警戒区、交通管制区域和重点防护区域，确定受威胁人员疏散的方式和途径，有组织、有秩序地及时疏散转移受威胁人员和可能受影响地区的居民。妥善做好转移人员安置工作，确保基本的生活和必要的医疗条件。</w:t>
      </w:r>
    </w:p>
    <w:p>
      <w:pPr>
        <w:pStyle w:val="4"/>
      </w:pPr>
      <w:r>
        <w:rPr>
          <w:rFonts w:hint="eastAsia"/>
        </w:rPr>
        <w:t>7</w:t>
      </w:r>
      <w:r>
        <w:t>.</w:t>
      </w:r>
      <w:r>
        <w:rPr>
          <w:rFonts w:hint="eastAsia"/>
        </w:rPr>
        <w:t>5</w:t>
      </w:r>
      <w:r>
        <w:t>.</w:t>
      </w:r>
      <w:r>
        <w:rPr>
          <w:rFonts w:hint="eastAsia"/>
        </w:rPr>
        <w:t>3 医疗救治</w:t>
      </w:r>
    </w:p>
    <w:p>
      <w:pPr>
        <w:ind w:firstLine="480"/>
      </w:pPr>
      <w:r>
        <w:rPr>
          <w:rFonts w:hint="eastAsia"/>
        </w:rPr>
        <w:t>迅速组织医疗资源和力量，对伤病员进行诊断治疗，根据需要及时、安全地将重症伤病员转运到有条件的医疗机构救治。指导和协助开展受污染人员的去污洗消工作，提出保护公众健康的措施建议。视情增派医疗卫生专家和卫生应急队伍、调配急需医药物资，支持事发地医疗事发地救援工作。做好受影响人员的心理疏导援助。</w:t>
      </w:r>
    </w:p>
    <w:p>
      <w:pPr>
        <w:pStyle w:val="4"/>
      </w:pPr>
      <w:r>
        <w:rPr>
          <w:rFonts w:hint="eastAsia"/>
        </w:rPr>
        <w:t>7</w:t>
      </w:r>
      <w:r>
        <w:t>.</w:t>
      </w:r>
      <w:r>
        <w:rPr>
          <w:rFonts w:hint="eastAsia"/>
        </w:rPr>
        <w:t>5</w:t>
      </w:r>
      <w:r>
        <w:t>.</w:t>
      </w:r>
      <w:r>
        <w:rPr>
          <w:rFonts w:hint="eastAsia"/>
        </w:rPr>
        <w:t>4应急监测</w:t>
      </w:r>
    </w:p>
    <w:p>
      <w:pPr>
        <w:ind w:firstLine="480"/>
      </w:pPr>
      <w:r>
        <w:rPr>
          <w:rFonts w:hint="eastAsia"/>
        </w:rPr>
        <w:t>根据突发环境事件的污染物种类、性质以及当地自然、社会环境状况等，明确相应的应急监测方案及监测方法，确定监测的布点和频次，调配应急监测设备、车辆，加强大气、水体、土壤等应急监测工作，为应急决策提供依据。</w:t>
      </w:r>
    </w:p>
    <w:p>
      <w:pPr>
        <w:pStyle w:val="4"/>
      </w:pPr>
      <w:r>
        <w:rPr>
          <w:rFonts w:hint="eastAsia"/>
        </w:rPr>
        <w:t>7</w:t>
      </w:r>
      <w:r>
        <w:t>.</w:t>
      </w:r>
      <w:r>
        <w:rPr>
          <w:rFonts w:hint="eastAsia"/>
        </w:rPr>
        <w:t>5</w:t>
      </w:r>
      <w:r>
        <w:t>.</w:t>
      </w:r>
      <w:r>
        <w:rPr>
          <w:rFonts w:hint="eastAsia"/>
        </w:rPr>
        <w:t>5 专家会商</w:t>
      </w:r>
    </w:p>
    <w:p>
      <w:pPr>
        <w:ind w:firstLine="480"/>
      </w:pPr>
      <w:r>
        <w:rPr>
          <w:rFonts w:hint="eastAsia"/>
        </w:rPr>
        <w:t>组织专家对环境监测数据进行动态分析和评估，判定污染物种类，预测突发环境事件的污染程度、危害范围和发展趋势；提出应急处置、污染区域隔离与解除、人员撤离与返回等措施建议。</w:t>
      </w:r>
    </w:p>
    <w:p>
      <w:pPr>
        <w:pStyle w:val="4"/>
      </w:pPr>
      <w:r>
        <w:rPr>
          <w:rFonts w:hint="eastAsia"/>
        </w:rPr>
        <w:t>7</w:t>
      </w:r>
      <w:r>
        <w:t>.</w:t>
      </w:r>
      <w:r>
        <w:rPr>
          <w:rFonts w:hint="eastAsia"/>
        </w:rPr>
        <w:t>5</w:t>
      </w:r>
      <w:r>
        <w:t>.</w:t>
      </w:r>
      <w:r>
        <w:rPr>
          <w:rFonts w:hint="eastAsia"/>
        </w:rPr>
        <w:t>6 市场监管和调控</w:t>
      </w:r>
    </w:p>
    <w:p>
      <w:pPr>
        <w:ind w:firstLine="480"/>
      </w:pPr>
      <w:r>
        <w:rPr>
          <w:rFonts w:hint="eastAsia"/>
        </w:rPr>
        <w:t>密切关注受事件影响地区市场供应情况及公众反应，加强对重要生活必需品等的市场监管和调控。卫生健康、市场监督管理等部门禁止或限制受污染食品和饮用水的生产、加工、流通和食用，防范因突发环境事件引发的次生灾害等。</w:t>
      </w:r>
    </w:p>
    <w:p>
      <w:pPr>
        <w:pStyle w:val="4"/>
      </w:pPr>
      <w:r>
        <w:rPr>
          <w:rFonts w:hint="eastAsia"/>
        </w:rPr>
        <w:t>7</w:t>
      </w:r>
      <w:r>
        <w:t>.</w:t>
      </w:r>
      <w:r>
        <w:rPr>
          <w:rFonts w:hint="eastAsia"/>
        </w:rPr>
        <w:t>5</w:t>
      </w:r>
      <w:r>
        <w:t>.</w:t>
      </w:r>
      <w:r>
        <w:rPr>
          <w:rFonts w:hint="eastAsia"/>
        </w:rPr>
        <w:t>7 信息发布和舆论引导</w:t>
      </w:r>
    </w:p>
    <w:p>
      <w:pPr>
        <w:ind w:firstLine="480"/>
      </w:pPr>
      <w:r>
        <w:rPr>
          <w:rFonts w:hint="eastAsia"/>
        </w:rPr>
        <w:t>通过广播、电视、报刊、通信、信息网络、手机、各级预警信息发布中心等途径，主动、及时、准确、客观地向社会发布突发环境事件和应对工作信息，回应社会关切，澄清不实信息，正确引导社会舆论。信息发布内容包括事件原因、污染程度、影响范围、应对措施、需要公众配合采取的措施、公众防范常识和事件调查处理进展情况等。针对重特大或敏感突发环境事件，事件发生后事发地人民政府或应急指挥机构5小时内要发布权威信息，24小时内要举行新闻发布会。</w:t>
      </w:r>
    </w:p>
    <w:p>
      <w:pPr>
        <w:pStyle w:val="4"/>
      </w:pPr>
      <w:r>
        <w:rPr>
          <w:rFonts w:hint="eastAsia"/>
        </w:rPr>
        <w:t>7</w:t>
      </w:r>
      <w:r>
        <w:t>.</w:t>
      </w:r>
      <w:r>
        <w:rPr>
          <w:rFonts w:hint="eastAsia"/>
        </w:rPr>
        <w:t>5</w:t>
      </w:r>
      <w:r>
        <w:t>.</w:t>
      </w:r>
      <w:r>
        <w:rPr>
          <w:rFonts w:hint="eastAsia"/>
        </w:rPr>
        <w:t>8 维护社会稳定</w:t>
      </w:r>
    </w:p>
    <w:p>
      <w:pPr>
        <w:ind w:firstLine="480"/>
      </w:pPr>
      <w:r>
        <w:rPr>
          <w:rFonts w:hint="eastAsia"/>
        </w:rPr>
        <w:t>加强受影响地区社会治安管理和交通管制，严厉打击借机传播谣言、哄抢救灾物资等违法犯罪行为，依法侦查涉嫌环境污染犯罪案件；加强转移人员安置点、救灾物资存放点、事发现场等重点地区治安管控；做好受影响人员情绪疏导和法律服务工作，防止引发群体性事件，维护社会稳定。</w:t>
      </w:r>
    </w:p>
    <w:p>
      <w:pPr>
        <w:pStyle w:val="3"/>
      </w:pPr>
      <w:bookmarkStart w:id="54" w:name="_Toc115418791"/>
      <w:r>
        <w:rPr>
          <w:rFonts w:hint="eastAsia"/>
        </w:rPr>
        <w:t>7</w:t>
      </w:r>
      <w:r>
        <w:t>.</w:t>
      </w:r>
      <w:r>
        <w:rPr>
          <w:rFonts w:hint="eastAsia"/>
        </w:rPr>
        <w:t>6 信息通报</w:t>
      </w:r>
      <w:bookmarkEnd w:id="54"/>
    </w:p>
    <w:p>
      <w:pPr>
        <w:ind w:firstLine="480"/>
      </w:pPr>
      <w:r>
        <w:t>发生突发环境事件的生产经营单位，必须及时通报可能受到污染危害的单位和居民。</w:t>
      </w:r>
    </w:p>
    <w:p>
      <w:pPr>
        <w:ind w:firstLine="480"/>
      </w:pPr>
      <w:r>
        <w:t>突发环境事件已经或者可能涉及相邻行政区域的，生态环境分局及时通报相邻行政区域的</w:t>
      </w:r>
      <w:r>
        <w:rPr>
          <w:rFonts w:hint="eastAsia"/>
        </w:rPr>
        <w:t>生态环境</w:t>
      </w:r>
      <w:r>
        <w:t>主管部门并及时上报市生态环境局，接到通报的行政区域应当及时调查了解情况，并按照相关规定报告突发环境事件信息。</w:t>
      </w:r>
    </w:p>
    <w:p>
      <w:pPr>
        <w:ind w:firstLine="480"/>
      </w:pPr>
      <w:r>
        <w:t>区生态环境分局在处理突发环境事件过程中，应及时向相关部门通报应急处置情况。区相关部门在应对突发公共事件时，应当在抢险、救援、处置过程中采取必要措施，避免或减少突发事件对环境造成危害，造成或可能造成突发环境事件的，应当及时向区生态环境分局通报相关信息。</w:t>
      </w:r>
    </w:p>
    <w:p>
      <w:pPr>
        <w:pStyle w:val="3"/>
      </w:pPr>
      <w:bookmarkStart w:id="55" w:name="_Toc115418792"/>
      <w:r>
        <w:rPr>
          <w:rFonts w:hint="eastAsia"/>
        </w:rPr>
        <w:t>7</w:t>
      </w:r>
      <w:r>
        <w:t>.</w:t>
      </w:r>
      <w:r>
        <w:rPr>
          <w:rFonts w:hint="eastAsia"/>
        </w:rPr>
        <w:t>7 信息发布</w:t>
      </w:r>
      <w:bookmarkEnd w:id="55"/>
    </w:p>
    <w:p>
      <w:pPr>
        <w:ind w:firstLine="480"/>
        <w:rPr>
          <w:szCs w:val="20"/>
        </w:rPr>
      </w:pPr>
      <w:r>
        <w:rPr>
          <w:rFonts w:hint="eastAsia"/>
          <w:szCs w:val="20"/>
        </w:rPr>
        <w:t>应急指挥部按照规定职责，突发环境事件的信息由应急指挥部指挥长签署意见后按程序上报和发布。在生态环境分局的组织、协调下，承担突发环境事件处置的责任单位指派专人负责新闻报道工作，并负责起草新闻发布稿和突发环境事件处置情况公告，经指挥长签署意见后，及时、准确报道突发环境事件信息，正确引导社会舆论。</w:t>
      </w:r>
    </w:p>
    <w:p>
      <w:pPr>
        <w:pStyle w:val="3"/>
      </w:pPr>
      <w:bookmarkStart w:id="56" w:name="_Toc115418793"/>
      <w:r>
        <w:rPr>
          <w:rFonts w:hint="eastAsia"/>
        </w:rPr>
        <w:t>7</w:t>
      </w:r>
      <w:r>
        <w:t>.</w:t>
      </w:r>
      <w:r>
        <w:rPr>
          <w:rFonts w:hint="eastAsia"/>
        </w:rPr>
        <w:t>8 安全防护</w:t>
      </w:r>
      <w:bookmarkEnd w:id="56"/>
    </w:p>
    <w:p>
      <w:pPr>
        <w:pStyle w:val="4"/>
        <w:rPr>
          <w:rFonts w:hAnsi="宋体"/>
        </w:rPr>
      </w:pPr>
      <w:r>
        <w:rPr>
          <w:rFonts w:hint="eastAsia"/>
        </w:rPr>
        <w:t>7</w:t>
      </w:r>
      <w:r>
        <w:t>.</w:t>
      </w:r>
      <w:r>
        <w:rPr>
          <w:rFonts w:hint="eastAsia"/>
        </w:rPr>
        <w:t>8</w:t>
      </w:r>
      <w:r>
        <w:t xml:space="preserve">.1 </w:t>
      </w:r>
      <w:r>
        <w:rPr>
          <w:rFonts w:hint="eastAsia" w:hAnsi="宋体"/>
        </w:rPr>
        <w:t>建立警戒区</w:t>
      </w:r>
    </w:p>
    <w:p>
      <w:pPr>
        <w:ind w:firstLine="480"/>
        <w:rPr>
          <w:szCs w:val="20"/>
        </w:rPr>
      </w:pPr>
      <w:r>
        <w:rPr>
          <w:rFonts w:hint="eastAsia"/>
          <w:szCs w:val="20"/>
        </w:rPr>
        <w:t>污染处置组划定警戒区范围时，应当结合实际事故情形，依据环境污染事件物质的易燃易爆及有毒特性、可能的泄漏量、当时的风速、风向、周边地形。若发生火灾事故，同时还要考虑可能的火焰辐射热及生成烟的波及范围。</w:t>
      </w:r>
    </w:p>
    <w:p>
      <w:pPr>
        <w:ind w:firstLine="480"/>
        <w:rPr>
          <w:szCs w:val="20"/>
        </w:rPr>
      </w:pPr>
      <w:r>
        <w:rPr>
          <w:rFonts w:hint="eastAsia"/>
          <w:szCs w:val="20"/>
        </w:rPr>
        <w:t>警戒范围确定后，同时应注意做到以下几点：</w:t>
      </w:r>
    </w:p>
    <w:p>
      <w:pPr>
        <w:ind w:firstLine="480"/>
        <w:rPr>
          <w:szCs w:val="20"/>
        </w:rPr>
      </w:pPr>
      <w:r>
        <w:rPr>
          <w:rFonts w:hint="eastAsia"/>
          <w:szCs w:val="20"/>
        </w:rPr>
        <w:t>（</w:t>
      </w:r>
      <w:r>
        <w:rPr>
          <w:szCs w:val="20"/>
        </w:rPr>
        <w:t>1</w:t>
      </w:r>
      <w:r>
        <w:rPr>
          <w:rFonts w:hint="eastAsia"/>
          <w:szCs w:val="20"/>
        </w:rPr>
        <w:t>）应在通往事故现场的主要干道上实行交通管制；</w:t>
      </w:r>
    </w:p>
    <w:p>
      <w:pPr>
        <w:ind w:firstLine="480"/>
        <w:rPr>
          <w:szCs w:val="20"/>
        </w:rPr>
      </w:pPr>
      <w:r>
        <w:rPr>
          <w:rFonts w:hint="eastAsia"/>
          <w:szCs w:val="20"/>
        </w:rPr>
        <w:t>（</w:t>
      </w:r>
      <w:r>
        <w:rPr>
          <w:szCs w:val="20"/>
        </w:rPr>
        <w:t>2</w:t>
      </w:r>
      <w:r>
        <w:rPr>
          <w:rFonts w:hint="eastAsia"/>
          <w:szCs w:val="20"/>
        </w:rPr>
        <w:t>）警戒区域的边界应设警示标志并有专人警戒；</w:t>
      </w:r>
    </w:p>
    <w:p>
      <w:pPr>
        <w:ind w:firstLine="480"/>
        <w:rPr>
          <w:szCs w:val="20"/>
        </w:rPr>
      </w:pPr>
      <w:r>
        <w:rPr>
          <w:rFonts w:hint="eastAsia"/>
          <w:szCs w:val="20"/>
        </w:rPr>
        <w:t>（</w:t>
      </w:r>
      <w:r>
        <w:rPr>
          <w:szCs w:val="20"/>
        </w:rPr>
        <w:t>3</w:t>
      </w:r>
      <w:r>
        <w:rPr>
          <w:rFonts w:hint="eastAsia"/>
          <w:szCs w:val="20"/>
        </w:rPr>
        <w:t>）迅速将警戒区内与事故应急处理无关的人员撤离，减少不必要的人员伤亡；</w:t>
      </w:r>
    </w:p>
    <w:p>
      <w:pPr>
        <w:ind w:firstLine="480"/>
        <w:rPr>
          <w:szCs w:val="20"/>
        </w:rPr>
      </w:pPr>
      <w:r>
        <w:rPr>
          <w:rFonts w:hint="eastAsia"/>
          <w:szCs w:val="20"/>
        </w:rPr>
        <w:t>（</w:t>
      </w:r>
      <w:r>
        <w:rPr>
          <w:szCs w:val="20"/>
        </w:rPr>
        <w:t>4</w:t>
      </w:r>
      <w:r>
        <w:rPr>
          <w:rFonts w:hint="eastAsia"/>
          <w:szCs w:val="20"/>
        </w:rPr>
        <w:t>）除应急处理人员外，其他无关人员禁止进入警戒区；</w:t>
      </w:r>
    </w:p>
    <w:p>
      <w:pPr>
        <w:ind w:firstLine="480"/>
        <w:rPr>
          <w:szCs w:val="20"/>
        </w:rPr>
      </w:pPr>
      <w:r>
        <w:rPr>
          <w:rFonts w:hint="eastAsia"/>
          <w:szCs w:val="20"/>
        </w:rPr>
        <w:t>（</w:t>
      </w:r>
      <w:r>
        <w:rPr>
          <w:szCs w:val="20"/>
        </w:rPr>
        <w:t>5</w:t>
      </w:r>
      <w:r>
        <w:rPr>
          <w:rFonts w:hint="eastAsia"/>
          <w:szCs w:val="20"/>
        </w:rPr>
        <w:t>）警戒区域内应严禁火种，包括手机、打火机、火柴等。</w:t>
      </w:r>
    </w:p>
    <w:p>
      <w:pPr>
        <w:pStyle w:val="4"/>
        <w:rPr>
          <w:rFonts w:hAnsi="宋体"/>
        </w:rPr>
      </w:pPr>
      <w:r>
        <w:rPr>
          <w:rFonts w:hint="eastAsia"/>
        </w:rPr>
        <w:t>7</w:t>
      </w:r>
      <w:r>
        <w:t>.</w:t>
      </w:r>
      <w:r>
        <w:rPr>
          <w:rFonts w:hint="eastAsia"/>
        </w:rPr>
        <w:t>8</w:t>
      </w:r>
      <w:r>
        <w:t>.</w:t>
      </w:r>
      <w:r>
        <w:rPr>
          <w:rFonts w:hint="eastAsia"/>
        </w:rPr>
        <w:t xml:space="preserve">2 </w:t>
      </w:r>
      <w:r>
        <w:rPr>
          <w:rFonts w:hint="eastAsia" w:hAnsi="宋体"/>
        </w:rPr>
        <w:t>应急人员的</w:t>
      </w:r>
      <w:r>
        <w:rPr>
          <w:rFonts w:hAnsi="宋体"/>
        </w:rPr>
        <w:t>安全防护</w:t>
      </w:r>
    </w:p>
    <w:p>
      <w:pPr>
        <w:ind w:firstLine="480"/>
        <w:rPr>
          <w:szCs w:val="20"/>
        </w:rPr>
      </w:pPr>
      <w:r>
        <w:rPr>
          <w:rFonts w:hint="eastAsia"/>
          <w:szCs w:val="20"/>
        </w:rPr>
        <w:t>进入突发环境事件现场的应急监测人员，必须注意自身的安全防护，对事故现场不熟悉、不能确认现场安全或不按规定佩戴必须的防护设备（如防护服、防毒呼吸器等），未经现场指挥</w:t>
      </w:r>
      <w:r>
        <w:rPr>
          <w:szCs w:val="20"/>
        </w:rPr>
        <w:t>/</w:t>
      </w:r>
      <w:r>
        <w:rPr>
          <w:rFonts w:hint="eastAsia"/>
          <w:szCs w:val="20"/>
        </w:rPr>
        <w:t>警戒人员许可，不应进入事故现场进行采样检测。</w:t>
      </w:r>
    </w:p>
    <w:p>
      <w:pPr>
        <w:ind w:firstLine="480"/>
        <w:rPr>
          <w:szCs w:val="20"/>
        </w:rPr>
      </w:pPr>
      <w:r>
        <w:rPr>
          <w:rFonts w:hint="eastAsia"/>
          <w:szCs w:val="20"/>
        </w:rPr>
        <w:t>采样和现场监测人员安全防护设备的准备，常用的有：</w:t>
      </w:r>
    </w:p>
    <w:p>
      <w:pPr>
        <w:ind w:firstLine="480"/>
        <w:rPr>
          <w:szCs w:val="20"/>
        </w:rPr>
      </w:pPr>
      <w:r>
        <w:rPr>
          <w:rFonts w:hint="eastAsia"/>
          <w:szCs w:val="20"/>
        </w:rPr>
        <w:t>①测爆仪、一氧化碳、硫化氢、氯化氢、氯气、氨等现场测定仪等；</w:t>
      </w:r>
    </w:p>
    <w:p>
      <w:pPr>
        <w:ind w:firstLine="480"/>
        <w:rPr>
          <w:szCs w:val="20"/>
        </w:rPr>
      </w:pPr>
      <w:r>
        <w:rPr>
          <w:rFonts w:hint="eastAsia"/>
          <w:szCs w:val="20"/>
        </w:rPr>
        <w:t>②防护服、防护手套、胶靴等防酸碱、防有机物渗透的各类防护用品；</w:t>
      </w:r>
    </w:p>
    <w:p>
      <w:pPr>
        <w:ind w:firstLine="480"/>
        <w:rPr>
          <w:szCs w:val="20"/>
        </w:rPr>
      </w:pPr>
      <w:r>
        <w:rPr>
          <w:rFonts w:hint="eastAsia"/>
          <w:szCs w:val="20"/>
        </w:rPr>
        <w:t>③各类防毒面具、防毒呼吸器（带氧气呼吸器）及常用的解毒药品；</w:t>
      </w:r>
    </w:p>
    <w:p>
      <w:pPr>
        <w:ind w:firstLine="480"/>
        <w:rPr>
          <w:szCs w:val="20"/>
        </w:rPr>
      </w:pPr>
      <w:r>
        <w:rPr>
          <w:rFonts w:hint="eastAsia"/>
          <w:szCs w:val="20"/>
        </w:rPr>
        <w:t>④防爆应急灯、醒目安全帽、带明显标志的小背心（色彩鲜艳且有荧光反射物）、救生衣、防护安全带（绳）、呼吸器等。</w:t>
      </w:r>
    </w:p>
    <w:p>
      <w:pPr>
        <w:pStyle w:val="4"/>
        <w:rPr>
          <w:rFonts w:hAnsi="宋体"/>
        </w:rPr>
      </w:pPr>
      <w:r>
        <w:rPr>
          <w:rFonts w:hint="eastAsia"/>
        </w:rPr>
        <w:t>7</w:t>
      </w:r>
      <w:r>
        <w:t>.</w:t>
      </w:r>
      <w:r>
        <w:rPr>
          <w:rFonts w:hint="eastAsia"/>
        </w:rPr>
        <w:t>8</w:t>
      </w:r>
      <w:r>
        <w:t>.</w:t>
      </w:r>
      <w:r>
        <w:rPr>
          <w:rFonts w:hint="eastAsia"/>
        </w:rPr>
        <w:t xml:space="preserve">3 </w:t>
      </w:r>
      <w:r>
        <w:rPr>
          <w:rFonts w:hint="eastAsia" w:hAnsi="宋体"/>
        </w:rPr>
        <w:t>受灾群众</w:t>
      </w:r>
      <w:r>
        <w:rPr>
          <w:rFonts w:hAnsi="宋体"/>
        </w:rPr>
        <w:t>的安全防护</w:t>
      </w:r>
    </w:p>
    <w:p>
      <w:pPr>
        <w:ind w:firstLine="480"/>
        <w:rPr>
          <w:szCs w:val="20"/>
        </w:rPr>
      </w:pPr>
      <w:r>
        <w:rPr>
          <w:rFonts w:hint="eastAsia"/>
          <w:szCs w:val="20"/>
        </w:rPr>
        <w:t>转移安置组负责组织群众安全防护工作，主要工作内容如下：</w:t>
      </w:r>
    </w:p>
    <w:p>
      <w:pPr>
        <w:ind w:firstLine="480"/>
        <w:rPr>
          <w:szCs w:val="20"/>
        </w:rPr>
      </w:pPr>
      <w:r>
        <w:rPr>
          <w:rFonts w:hint="eastAsia"/>
          <w:szCs w:val="20"/>
        </w:rPr>
        <w:t>（</w:t>
      </w:r>
      <w:r>
        <w:rPr>
          <w:szCs w:val="20"/>
        </w:rPr>
        <w:t>1</w:t>
      </w:r>
      <w:r>
        <w:rPr>
          <w:rFonts w:hint="eastAsia"/>
          <w:szCs w:val="20"/>
        </w:rPr>
        <w:t>）根据突发环境事件的性质、特点，告知群众应采取的安全防护措施，条件允许和必要时，应尽可能提供防护物品。</w:t>
      </w:r>
    </w:p>
    <w:p>
      <w:pPr>
        <w:ind w:firstLine="480"/>
        <w:rPr>
          <w:szCs w:val="20"/>
        </w:rPr>
      </w:pPr>
      <w:r>
        <w:rPr>
          <w:rFonts w:hint="eastAsia"/>
          <w:szCs w:val="20"/>
        </w:rPr>
        <w:t>（</w:t>
      </w:r>
      <w:r>
        <w:rPr>
          <w:szCs w:val="20"/>
        </w:rPr>
        <w:t>2</w:t>
      </w:r>
      <w:r>
        <w:rPr>
          <w:rFonts w:hint="eastAsia"/>
          <w:szCs w:val="20"/>
        </w:rPr>
        <w:t>）根据事发时当地的气象、地理环境、人员密集度等情况，确定群众疏散方式和方向，指定有关部门组织群众安全疏散、撤离。撤离的路线上可设立指示牌，指明方向。人员不要在低洼处滞留；要查清是否有人留在污染区。指定一处作为疏散后人员的集中点，并确定清点人数。</w:t>
      </w:r>
    </w:p>
    <w:p>
      <w:pPr>
        <w:ind w:firstLine="480"/>
        <w:rPr>
          <w:szCs w:val="20"/>
        </w:rPr>
      </w:pPr>
      <w:r>
        <w:rPr>
          <w:rFonts w:hint="eastAsia"/>
          <w:szCs w:val="20"/>
        </w:rPr>
        <w:t>（</w:t>
      </w:r>
      <w:r>
        <w:rPr>
          <w:szCs w:val="20"/>
        </w:rPr>
        <w:t>3</w:t>
      </w:r>
      <w:r>
        <w:rPr>
          <w:rFonts w:hint="eastAsia"/>
          <w:szCs w:val="20"/>
        </w:rPr>
        <w:t>）在事发地安全边界之外，设立紧急避难场所。依据事故地点的场所，设施及周围情况、危险目标的性质和危险程度，以及当时的风向等情况由现场指挥部确定疏散、撤离路线。</w:t>
      </w:r>
    </w:p>
    <w:p>
      <w:pPr>
        <w:pStyle w:val="4"/>
      </w:pPr>
      <w:r>
        <w:rPr>
          <w:rFonts w:hint="eastAsia"/>
        </w:rPr>
        <w:t>7</w:t>
      </w:r>
      <w:r>
        <w:t>.</w:t>
      </w:r>
      <w:r>
        <w:rPr>
          <w:rFonts w:hint="eastAsia"/>
        </w:rPr>
        <w:t>8</w:t>
      </w:r>
      <w:r>
        <w:t>.</w:t>
      </w:r>
      <w:r>
        <w:rPr>
          <w:rFonts w:hint="eastAsia"/>
        </w:rPr>
        <w:t xml:space="preserve">4 </w:t>
      </w:r>
      <w:r>
        <w:rPr>
          <w:rFonts w:hAnsi="宋体"/>
        </w:rPr>
        <w:t>物资的疏散</w:t>
      </w:r>
    </w:p>
    <w:p>
      <w:pPr>
        <w:ind w:firstLine="480"/>
        <w:rPr>
          <w:szCs w:val="20"/>
        </w:rPr>
      </w:pPr>
      <w:r>
        <w:rPr>
          <w:rFonts w:hint="eastAsia"/>
          <w:szCs w:val="20"/>
        </w:rPr>
        <w:t>（1）物资疏散要掌握</w:t>
      </w:r>
      <w:r>
        <w:rPr>
          <w:szCs w:val="20"/>
        </w:rPr>
        <w:t>“</w:t>
      </w:r>
      <w:r>
        <w:rPr>
          <w:rFonts w:hint="eastAsia"/>
          <w:szCs w:val="20"/>
        </w:rPr>
        <w:t>先重点，后一般</w:t>
      </w:r>
      <w:r>
        <w:rPr>
          <w:szCs w:val="20"/>
        </w:rPr>
        <w:t>”</w:t>
      </w:r>
      <w:r>
        <w:rPr>
          <w:rFonts w:hint="eastAsia"/>
          <w:szCs w:val="20"/>
        </w:rPr>
        <w:t>的原则，先疏散那些可能扩大火势有爆炸危险的物资。</w:t>
      </w:r>
    </w:p>
    <w:p>
      <w:pPr>
        <w:ind w:firstLine="480"/>
        <w:rPr>
          <w:szCs w:val="20"/>
        </w:rPr>
      </w:pPr>
      <w:r>
        <w:rPr>
          <w:rFonts w:hint="eastAsia"/>
          <w:szCs w:val="20"/>
        </w:rPr>
        <w:t>（2）疏散性质重要、价值昂贵的物资，如档案资料、高级仪器、设备等。</w:t>
      </w:r>
    </w:p>
    <w:p>
      <w:pPr>
        <w:ind w:firstLine="480"/>
        <w:rPr>
          <w:szCs w:val="20"/>
        </w:rPr>
      </w:pPr>
      <w:r>
        <w:rPr>
          <w:rFonts w:hint="eastAsia"/>
          <w:szCs w:val="20"/>
        </w:rPr>
        <w:t>（3）疏散出的物资应堆放在上风向的安全地带，不得堵塞通道，并派人看护。</w:t>
      </w:r>
    </w:p>
    <w:p>
      <w:pPr>
        <w:pStyle w:val="3"/>
      </w:pPr>
      <w:bookmarkStart w:id="57" w:name="_Toc115418794"/>
      <w:r>
        <w:rPr>
          <w:rFonts w:hint="eastAsia"/>
        </w:rPr>
        <w:t>7</w:t>
      </w:r>
      <w:r>
        <w:t>.</w:t>
      </w:r>
      <w:r>
        <w:rPr>
          <w:rFonts w:hint="eastAsia"/>
        </w:rPr>
        <w:t>9 响应终止</w:t>
      </w:r>
      <w:bookmarkEnd w:id="57"/>
    </w:p>
    <w:p>
      <w:pPr>
        <w:ind w:firstLine="480"/>
      </w:pPr>
      <w:r>
        <w:rPr>
          <w:rFonts w:hint="eastAsia"/>
        </w:rPr>
        <w:t>当事件处置基本完毕、污染物质降至规定限值以内、所造成的危害基本消除时，由启动响应的应急指挥机构终止应急响应。</w:t>
      </w:r>
    </w:p>
    <w:p>
      <w:pPr>
        <w:ind w:firstLine="480"/>
        <w:sectPr>
          <w:footerReference r:id="rId14" w:type="first"/>
          <w:pgSz w:w="11906" w:h="16838"/>
          <w:pgMar w:top="1440" w:right="1800" w:bottom="1440" w:left="1800" w:header="720" w:footer="720" w:gutter="0"/>
          <w:pgNumType w:start="26"/>
          <w:cols w:space="720" w:num="1"/>
          <w:titlePg/>
          <w:docGrid w:type="lines" w:linePitch="326" w:charSpace="0"/>
        </w:sectPr>
      </w:pPr>
    </w:p>
    <w:p>
      <w:pPr>
        <w:pStyle w:val="2"/>
      </w:pPr>
      <w:bookmarkStart w:id="58" w:name="_Toc54945215"/>
      <w:bookmarkStart w:id="59" w:name="_Toc115418795"/>
      <w:r>
        <w:rPr>
          <w:rFonts w:hint="eastAsia"/>
        </w:rPr>
        <w:t>8</w:t>
      </w:r>
      <w:r>
        <w:t>后期</w:t>
      </w:r>
      <w:bookmarkEnd w:id="58"/>
      <w:r>
        <w:rPr>
          <w:rFonts w:hint="eastAsia"/>
        </w:rPr>
        <w:t>工作</w:t>
      </w:r>
      <w:bookmarkEnd w:id="59"/>
    </w:p>
    <w:p>
      <w:pPr>
        <w:pStyle w:val="3"/>
      </w:pPr>
      <w:bookmarkStart w:id="60" w:name="_Toc54945216"/>
      <w:bookmarkStart w:id="61" w:name="_Toc115418796"/>
      <w:r>
        <w:rPr>
          <w:rFonts w:hint="eastAsia"/>
        </w:rPr>
        <w:t>8</w:t>
      </w:r>
      <w:r>
        <w:t xml:space="preserve">.1 </w:t>
      </w:r>
      <w:bookmarkEnd w:id="60"/>
      <w:r>
        <w:rPr>
          <w:rFonts w:hint="eastAsia"/>
        </w:rPr>
        <w:t>损害</w:t>
      </w:r>
      <w:r>
        <w:t>评估</w:t>
      </w:r>
      <w:bookmarkEnd w:id="61"/>
    </w:p>
    <w:p>
      <w:pPr>
        <w:ind w:firstLine="480"/>
      </w:pPr>
      <w:r>
        <w:rPr>
          <w:rFonts w:hint="eastAsia"/>
        </w:rPr>
        <w:t>应急响应终止后，指挥部根据相关规定及时组织开展污染损害评估，并将评估结果向社会公布。评估结论作为事件调查处理、损害赔偿、环境修复和生态恢复的依据。突发环境事件损害评估工作按照生态环境部相关规定执行</w:t>
      </w:r>
      <w:r>
        <w:t>。</w:t>
      </w:r>
    </w:p>
    <w:p>
      <w:pPr>
        <w:pStyle w:val="3"/>
      </w:pPr>
      <w:bookmarkStart w:id="62" w:name="_Toc54945217"/>
      <w:bookmarkStart w:id="63" w:name="_Toc115418797"/>
      <w:r>
        <w:rPr>
          <w:rFonts w:hint="eastAsia"/>
        </w:rPr>
        <w:t>8</w:t>
      </w:r>
      <w:r>
        <w:t xml:space="preserve">.2 </w:t>
      </w:r>
      <w:bookmarkEnd w:id="62"/>
      <w:r>
        <w:rPr>
          <w:rFonts w:hint="eastAsia"/>
        </w:rPr>
        <w:t>事件调查</w:t>
      </w:r>
      <w:bookmarkEnd w:id="63"/>
    </w:p>
    <w:p>
      <w:pPr>
        <w:ind w:firstLine="480"/>
      </w:pPr>
      <w:r>
        <w:rPr>
          <w:rFonts w:hint="eastAsia"/>
        </w:rPr>
        <w:t>突发环境事件发生后，按照有关规定，由生态环境分局牵头，根据实际情况会同监察机关及相关部门，组织开展事件调查，查明事件原因和性质，提出整改防范措施和处理意见。</w:t>
      </w:r>
    </w:p>
    <w:p>
      <w:pPr>
        <w:pStyle w:val="3"/>
      </w:pPr>
      <w:bookmarkStart w:id="64" w:name="_Toc54945218"/>
      <w:bookmarkStart w:id="65" w:name="_Toc115418798"/>
      <w:r>
        <w:rPr>
          <w:rFonts w:hint="eastAsia"/>
        </w:rPr>
        <w:t>8</w:t>
      </w:r>
      <w:r>
        <w:t xml:space="preserve">.3 </w:t>
      </w:r>
      <w:bookmarkEnd w:id="64"/>
      <w:r>
        <w:rPr>
          <w:rFonts w:hint="eastAsia"/>
        </w:rPr>
        <w:t>善后</w:t>
      </w:r>
      <w:r>
        <w:t>处置</w:t>
      </w:r>
      <w:bookmarkEnd w:id="65"/>
    </w:p>
    <w:p>
      <w:pPr>
        <w:ind w:firstLine="480"/>
      </w:pPr>
      <w:r>
        <w:rPr>
          <w:rFonts w:hint="eastAsia"/>
        </w:rPr>
        <w:t>指挥部要及时组织制订补助、补偿、抚慰、抚恤、安置和环境恢复等善后工作方案并组织实施。保险机构要及时对环境污染责任保险参险企业开展理赔工作。</w:t>
      </w:r>
    </w:p>
    <w:p>
      <w:pPr>
        <w:pStyle w:val="3"/>
      </w:pPr>
      <w:bookmarkStart w:id="66" w:name="_Toc115418799"/>
      <w:r>
        <w:rPr>
          <w:rFonts w:hint="eastAsia"/>
        </w:rPr>
        <w:t>8</w:t>
      </w:r>
      <w:r>
        <w:t>.</w:t>
      </w:r>
      <w:r>
        <w:rPr>
          <w:rFonts w:hint="eastAsia"/>
        </w:rPr>
        <w:t>4 总结报告</w:t>
      </w:r>
      <w:bookmarkEnd w:id="66"/>
    </w:p>
    <w:p>
      <w:pPr>
        <w:ind w:firstLine="0" w:firstLineChars="0"/>
      </w:pPr>
      <w:r>
        <w:t>（1</w:t>
      </w:r>
      <w:r>
        <w:rPr>
          <w:rFonts w:hint="eastAsia"/>
        </w:rPr>
        <w:t>）区环境应急办公室</w:t>
      </w:r>
      <w:r>
        <w:t>按照</w:t>
      </w:r>
      <w:r>
        <w:rPr>
          <w:rFonts w:hint="eastAsia"/>
        </w:rPr>
        <w:t>区</w:t>
      </w:r>
      <w:r>
        <w:t>政府和</w:t>
      </w:r>
      <w:r>
        <w:rPr>
          <w:rFonts w:hint="eastAsia"/>
        </w:rPr>
        <w:t>市生态环境局</w:t>
      </w:r>
      <w:r>
        <w:t>的要求，指导突发环境事件单位查找事件原因，防止类似问题的重复出现，对造成的经济损失进行评估；</w:t>
      </w:r>
    </w:p>
    <w:p>
      <w:pPr>
        <w:ind w:firstLine="0" w:firstLineChars="0"/>
      </w:pPr>
      <w:r>
        <w:t>（2）</w:t>
      </w:r>
      <w:r>
        <w:rPr>
          <w:rFonts w:hint="eastAsia"/>
        </w:rPr>
        <w:t>区环境应急办公室</w:t>
      </w:r>
      <w:r>
        <w:t>按照</w:t>
      </w:r>
      <w:r>
        <w:rPr>
          <w:rFonts w:hint="eastAsia"/>
        </w:rPr>
        <w:t>区</w:t>
      </w:r>
      <w:r>
        <w:t>政府和</w:t>
      </w:r>
      <w:r>
        <w:rPr>
          <w:rFonts w:hint="eastAsia"/>
        </w:rPr>
        <w:t>市生态环境局</w:t>
      </w:r>
      <w:r>
        <w:t>的要求，编制突发</w:t>
      </w:r>
      <w:r>
        <w:rPr>
          <w:rFonts w:hint="eastAsia"/>
        </w:rPr>
        <w:t>环境</w:t>
      </w:r>
      <w:r>
        <w:t>事件工作总结报告，</w:t>
      </w:r>
      <w:r>
        <w:rPr>
          <w:rFonts w:hint="eastAsia"/>
        </w:rPr>
        <w:t>其中较大</w:t>
      </w:r>
      <w:r>
        <w:t>以上突发环境事件应对工作总结报告应上报市人民政府和市生态环境局；</w:t>
      </w:r>
    </w:p>
    <w:p>
      <w:pPr>
        <w:ind w:firstLine="0" w:firstLineChars="0"/>
      </w:pPr>
      <w:r>
        <w:t>（3）</w:t>
      </w:r>
      <w:r>
        <w:rPr>
          <w:rFonts w:hint="eastAsia"/>
        </w:rPr>
        <w:t>区环境应急办公室</w:t>
      </w:r>
      <w:r>
        <w:t>按照</w:t>
      </w:r>
      <w:r>
        <w:rPr>
          <w:rFonts w:hint="eastAsia"/>
        </w:rPr>
        <w:t>区</w:t>
      </w:r>
      <w:r>
        <w:t>政府和</w:t>
      </w:r>
      <w:r>
        <w:rPr>
          <w:rFonts w:hint="eastAsia"/>
        </w:rPr>
        <w:t>市生态环境局</w:t>
      </w:r>
      <w:r>
        <w:t>的要求，组织有关专家开展</w:t>
      </w:r>
      <w:r>
        <w:rPr>
          <w:rFonts w:hint="eastAsia"/>
        </w:rPr>
        <w:t>一般</w:t>
      </w:r>
      <w:r>
        <w:t>突发环境事件应急过程评估工作。</w:t>
      </w:r>
    </w:p>
    <w:p>
      <w:pPr>
        <w:ind w:firstLine="0" w:firstLineChars="0"/>
      </w:pPr>
    </w:p>
    <w:p>
      <w:pPr>
        <w:ind w:firstLine="0" w:firstLineChars="0"/>
      </w:pPr>
    </w:p>
    <w:p>
      <w:pPr>
        <w:ind w:firstLine="0" w:firstLineChars="0"/>
      </w:pPr>
    </w:p>
    <w:p>
      <w:pPr>
        <w:ind w:firstLine="0" w:firstLineChars="0"/>
      </w:pPr>
    </w:p>
    <w:p>
      <w:pPr>
        <w:pStyle w:val="2"/>
      </w:pPr>
      <w:bookmarkStart w:id="67" w:name="_Toc54945219"/>
      <w:bookmarkStart w:id="68" w:name="_Toc115418800"/>
      <w:r>
        <w:rPr>
          <w:rFonts w:hint="eastAsia"/>
        </w:rPr>
        <w:t>9</w:t>
      </w:r>
      <w:r>
        <w:t>应急保障</w:t>
      </w:r>
      <w:bookmarkEnd w:id="67"/>
      <w:bookmarkEnd w:id="68"/>
    </w:p>
    <w:p>
      <w:pPr>
        <w:pStyle w:val="3"/>
      </w:pPr>
      <w:bookmarkStart w:id="69" w:name="_Toc115418801"/>
      <w:bookmarkStart w:id="70" w:name="_Toc54945220"/>
      <w:r>
        <w:rPr>
          <w:rFonts w:hint="eastAsia"/>
        </w:rPr>
        <w:t>9</w:t>
      </w:r>
      <w:r>
        <w:t xml:space="preserve">.1 </w:t>
      </w:r>
      <w:r>
        <w:rPr>
          <w:rFonts w:hint="eastAsia"/>
        </w:rPr>
        <w:t>预案保障</w:t>
      </w:r>
      <w:bookmarkEnd w:id="69"/>
    </w:p>
    <w:p>
      <w:pPr>
        <w:ind w:firstLine="480"/>
      </w:pPr>
      <w:r>
        <w:rPr>
          <w:rFonts w:hint="eastAsia"/>
        </w:rPr>
        <w:t>根据国家相关法律法规及淮南市突发事件总体应急预案，相关方面应急救援队伍等力量要积极参加突发环境事件应急监测、应急处置与救援、调查处理等工作任务。进一步加强各级应急队伍的培训、演练和管理，提高应急救援人员的素质和能力，规范应急救援队伍调动程序。加强环境应急专家队伍管理，充分发挥区环境应急专家组作用，为重、特大突发环境事件应急处置方案制订，污染损害评估和调查处理工作提供决策建议。</w:t>
      </w:r>
    </w:p>
    <w:p>
      <w:pPr>
        <w:pStyle w:val="3"/>
      </w:pPr>
      <w:bookmarkStart w:id="71" w:name="_Toc115418802"/>
      <w:r>
        <w:rPr>
          <w:rFonts w:hint="eastAsia"/>
        </w:rPr>
        <w:t>9.2</w:t>
      </w:r>
      <w:bookmarkEnd w:id="70"/>
      <w:r>
        <w:rPr>
          <w:rFonts w:hint="eastAsia"/>
        </w:rPr>
        <w:t xml:space="preserve"> 值守</w:t>
      </w:r>
      <w:r>
        <w:t>保障</w:t>
      </w:r>
      <w:bookmarkEnd w:id="71"/>
    </w:p>
    <w:p>
      <w:pPr>
        <w:ind w:firstLine="480"/>
      </w:pPr>
      <w:r>
        <w:rPr>
          <w:rFonts w:hint="eastAsia"/>
        </w:rPr>
        <w:t>完善日常值班与应急值守相结合的接报、出警机制，并严格组织实施；充分做好值守状态时的人员、设备、车辆、通讯及物资准备工作。提升应急科技应用水平，确保突发环境事件现场指挥顺畅，做到常态管理与非常态管理全面、有效衔接。</w:t>
      </w:r>
    </w:p>
    <w:p>
      <w:pPr>
        <w:pStyle w:val="3"/>
      </w:pPr>
      <w:bookmarkStart w:id="72" w:name="_Toc54945221"/>
      <w:bookmarkStart w:id="73" w:name="_Toc115418803"/>
      <w:r>
        <w:rPr>
          <w:rFonts w:hint="eastAsia"/>
        </w:rPr>
        <w:t>9</w:t>
      </w:r>
      <w:r>
        <w:t>.</w:t>
      </w:r>
      <w:r>
        <w:rPr>
          <w:rFonts w:hint="eastAsia"/>
        </w:rPr>
        <w:t>3</w:t>
      </w:r>
      <w:bookmarkEnd w:id="72"/>
      <w:r>
        <w:rPr>
          <w:rFonts w:hint="eastAsia"/>
        </w:rPr>
        <w:t xml:space="preserve"> 预警保障</w:t>
      </w:r>
      <w:bookmarkEnd w:id="73"/>
    </w:p>
    <w:p>
      <w:pPr>
        <w:ind w:firstLine="480"/>
      </w:pPr>
      <w:r>
        <w:rPr>
          <w:rFonts w:hint="eastAsia"/>
        </w:rPr>
        <w:t>区生态环境分局负责建立环境应急资料库，建立统一的区环境应急管理指挥平台，强化互联互通、资源共享的预警保障体系。</w:t>
      </w:r>
    </w:p>
    <w:p>
      <w:pPr>
        <w:pStyle w:val="3"/>
      </w:pPr>
      <w:bookmarkStart w:id="74" w:name="_Toc54945222"/>
      <w:bookmarkStart w:id="75" w:name="_Toc115418804"/>
      <w:r>
        <w:rPr>
          <w:rFonts w:hint="eastAsia"/>
        </w:rPr>
        <w:t>9.4</w:t>
      </w:r>
      <w:bookmarkEnd w:id="74"/>
      <w:r>
        <w:rPr>
          <w:rFonts w:hint="eastAsia"/>
        </w:rPr>
        <w:t xml:space="preserve"> 机制保障</w:t>
      </w:r>
      <w:bookmarkEnd w:id="75"/>
    </w:p>
    <w:p>
      <w:pPr>
        <w:ind w:firstLine="480"/>
      </w:pPr>
      <w:r>
        <w:rPr>
          <w:rFonts w:hint="eastAsia"/>
        </w:rPr>
        <w:t>根据区域或流域环境风险防范需要，加强与相近、相邻地区生态环境局的互动，健全风险防范和应急联动机制；加强生态环境主管部门与其他部门的联动机制建设，协同高效处置各类突发环境事件。</w:t>
      </w:r>
    </w:p>
    <w:p>
      <w:pPr>
        <w:pStyle w:val="3"/>
      </w:pPr>
      <w:bookmarkStart w:id="76" w:name="_Toc115418805"/>
      <w:r>
        <w:rPr>
          <w:rFonts w:hint="eastAsia"/>
        </w:rPr>
        <w:t>9.5 队伍保障</w:t>
      </w:r>
      <w:bookmarkEnd w:id="76"/>
    </w:p>
    <w:p>
      <w:pPr>
        <w:ind w:firstLine="480"/>
      </w:pPr>
      <w:r>
        <w:rPr>
          <w:rFonts w:hint="eastAsia"/>
        </w:rPr>
        <w:t>八公山区目前已经成立了专业的环境应急专家组（详见附件2）。环境应急处置队伍主要依托区内大型企业应急救援队伍（</w:t>
      </w:r>
      <w:r>
        <w:t>淮南舜泰化工有限责任公司、淮南舜岳水泥有限责任公司、淮南矿业集团发电有限责任公司新庄孜电厂、淮南首创水务八公山污水处理厂</w:t>
      </w:r>
      <w:r>
        <w:rPr>
          <w:rFonts w:hint="eastAsia"/>
        </w:rPr>
        <w:t>），环境应急监测队伍主要依托淮南市环境监测站。</w:t>
      </w:r>
    </w:p>
    <w:p>
      <w:pPr>
        <w:ind w:firstLine="480"/>
      </w:pPr>
      <w:r>
        <w:rPr>
          <w:rFonts w:hint="eastAsia"/>
        </w:rPr>
        <w:t>区生态环境分局负责督促企业加强应急队伍的培训、演练和管理，提高应急救援人员的素质和能力，规范应急救援队伍调动程序。加强环境应急专家队伍管理，充分发挥区环境应急专家组作用，为重、特大突发环境事件应急处置方案制订，污染损害评估和调查处理工作提供决策建议。</w:t>
      </w:r>
    </w:p>
    <w:p>
      <w:pPr>
        <w:pStyle w:val="3"/>
      </w:pPr>
      <w:bookmarkStart w:id="77" w:name="_Toc115418806"/>
      <w:r>
        <w:rPr>
          <w:rFonts w:hint="eastAsia"/>
        </w:rPr>
        <w:t>9.6 物资装备保障</w:t>
      </w:r>
      <w:bookmarkEnd w:id="77"/>
    </w:p>
    <w:p>
      <w:pPr>
        <w:ind w:firstLine="480"/>
        <w:rPr>
          <w:szCs w:val="20"/>
        </w:rPr>
      </w:pPr>
      <w:r>
        <w:rPr>
          <w:rFonts w:hint="eastAsia"/>
          <w:szCs w:val="20"/>
        </w:rPr>
        <w:t>相关部门要建立现场救援和抢险装备电子台账，电子台账应当载明现场救援和抢险装备类型、数量、性能、存放位置，建立相应的维护、保养和调用制度等。在积极发挥现有检验、鉴定、监测力量的基础上，加强重要污染物、危险化学品、危险废物检验、鉴定和监测装备建设，特别是要加强快速、现场检验监测设备的配置。要增加应急处置、快速机动和自身防护装备、物资的储备，确定人员负责对装备进行日常管理和维护保养，及时更新、补充，使之经常处于良好状态。要督促淮南市环境保护监测站不断提高应急监测和动态监控的能力，保证在发生环境事件时能有效防范对环境的污染和扩散。</w:t>
      </w:r>
    </w:p>
    <w:p>
      <w:pPr>
        <w:pStyle w:val="3"/>
      </w:pPr>
      <w:bookmarkStart w:id="78" w:name="_Toc115418807"/>
      <w:r>
        <w:rPr>
          <w:rFonts w:hint="eastAsia"/>
        </w:rPr>
        <w:t>9.7 技术保障</w:t>
      </w:r>
      <w:bookmarkEnd w:id="78"/>
    </w:p>
    <w:p>
      <w:pPr>
        <w:ind w:firstLine="480"/>
        <w:rPr>
          <w:szCs w:val="20"/>
        </w:rPr>
      </w:pPr>
      <w:r>
        <w:rPr>
          <w:rFonts w:hint="eastAsia"/>
          <w:szCs w:val="20"/>
        </w:rPr>
        <w:t>应急指挥部应不断改进技术装备，根据环境处置工作的需要，会同有关部门调集有关专家和技术队伍支持应急处置工作。在有需要情况下，应提请地方科技目标牵头组织有关部门、高校及科研院所进行突发环境事件预防、预警、预测和应急处置技术的研究开发。</w:t>
      </w:r>
    </w:p>
    <w:p>
      <w:pPr>
        <w:ind w:firstLine="480"/>
        <w:rPr>
          <w:szCs w:val="20"/>
        </w:rPr>
      </w:pPr>
      <w:r>
        <w:rPr>
          <w:rFonts w:hint="eastAsia"/>
          <w:szCs w:val="20"/>
        </w:rPr>
        <w:t>应急指挥部会同有关部门组织有关科研单位和专业技术人员，开展突发环境事件的预防、监测、预警和应急处置以及先进技术装备等方面的科技研究工作，为应对突发环境事件提供技术保障。</w:t>
      </w:r>
    </w:p>
    <w:p>
      <w:pPr>
        <w:ind w:firstLine="480"/>
        <w:rPr>
          <w:szCs w:val="20"/>
        </w:rPr>
      </w:pPr>
      <w:r>
        <w:rPr>
          <w:rFonts w:hint="eastAsia"/>
          <w:szCs w:val="20"/>
        </w:rPr>
        <w:t>建立突发环境事件应急专家信息库，提供人才保障。研究制定专家组联络制度，充分发挥专家的指导、建议等决策咨询作用。</w:t>
      </w:r>
    </w:p>
    <w:p>
      <w:pPr>
        <w:pStyle w:val="3"/>
      </w:pPr>
      <w:bookmarkStart w:id="79" w:name="_Toc115418808"/>
      <w:r>
        <w:rPr>
          <w:rFonts w:hint="eastAsia"/>
        </w:rPr>
        <w:t>9.8 资金保障</w:t>
      </w:r>
      <w:bookmarkEnd w:id="79"/>
    </w:p>
    <w:p>
      <w:pPr>
        <w:ind w:firstLine="480"/>
        <w:rPr>
          <w:szCs w:val="20"/>
        </w:rPr>
      </w:pPr>
      <w:r>
        <w:rPr>
          <w:rFonts w:hint="eastAsia"/>
          <w:szCs w:val="20"/>
        </w:rPr>
        <w:t>突发环境污染事件应急准备和救援工作所需资金由两部分构成，一是事故单位的资金保障，二是财政资金保障。</w:t>
      </w:r>
    </w:p>
    <w:p>
      <w:pPr>
        <w:ind w:firstLine="480"/>
        <w:rPr>
          <w:szCs w:val="20"/>
        </w:rPr>
      </w:pPr>
      <w:r>
        <w:rPr>
          <w:rFonts w:hint="eastAsia"/>
          <w:szCs w:val="20"/>
        </w:rPr>
        <w:t>事故单位的资金保障由事故单位按照其可能发生的环境污染事故等级、危害和预防情况，预存企业事故预防资金，并且该资金专款专用，不做他用。</w:t>
      </w:r>
    </w:p>
    <w:p>
      <w:pPr>
        <w:ind w:firstLine="480"/>
      </w:pPr>
      <w:r>
        <w:rPr>
          <w:rFonts w:hint="eastAsia"/>
        </w:rPr>
        <w:t>区财政部门负责按照分级负担原则为突发环境事件应急处置工作提供必要的资金保障和监理，</w:t>
      </w:r>
      <w:r>
        <w:rPr>
          <w:rFonts w:hint="eastAsia"/>
          <w:szCs w:val="20"/>
        </w:rPr>
        <w:t>保证专款专用，提高资金使用效益。</w:t>
      </w:r>
    </w:p>
    <w:p>
      <w:pPr>
        <w:pStyle w:val="3"/>
      </w:pPr>
      <w:bookmarkStart w:id="80" w:name="_Toc115418809"/>
      <w:r>
        <w:rPr>
          <w:rFonts w:hint="eastAsia"/>
        </w:rPr>
        <w:t>9.9 通信、交通与运输保障</w:t>
      </w:r>
      <w:bookmarkEnd w:id="80"/>
    </w:p>
    <w:p>
      <w:pPr>
        <w:ind w:firstLine="480"/>
        <w:rPr>
          <w:szCs w:val="20"/>
        </w:rPr>
      </w:pPr>
      <w:r>
        <w:rPr>
          <w:rFonts w:hint="eastAsia"/>
          <w:szCs w:val="20"/>
        </w:rPr>
        <w:t>建立和完善环境安全应急指挥系统、环境应急处置联动系统和环境安全科学预警系统，配备必要的通信器材，确保联络畅通。同时要求区域内各企事业单位、周边敏感目标单位进行专人负责，配置专项通信工具，保障环境污染事故应急通信</w:t>
      </w:r>
      <w:r>
        <w:rPr>
          <w:szCs w:val="20"/>
        </w:rPr>
        <w:t>24</w:t>
      </w:r>
      <w:r>
        <w:rPr>
          <w:rFonts w:hint="eastAsia"/>
          <w:szCs w:val="20"/>
        </w:rPr>
        <w:t>小时通畅，能随时联系，随时反应。在通信保障中，要建立完善的被报告人及联系人清单。</w:t>
      </w:r>
    </w:p>
    <w:p>
      <w:pPr>
        <w:ind w:firstLine="480"/>
        <w:rPr>
          <w:bCs/>
        </w:rPr>
        <w:sectPr>
          <w:footerReference r:id="rId15" w:type="first"/>
          <w:pgSz w:w="11906" w:h="16838"/>
          <w:pgMar w:top="1440" w:right="1800" w:bottom="1440" w:left="1800" w:header="720" w:footer="720" w:gutter="0"/>
          <w:pgNumType w:start="36"/>
          <w:cols w:space="720" w:num="1"/>
          <w:titlePg/>
          <w:docGrid w:type="lines" w:linePitch="326" w:charSpace="0"/>
        </w:sectPr>
      </w:pPr>
    </w:p>
    <w:p>
      <w:pPr>
        <w:pStyle w:val="2"/>
      </w:pPr>
      <w:bookmarkStart w:id="81" w:name="_Toc12371981"/>
      <w:bookmarkStart w:id="82" w:name="_Toc12372469"/>
      <w:bookmarkStart w:id="83" w:name="_Toc30083"/>
      <w:bookmarkStart w:id="84" w:name="_Toc12372318"/>
      <w:bookmarkStart w:id="85" w:name="_Toc115418810"/>
      <w:r>
        <w:rPr>
          <w:rFonts w:hint="eastAsia"/>
        </w:rPr>
        <w:t>10</w:t>
      </w:r>
      <w:bookmarkEnd w:id="81"/>
      <w:bookmarkEnd w:id="82"/>
      <w:bookmarkEnd w:id="83"/>
      <w:bookmarkEnd w:id="84"/>
      <w:r>
        <w:rPr>
          <w:rFonts w:hint="eastAsia"/>
        </w:rPr>
        <w:t>监督管理</w:t>
      </w:r>
      <w:bookmarkEnd w:id="85"/>
    </w:p>
    <w:p>
      <w:pPr>
        <w:pStyle w:val="3"/>
      </w:pPr>
      <w:bookmarkStart w:id="86" w:name="_Toc13373"/>
      <w:bookmarkStart w:id="87" w:name="_Toc12372470"/>
      <w:bookmarkStart w:id="88" w:name="_Toc12371982"/>
      <w:bookmarkStart w:id="89" w:name="_Toc12372319"/>
      <w:bookmarkStart w:id="90" w:name="_Toc115418811"/>
      <w:r>
        <w:rPr>
          <w:rFonts w:hint="eastAsia"/>
        </w:rPr>
        <w:t>10</w:t>
      </w:r>
      <w:r>
        <w:t xml:space="preserve">.1 </w:t>
      </w:r>
      <w:bookmarkEnd w:id="86"/>
      <w:bookmarkEnd w:id="87"/>
      <w:bookmarkEnd w:id="88"/>
      <w:bookmarkEnd w:id="89"/>
      <w:r>
        <w:t>宣传教育</w:t>
      </w:r>
      <w:bookmarkEnd w:id="90"/>
    </w:p>
    <w:p>
      <w:pPr>
        <w:ind w:firstLine="480"/>
        <w:rPr>
          <w:szCs w:val="20"/>
        </w:rPr>
      </w:pPr>
      <w:bookmarkStart w:id="91" w:name="_Toc12371983"/>
      <w:bookmarkStart w:id="92" w:name="_Toc12372320"/>
      <w:bookmarkStart w:id="93" w:name="_Toc12372471"/>
      <w:bookmarkStart w:id="94" w:name="_Toc8735"/>
      <w:r>
        <w:rPr>
          <w:rFonts w:hint="eastAsia"/>
          <w:szCs w:val="20"/>
        </w:rPr>
        <w:t>区生态环境分局及存在有环境风险源的企事业单位应加强环境保护科普宣传和教育工作，广泛宣传环境污染事件的预防与避险常识，增强公众的防范意识和相关心理准备，提高公众的防范能力。生态环境分局和区域内企业定期开展宣传教育活动，组织邀请相关专业人员对区域内企业职工及附近公众进行事故讲座、演示以及利用黑板报和墙报等进行宣传教育活动，要求每年至少组织一次以上的宣传教育活动。对拒不参加学习活动的企业职工及附近公众给予相应的经济处罚，对在学习活动中表现优秀的人员给予奖励和表彰。</w:t>
      </w:r>
    </w:p>
    <w:p>
      <w:pPr>
        <w:ind w:firstLine="480"/>
        <w:rPr>
          <w:szCs w:val="20"/>
        </w:rPr>
      </w:pPr>
      <w:r>
        <w:rPr>
          <w:rFonts w:hint="eastAsia"/>
          <w:szCs w:val="20"/>
        </w:rPr>
        <w:t>对公众的宣传教育培训内容主要包括以下方面：</w:t>
      </w:r>
    </w:p>
    <w:p>
      <w:pPr>
        <w:ind w:firstLine="480"/>
        <w:rPr>
          <w:szCs w:val="20"/>
        </w:rPr>
      </w:pPr>
      <w:r>
        <w:rPr>
          <w:rFonts w:hint="eastAsia"/>
          <w:szCs w:val="20"/>
        </w:rPr>
        <w:t>（</w:t>
      </w:r>
      <w:r>
        <w:rPr>
          <w:szCs w:val="20"/>
        </w:rPr>
        <w:t>1</w:t>
      </w:r>
      <w:r>
        <w:rPr>
          <w:rFonts w:hint="eastAsia"/>
          <w:szCs w:val="20"/>
        </w:rPr>
        <w:t>）企业生产中存在的危险化学品特征、健康危害、防护知识等；</w:t>
      </w:r>
    </w:p>
    <w:p>
      <w:pPr>
        <w:ind w:firstLine="480"/>
        <w:rPr>
          <w:szCs w:val="20"/>
        </w:rPr>
      </w:pPr>
      <w:r>
        <w:rPr>
          <w:rFonts w:hint="eastAsia"/>
          <w:szCs w:val="20"/>
        </w:rPr>
        <w:t>（</w:t>
      </w:r>
      <w:r>
        <w:rPr>
          <w:szCs w:val="20"/>
        </w:rPr>
        <w:t>2</w:t>
      </w:r>
      <w:r>
        <w:rPr>
          <w:rFonts w:hint="eastAsia"/>
          <w:szCs w:val="20"/>
        </w:rPr>
        <w:t>）公众可能发生的突发环境事件灾害，会导致哪些危害和污染；</w:t>
      </w:r>
    </w:p>
    <w:p>
      <w:pPr>
        <w:ind w:firstLine="480"/>
        <w:rPr>
          <w:szCs w:val="20"/>
        </w:rPr>
      </w:pPr>
      <w:r>
        <w:rPr>
          <w:rFonts w:hint="eastAsia"/>
          <w:szCs w:val="20"/>
        </w:rPr>
        <w:t>（</w:t>
      </w:r>
      <w:r>
        <w:rPr>
          <w:szCs w:val="20"/>
        </w:rPr>
        <w:t>3</w:t>
      </w:r>
      <w:r>
        <w:rPr>
          <w:rFonts w:hint="eastAsia"/>
          <w:szCs w:val="20"/>
        </w:rPr>
        <w:t>）事故警报与通知的规定；</w:t>
      </w:r>
    </w:p>
    <w:p>
      <w:pPr>
        <w:ind w:firstLine="480"/>
        <w:rPr>
          <w:szCs w:val="20"/>
        </w:rPr>
      </w:pPr>
      <w:r>
        <w:rPr>
          <w:rFonts w:hint="eastAsia"/>
          <w:szCs w:val="20"/>
        </w:rPr>
        <w:t>（</w:t>
      </w:r>
      <w:r>
        <w:rPr>
          <w:szCs w:val="20"/>
        </w:rPr>
        <w:t>4</w:t>
      </w:r>
      <w:r>
        <w:rPr>
          <w:rFonts w:hint="eastAsia"/>
          <w:szCs w:val="20"/>
        </w:rPr>
        <w:t>）基本个人防护知识；</w:t>
      </w:r>
    </w:p>
    <w:p>
      <w:pPr>
        <w:ind w:firstLine="480"/>
        <w:rPr>
          <w:szCs w:val="20"/>
        </w:rPr>
      </w:pPr>
      <w:r>
        <w:rPr>
          <w:rFonts w:hint="eastAsia"/>
          <w:szCs w:val="20"/>
        </w:rPr>
        <w:t>（</w:t>
      </w:r>
      <w:r>
        <w:rPr>
          <w:szCs w:val="20"/>
        </w:rPr>
        <w:t>5</w:t>
      </w:r>
      <w:r>
        <w:rPr>
          <w:rFonts w:hint="eastAsia"/>
          <w:szCs w:val="20"/>
        </w:rPr>
        <w:t>）撤离的组织、方法和程序；</w:t>
      </w:r>
    </w:p>
    <w:p>
      <w:pPr>
        <w:ind w:firstLine="480"/>
        <w:rPr>
          <w:szCs w:val="20"/>
        </w:rPr>
      </w:pPr>
      <w:r>
        <w:rPr>
          <w:rFonts w:hint="eastAsia"/>
          <w:szCs w:val="20"/>
        </w:rPr>
        <w:t>（</w:t>
      </w:r>
      <w:r>
        <w:rPr>
          <w:szCs w:val="20"/>
        </w:rPr>
        <w:t>6</w:t>
      </w:r>
      <w:r>
        <w:rPr>
          <w:rFonts w:hint="eastAsia"/>
          <w:szCs w:val="20"/>
        </w:rPr>
        <w:t>）在污染区行动时必须遵守的规则；</w:t>
      </w:r>
    </w:p>
    <w:p>
      <w:pPr>
        <w:ind w:firstLine="480"/>
        <w:rPr>
          <w:szCs w:val="20"/>
        </w:rPr>
      </w:pPr>
      <w:r>
        <w:rPr>
          <w:rFonts w:hint="eastAsia"/>
          <w:szCs w:val="20"/>
        </w:rPr>
        <w:t>（</w:t>
      </w:r>
      <w:r>
        <w:rPr>
          <w:szCs w:val="20"/>
        </w:rPr>
        <w:t>7</w:t>
      </w:r>
      <w:r>
        <w:rPr>
          <w:rFonts w:hint="eastAsia"/>
          <w:szCs w:val="20"/>
        </w:rPr>
        <w:t>）自救与互救的基本常识。</w:t>
      </w:r>
    </w:p>
    <w:p>
      <w:pPr>
        <w:pStyle w:val="3"/>
      </w:pPr>
      <w:bookmarkStart w:id="95" w:name="_Toc115418812"/>
      <w:r>
        <w:rPr>
          <w:rFonts w:hint="eastAsia"/>
        </w:rPr>
        <w:t>10</w:t>
      </w:r>
      <w:r>
        <w:t xml:space="preserve">.2 </w:t>
      </w:r>
      <w:bookmarkEnd w:id="91"/>
      <w:bookmarkEnd w:id="92"/>
      <w:bookmarkEnd w:id="93"/>
      <w:bookmarkEnd w:id="94"/>
      <w:r>
        <w:t>培训</w:t>
      </w:r>
      <w:bookmarkEnd w:id="95"/>
    </w:p>
    <w:p>
      <w:pPr>
        <w:ind w:firstLine="480"/>
        <w:rPr>
          <w:szCs w:val="20"/>
        </w:rPr>
      </w:pPr>
      <w:bookmarkStart w:id="96" w:name="_Toc19446"/>
      <w:bookmarkStart w:id="97" w:name="_Toc12372472"/>
      <w:bookmarkStart w:id="98" w:name="_Toc12372321"/>
      <w:bookmarkStart w:id="99" w:name="_Toc12371984"/>
      <w:r>
        <w:rPr>
          <w:rFonts w:hint="eastAsia"/>
          <w:szCs w:val="20"/>
        </w:rPr>
        <w:t>（</w:t>
      </w:r>
      <w:r>
        <w:rPr>
          <w:szCs w:val="20"/>
        </w:rPr>
        <w:t>1</w:t>
      </w:r>
      <w:r>
        <w:rPr>
          <w:rFonts w:hint="eastAsia"/>
          <w:szCs w:val="20"/>
        </w:rPr>
        <w:t>）淮南市八公山区生态环境分局负责制定培训计划，对应急救援队员进行每年一次培训，以提高培训人员的素质。</w:t>
      </w:r>
    </w:p>
    <w:p>
      <w:pPr>
        <w:ind w:firstLine="480"/>
        <w:rPr>
          <w:szCs w:val="20"/>
        </w:rPr>
      </w:pPr>
      <w:r>
        <w:rPr>
          <w:rFonts w:hint="eastAsia"/>
          <w:szCs w:val="20"/>
        </w:rPr>
        <w:t>（2）基本应急培训：可能发生事故的类型；事故的预防措施；发生事故时相关人员的职责；如何启动紧急报警系统；发生事故时公众的应急措施；防护器材的使用；自救与互救知识；指挥信号的识别；疏散的路线；如何在紧急情况下报警；如何疏散被困人员和周围人员等。</w:t>
      </w:r>
    </w:p>
    <w:p>
      <w:pPr>
        <w:ind w:firstLine="480"/>
        <w:rPr>
          <w:szCs w:val="20"/>
        </w:rPr>
      </w:pPr>
      <w:r>
        <w:rPr>
          <w:rFonts w:hint="eastAsia"/>
          <w:szCs w:val="20"/>
        </w:rPr>
        <w:t>（3）专业应急培训：包括灭火救援的培训，医疗救护培训，治安警戒培训等。</w:t>
      </w:r>
    </w:p>
    <w:p>
      <w:pPr>
        <w:ind w:firstLine="480"/>
        <w:rPr>
          <w:szCs w:val="20"/>
        </w:rPr>
      </w:pPr>
      <w:r>
        <w:rPr>
          <w:rFonts w:hint="eastAsia"/>
          <w:szCs w:val="20"/>
        </w:rPr>
        <w:t>（4）培训方法：聘请专家开展应急救援教育培训及学术交流，所有学员参加实地演习。</w:t>
      </w:r>
    </w:p>
    <w:p>
      <w:pPr>
        <w:pStyle w:val="3"/>
      </w:pPr>
      <w:bookmarkStart w:id="100" w:name="_Toc115418813"/>
      <w:r>
        <w:rPr>
          <w:rFonts w:hint="eastAsia"/>
        </w:rPr>
        <w:t>10</w:t>
      </w:r>
      <w:r>
        <w:t xml:space="preserve">.3 </w:t>
      </w:r>
      <w:bookmarkEnd w:id="96"/>
      <w:bookmarkEnd w:id="97"/>
      <w:bookmarkEnd w:id="98"/>
      <w:bookmarkEnd w:id="99"/>
      <w:r>
        <w:rPr>
          <w:rFonts w:hint="eastAsia"/>
        </w:rPr>
        <w:t>演练</w:t>
      </w:r>
      <w:bookmarkEnd w:id="100"/>
    </w:p>
    <w:p>
      <w:pPr>
        <w:pStyle w:val="4"/>
        <w:rPr>
          <w:rFonts w:hAnsi="宋体"/>
        </w:rPr>
      </w:pPr>
      <w:r>
        <w:rPr>
          <w:rFonts w:hint="eastAsia"/>
        </w:rPr>
        <w:t>10</w:t>
      </w:r>
      <w:r>
        <w:t>.</w:t>
      </w:r>
      <w:r>
        <w:rPr>
          <w:rFonts w:hint="eastAsia"/>
        </w:rPr>
        <w:t>3</w:t>
      </w:r>
      <w:r>
        <w:t>.</w:t>
      </w:r>
      <w:r>
        <w:rPr>
          <w:rFonts w:hint="eastAsia"/>
        </w:rPr>
        <w:t xml:space="preserve">1 </w:t>
      </w:r>
      <w:r>
        <w:rPr>
          <w:rFonts w:hint="eastAsia" w:hAnsi="宋体"/>
        </w:rPr>
        <w:t>演练</w:t>
      </w:r>
      <w:r>
        <w:rPr>
          <w:rFonts w:hAnsi="宋体"/>
        </w:rPr>
        <w:t>的目的</w:t>
      </w:r>
    </w:p>
    <w:p>
      <w:pPr>
        <w:ind w:firstLine="480"/>
        <w:rPr>
          <w:szCs w:val="20"/>
        </w:rPr>
      </w:pPr>
      <w:r>
        <w:rPr>
          <w:rFonts w:hint="eastAsia"/>
          <w:szCs w:val="20"/>
        </w:rPr>
        <w:t>预案演练主要有三个目的。</w:t>
      </w:r>
    </w:p>
    <w:p>
      <w:pPr>
        <w:ind w:firstLine="480"/>
        <w:rPr>
          <w:szCs w:val="20"/>
        </w:rPr>
      </w:pPr>
      <w:r>
        <w:rPr>
          <w:rFonts w:hint="eastAsia"/>
          <w:szCs w:val="20"/>
        </w:rPr>
        <w:t>第一个目的：让各应急救援组熟悉和操作应急预案，锻炼各应急救援组的协调能力以及应急救援能力，通过不断地强化演练和整改，最终的要求是，将应急领导小组、应急办公室和各应急救援组锻炼成为一支思想好、反应快、技术精、作风硬的救援队伍，一旦事故发生，应急领导小组能够正确指挥，各救援队伍能根据各自职责任务，及时有效地排除险情，控制并消灭事故、抢救伤员，做好应急救援工作。</w:t>
      </w:r>
    </w:p>
    <w:p>
      <w:pPr>
        <w:ind w:firstLine="480"/>
        <w:rPr>
          <w:szCs w:val="20"/>
        </w:rPr>
      </w:pPr>
      <w:r>
        <w:rPr>
          <w:rFonts w:hint="eastAsia"/>
          <w:szCs w:val="20"/>
        </w:rPr>
        <w:t>第二个目的：检验</w:t>
      </w:r>
      <w:r>
        <w:rPr>
          <w:rFonts w:hint="eastAsia"/>
          <w:szCs w:val="20"/>
          <w:lang w:eastAsia="zh-CN"/>
        </w:rPr>
        <w:t>应急物资</w:t>
      </w:r>
      <w:r>
        <w:rPr>
          <w:rFonts w:hint="eastAsia"/>
          <w:szCs w:val="20"/>
        </w:rPr>
        <w:t>和设备的完备性、测试环境监测仪器的可靠性。</w:t>
      </w:r>
    </w:p>
    <w:p>
      <w:pPr>
        <w:ind w:firstLine="480"/>
        <w:rPr>
          <w:szCs w:val="20"/>
        </w:rPr>
      </w:pPr>
      <w:r>
        <w:rPr>
          <w:rFonts w:hint="eastAsia"/>
          <w:szCs w:val="20"/>
        </w:rPr>
        <w:t>第三个目的：验证应急预案的可行性，最终发现预案存在的问题及需要改进的项目，完善应急预案。</w:t>
      </w:r>
    </w:p>
    <w:p>
      <w:pPr>
        <w:pStyle w:val="4"/>
      </w:pPr>
      <w:r>
        <w:rPr>
          <w:rFonts w:hint="eastAsia"/>
        </w:rPr>
        <w:t>10</w:t>
      </w:r>
      <w:r>
        <w:t>.</w:t>
      </w:r>
      <w:r>
        <w:rPr>
          <w:rFonts w:hint="eastAsia"/>
        </w:rPr>
        <w:t>3</w:t>
      </w:r>
      <w:r>
        <w:t>.</w:t>
      </w:r>
      <w:r>
        <w:rPr>
          <w:rFonts w:hint="eastAsia"/>
        </w:rPr>
        <w:t xml:space="preserve">2 </w:t>
      </w:r>
      <w:r>
        <w:rPr>
          <w:rFonts w:hint="eastAsia" w:hAnsi="宋体"/>
        </w:rPr>
        <w:t>演练</w:t>
      </w:r>
      <w:r>
        <w:rPr>
          <w:rFonts w:hAnsi="宋体"/>
        </w:rPr>
        <w:t>的内容</w:t>
      </w:r>
      <w:r>
        <w:rPr>
          <w:rFonts w:hint="eastAsia" w:hAnsi="宋体"/>
        </w:rPr>
        <w:t>、</w:t>
      </w:r>
      <w:r>
        <w:rPr>
          <w:rFonts w:hAnsi="宋体"/>
        </w:rPr>
        <w:t>方式及频次</w:t>
      </w:r>
    </w:p>
    <w:p>
      <w:pPr>
        <w:ind w:firstLine="480"/>
        <w:rPr>
          <w:szCs w:val="20"/>
        </w:rPr>
      </w:pPr>
      <w:bookmarkStart w:id="101" w:name="_Toc12372322"/>
      <w:bookmarkStart w:id="102" w:name="_Toc12372473"/>
      <w:bookmarkStart w:id="103" w:name="_Toc12371985"/>
      <w:bookmarkStart w:id="104" w:name="_Toc24296"/>
      <w:r>
        <w:rPr>
          <w:rFonts w:hint="eastAsia"/>
          <w:szCs w:val="20"/>
        </w:rPr>
        <w:t>演练内容：有毒有害物质的泄漏、废水处理设施的坏损、火灾等方面的突发事件。具体包括事故发生的应急处置、消防器材的使用、通信及报警讯号联络、消毒及洗消处理、急救及医疗、防护指导、交通控制、事故区域内人员的疏散撤离及人员清查等。</w:t>
      </w:r>
    </w:p>
    <w:p>
      <w:pPr>
        <w:ind w:firstLine="480"/>
        <w:rPr>
          <w:szCs w:val="20"/>
        </w:rPr>
      </w:pPr>
      <w:r>
        <w:rPr>
          <w:rFonts w:hint="eastAsia"/>
          <w:szCs w:val="20"/>
        </w:rPr>
        <w:t>演练频次：八公山区每两年至少组织一次全区突发环境事件应急演练。</w:t>
      </w:r>
    </w:p>
    <w:p>
      <w:pPr>
        <w:ind w:firstLine="480"/>
        <w:rPr>
          <w:szCs w:val="20"/>
        </w:rPr>
      </w:pPr>
      <w:r>
        <w:rPr>
          <w:rFonts w:hint="eastAsia"/>
          <w:szCs w:val="20"/>
        </w:rPr>
        <w:t>演练方式：实战演练和桌面演练。</w:t>
      </w:r>
    </w:p>
    <w:p>
      <w:pPr>
        <w:pStyle w:val="3"/>
      </w:pPr>
      <w:bookmarkStart w:id="105" w:name="_Toc115418814"/>
      <w:r>
        <w:rPr>
          <w:rFonts w:hint="eastAsia"/>
        </w:rPr>
        <w:t>10</w:t>
      </w:r>
      <w:r>
        <w:t xml:space="preserve">.4 </w:t>
      </w:r>
      <w:bookmarkEnd w:id="101"/>
      <w:bookmarkEnd w:id="102"/>
      <w:bookmarkEnd w:id="103"/>
      <w:bookmarkEnd w:id="104"/>
      <w:r>
        <w:t>责任与奖惩</w:t>
      </w:r>
      <w:bookmarkEnd w:id="105"/>
    </w:p>
    <w:p>
      <w:pPr>
        <w:pStyle w:val="4"/>
        <w:rPr>
          <w:rFonts w:hAnsi="宋体"/>
        </w:rPr>
      </w:pPr>
      <w:r>
        <w:rPr>
          <w:rFonts w:hint="eastAsia"/>
        </w:rPr>
        <w:t>10</w:t>
      </w:r>
      <w:r>
        <w:t>.</w:t>
      </w:r>
      <w:r>
        <w:rPr>
          <w:rFonts w:hint="eastAsia"/>
        </w:rPr>
        <w:t>4</w:t>
      </w:r>
      <w:r>
        <w:t>.</w:t>
      </w:r>
      <w:r>
        <w:rPr>
          <w:rFonts w:hint="eastAsia"/>
        </w:rPr>
        <w:t xml:space="preserve">1 </w:t>
      </w:r>
      <w:r>
        <w:rPr>
          <w:rFonts w:hint="eastAsia" w:hAnsi="宋体"/>
        </w:rPr>
        <w:t>奖励</w:t>
      </w:r>
    </w:p>
    <w:p>
      <w:pPr>
        <w:ind w:firstLine="480"/>
        <w:rPr>
          <w:szCs w:val="20"/>
        </w:rPr>
      </w:pPr>
      <w:r>
        <w:rPr>
          <w:rFonts w:hint="eastAsia"/>
          <w:szCs w:val="20"/>
        </w:rPr>
        <w:t>在突发环境事件救援工作中，有下列事迹之一的单位和个人，应依据有关规定给予表彰和奖励：</w:t>
      </w:r>
    </w:p>
    <w:p>
      <w:pPr>
        <w:ind w:firstLine="480"/>
        <w:rPr>
          <w:szCs w:val="20"/>
        </w:rPr>
      </w:pPr>
      <w:r>
        <w:rPr>
          <w:rFonts w:hint="eastAsia"/>
          <w:szCs w:val="20"/>
        </w:rPr>
        <w:t>（</w:t>
      </w:r>
      <w:r>
        <w:rPr>
          <w:szCs w:val="20"/>
        </w:rPr>
        <w:t>1</w:t>
      </w:r>
      <w:r>
        <w:rPr>
          <w:rFonts w:hint="eastAsia"/>
          <w:szCs w:val="20"/>
        </w:rPr>
        <w:t>）出色完成应急处置任务，成绩显著的；</w:t>
      </w:r>
    </w:p>
    <w:p>
      <w:pPr>
        <w:ind w:firstLine="480"/>
        <w:rPr>
          <w:szCs w:val="20"/>
        </w:rPr>
      </w:pPr>
      <w:r>
        <w:rPr>
          <w:rFonts w:hint="eastAsia"/>
          <w:szCs w:val="20"/>
        </w:rPr>
        <w:t>（</w:t>
      </w:r>
      <w:r>
        <w:rPr>
          <w:szCs w:val="20"/>
        </w:rPr>
        <w:t>2</w:t>
      </w:r>
      <w:r>
        <w:rPr>
          <w:rFonts w:hint="eastAsia"/>
          <w:szCs w:val="20"/>
        </w:rPr>
        <w:t>）对防止或处理突发事件有功，使国家、集体和人民群众的生命财产免受或减少损失的；</w:t>
      </w:r>
    </w:p>
    <w:p>
      <w:pPr>
        <w:ind w:firstLine="480"/>
        <w:rPr>
          <w:szCs w:val="20"/>
        </w:rPr>
      </w:pPr>
      <w:r>
        <w:rPr>
          <w:rFonts w:hint="eastAsia"/>
          <w:szCs w:val="20"/>
        </w:rPr>
        <w:t>（</w:t>
      </w:r>
      <w:r>
        <w:rPr>
          <w:szCs w:val="20"/>
        </w:rPr>
        <w:t>3</w:t>
      </w:r>
      <w:r>
        <w:rPr>
          <w:rFonts w:hint="eastAsia"/>
          <w:szCs w:val="20"/>
        </w:rPr>
        <w:t>）对突发环境事件应急准备与响应提出重大建议，实施效果显著的；</w:t>
      </w:r>
    </w:p>
    <w:p>
      <w:pPr>
        <w:ind w:firstLine="480"/>
        <w:rPr>
          <w:szCs w:val="20"/>
        </w:rPr>
      </w:pPr>
      <w:r>
        <w:rPr>
          <w:rFonts w:hint="eastAsia"/>
          <w:szCs w:val="20"/>
        </w:rPr>
        <w:t>（</w:t>
      </w:r>
      <w:r>
        <w:rPr>
          <w:szCs w:val="20"/>
        </w:rPr>
        <w:t>4</w:t>
      </w:r>
      <w:r>
        <w:rPr>
          <w:rFonts w:hint="eastAsia"/>
          <w:szCs w:val="20"/>
        </w:rPr>
        <w:t>）有其他特殊贡献的。</w:t>
      </w:r>
    </w:p>
    <w:p>
      <w:pPr>
        <w:pStyle w:val="4"/>
      </w:pPr>
      <w:r>
        <w:rPr>
          <w:rFonts w:hint="eastAsia"/>
        </w:rPr>
        <w:t>10</w:t>
      </w:r>
      <w:r>
        <w:t>.</w:t>
      </w:r>
      <w:r>
        <w:rPr>
          <w:rFonts w:hint="eastAsia"/>
        </w:rPr>
        <w:t>4</w:t>
      </w:r>
      <w:r>
        <w:t>.</w:t>
      </w:r>
      <w:r>
        <w:rPr>
          <w:rFonts w:hint="eastAsia"/>
        </w:rPr>
        <w:t xml:space="preserve">2 </w:t>
      </w:r>
      <w:r>
        <w:rPr>
          <w:rFonts w:hint="eastAsia" w:hAnsi="宋体"/>
        </w:rPr>
        <w:t>处罚</w:t>
      </w:r>
    </w:p>
    <w:p>
      <w:pPr>
        <w:ind w:firstLine="480"/>
        <w:rPr>
          <w:szCs w:val="20"/>
        </w:rPr>
      </w:pPr>
      <w:r>
        <w:rPr>
          <w:rFonts w:hint="eastAsia"/>
          <w:szCs w:val="20"/>
        </w:rPr>
        <w:t>突发环境事件应急处置工作实行行政领导负责制和责任追究制。</w:t>
      </w:r>
    </w:p>
    <w:p>
      <w:pPr>
        <w:ind w:firstLine="480"/>
        <w:rPr>
          <w:szCs w:val="20"/>
        </w:rPr>
      </w:pPr>
      <w:r>
        <w:rPr>
          <w:rFonts w:hint="eastAsia"/>
          <w:szCs w:val="20"/>
        </w:rPr>
        <w:t>造成突发环境事件的单位和个人，应根据有关法律规定排除危害，并对直接受到损失的单位或个人进行赔偿；构成犯罪的，应追究刑事责任。</w:t>
      </w:r>
    </w:p>
    <w:p>
      <w:pPr>
        <w:ind w:firstLine="480"/>
        <w:rPr>
          <w:szCs w:val="20"/>
        </w:rPr>
      </w:pPr>
      <w:r>
        <w:rPr>
          <w:rFonts w:hint="eastAsia"/>
          <w:szCs w:val="20"/>
        </w:rPr>
        <w:t>在突发环境事件应急工作中，有下列行为之一的，按照有关法律和规定，对有关责任人视情节和危害后果，由其所在单位或者上级机关给予行政处分；其中，对国家公务员和国家行政机关任命的其他人员，分别由任免机关或者监察机关给予行政处分；构成犯罪的，由司法机关依法追究刑事责任：</w:t>
      </w:r>
    </w:p>
    <w:p>
      <w:pPr>
        <w:ind w:firstLine="480"/>
        <w:rPr>
          <w:szCs w:val="20"/>
        </w:rPr>
      </w:pPr>
      <w:r>
        <w:rPr>
          <w:rFonts w:hint="eastAsia"/>
          <w:szCs w:val="20"/>
        </w:rPr>
        <w:t>（</w:t>
      </w:r>
      <w:r>
        <w:rPr>
          <w:szCs w:val="20"/>
        </w:rPr>
        <w:t>1</w:t>
      </w:r>
      <w:r>
        <w:rPr>
          <w:rFonts w:hint="eastAsia"/>
          <w:szCs w:val="20"/>
        </w:rPr>
        <w:t>）不认真履行环保法律、法规，而引发突发环境事件的；</w:t>
      </w:r>
    </w:p>
    <w:p>
      <w:pPr>
        <w:ind w:firstLine="480"/>
        <w:rPr>
          <w:szCs w:val="20"/>
        </w:rPr>
      </w:pPr>
      <w:r>
        <w:rPr>
          <w:rFonts w:hint="eastAsia"/>
          <w:szCs w:val="20"/>
        </w:rPr>
        <w:t>（</w:t>
      </w:r>
      <w:r>
        <w:rPr>
          <w:szCs w:val="20"/>
        </w:rPr>
        <w:t>2</w:t>
      </w:r>
      <w:r>
        <w:rPr>
          <w:rFonts w:hint="eastAsia"/>
          <w:szCs w:val="20"/>
        </w:rPr>
        <w:t>）不按照规定制定突发环境事件应急预案，拒绝承担突发环境事件应急准备义务的；</w:t>
      </w:r>
    </w:p>
    <w:p>
      <w:pPr>
        <w:ind w:firstLine="480"/>
        <w:rPr>
          <w:szCs w:val="20"/>
        </w:rPr>
      </w:pPr>
      <w:r>
        <w:rPr>
          <w:rFonts w:hint="eastAsia"/>
          <w:szCs w:val="20"/>
        </w:rPr>
        <w:t>（</w:t>
      </w:r>
      <w:r>
        <w:rPr>
          <w:szCs w:val="20"/>
        </w:rPr>
        <w:t>3</w:t>
      </w:r>
      <w:r>
        <w:rPr>
          <w:rFonts w:hint="eastAsia"/>
          <w:szCs w:val="20"/>
        </w:rPr>
        <w:t>）不按规定报告、通报突发环境事件真实情况的；有迟报、漏报、瞒报和谎报突发环境事件重要情况或者应急管理工作中有其他失职、渎职行为的；</w:t>
      </w:r>
    </w:p>
    <w:p>
      <w:pPr>
        <w:ind w:firstLine="480"/>
        <w:rPr>
          <w:szCs w:val="20"/>
        </w:rPr>
      </w:pPr>
      <w:r>
        <w:rPr>
          <w:rFonts w:hint="eastAsia"/>
          <w:szCs w:val="20"/>
        </w:rPr>
        <w:t>（</w:t>
      </w:r>
      <w:r>
        <w:rPr>
          <w:szCs w:val="20"/>
        </w:rPr>
        <w:t>4</w:t>
      </w:r>
      <w:r>
        <w:rPr>
          <w:rFonts w:hint="eastAsia"/>
          <w:szCs w:val="20"/>
        </w:rPr>
        <w:t>）拒不执行应急预案，不服从命令和指挥，或者在事件应急响应时临阵脱逃的；</w:t>
      </w:r>
    </w:p>
    <w:p>
      <w:pPr>
        <w:ind w:firstLine="480"/>
        <w:rPr>
          <w:szCs w:val="20"/>
        </w:rPr>
      </w:pPr>
      <w:r>
        <w:rPr>
          <w:rFonts w:hint="eastAsia"/>
          <w:szCs w:val="20"/>
        </w:rPr>
        <w:t>（</w:t>
      </w:r>
      <w:r>
        <w:rPr>
          <w:szCs w:val="20"/>
        </w:rPr>
        <w:t>5</w:t>
      </w:r>
      <w:r>
        <w:rPr>
          <w:rFonts w:hint="eastAsia"/>
          <w:szCs w:val="20"/>
        </w:rPr>
        <w:t>）盗窃、贪污、挪用应急工作资金、装备和物资的；</w:t>
      </w:r>
    </w:p>
    <w:p>
      <w:pPr>
        <w:ind w:firstLine="480"/>
        <w:rPr>
          <w:szCs w:val="20"/>
        </w:rPr>
      </w:pPr>
      <w:r>
        <w:rPr>
          <w:rFonts w:hint="eastAsia"/>
          <w:szCs w:val="20"/>
        </w:rPr>
        <w:t>（</w:t>
      </w:r>
      <w:r>
        <w:rPr>
          <w:szCs w:val="20"/>
        </w:rPr>
        <w:t>6</w:t>
      </w:r>
      <w:r>
        <w:rPr>
          <w:rFonts w:hint="eastAsia"/>
          <w:szCs w:val="20"/>
        </w:rPr>
        <w:t>）阻碍应急工作人员依法履行职责或者进行破坏活动的；</w:t>
      </w:r>
    </w:p>
    <w:p>
      <w:pPr>
        <w:ind w:firstLine="480"/>
        <w:rPr>
          <w:szCs w:val="20"/>
        </w:rPr>
      </w:pPr>
      <w:r>
        <w:rPr>
          <w:rFonts w:hint="eastAsia"/>
          <w:szCs w:val="20"/>
        </w:rPr>
        <w:t>（</w:t>
      </w:r>
      <w:r>
        <w:rPr>
          <w:szCs w:val="20"/>
        </w:rPr>
        <w:t>7</w:t>
      </w:r>
      <w:r>
        <w:rPr>
          <w:rFonts w:hint="eastAsia"/>
          <w:szCs w:val="20"/>
        </w:rPr>
        <w:t>）散布谣言，扰乱社会秩序的；</w:t>
      </w:r>
    </w:p>
    <w:p>
      <w:pPr>
        <w:ind w:firstLine="480"/>
        <w:rPr>
          <w:szCs w:val="20"/>
        </w:rPr>
      </w:pPr>
      <w:r>
        <w:rPr>
          <w:rFonts w:hint="eastAsia"/>
          <w:szCs w:val="20"/>
        </w:rPr>
        <w:t>（</w:t>
      </w:r>
      <w:r>
        <w:rPr>
          <w:szCs w:val="20"/>
        </w:rPr>
        <w:t>8</w:t>
      </w:r>
      <w:r>
        <w:rPr>
          <w:rFonts w:hint="eastAsia"/>
          <w:szCs w:val="20"/>
        </w:rPr>
        <w:t>）有其他对环境事件应急工作造成危害行为的。</w:t>
      </w:r>
    </w:p>
    <w:p>
      <w:pPr>
        <w:ind w:firstLine="480"/>
        <w:sectPr>
          <w:footerReference r:id="rId16" w:type="first"/>
          <w:pgSz w:w="11906" w:h="16838"/>
          <w:pgMar w:top="1440" w:right="1800" w:bottom="1440" w:left="1800" w:header="720" w:footer="720" w:gutter="0"/>
          <w:pgNumType w:start="40"/>
          <w:cols w:space="720" w:num="1"/>
          <w:titlePg/>
          <w:docGrid w:type="lines" w:linePitch="326" w:charSpace="0"/>
        </w:sectPr>
      </w:pPr>
    </w:p>
    <w:p>
      <w:pPr>
        <w:pStyle w:val="2"/>
      </w:pPr>
      <w:bookmarkStart w:id="106" w:name="_Toc12372329"/>
      <w:bookmarkStart w:id="107" w:name="_Toc12371992"/>
      <w:bookmarkStart w:id="108" w:name="_Toc12372480"/>
      <w:bookmarkStart w:id="109" w:name="_Toc1589"/>
      <w:bookmarkStart w:id="110" w:name="_Toc115418815"/>
      <w:r>
        <w:t>1</w:t>
      </w:r>
      <w:r>
        <w:rPr>
          <w:rFonts w:hint="eastAsia"/>
        </w:rPr>
        <w:t>1</w:t>
      </w:r>
      <w:bookmarkEnd w:id="106"/>
      <w:bookmarkEnd w:id="107"/>
      <w:bookmarkEnd w:id="108"/>
      <w:bookmarkEnd w:id="109"/>
      <w:r>
        <w:rPr>
          <w:rFonts w:hint="eastAsia"/>
        </w:rPr>
        <w:t>附则</w:t>
      </w:r>
      <w:bookmarkEnd w:id="110"/>
    </w:p>
    <w:p>
      <w:pPr>
        <w:pStyle w:val="3"/>
      </w:pPr>
      <w:bookmarkStart w:id="111" w:name="_Toc12372481"/>
      <w:bookmarkStart w:id="112" w:name="_Toc12372330"/>
      <w:bookmarkStart w:id="113" w:name="_Toc12371993"/>
      <w:bookmarkStart w:id="114" w:name="_Toc32673"/>
      <w:bookmarkStart w:id="115" w:name="_Toc115418816"/>
      <w:r>
        <w:t>1</w:t>
      </w:r>
      <w:r>
        <w:rPr>
          <w:rFonts w:hint="eastAsia"/>
        </w:rPr>
        <w:t>1</w:t>
      </w:r>
      <w:r>
        <w:t xml:space="preserve">.1 </w:t>
      </w:r>
      <w:bookmarkEnd w:id="111"/>
      <w:bookmarkEnd w:id="112"/>
      <w:bookmarkEnd w:id="113"/>
      <w:bookmarkEnd w:id="114"/>
      <w:r>
        <w:rPr>
          <w:rFonts w:hint="eastAsia"/>
        </w:rPr>
        <w:t>预案管理</w:t>
      </w:r>
      <w:bookmarkEnd w:id="115"/>
    </w:p>
    <w:p>
      <w:pPr>
        <w:ind w:firstLine="480"/>
      </w:pPr>
      <w:r>
        <w:rPr>
          <w:rFonts w:hAnsi="宋体"/>
        </w:rPr>
        <w:t>应急指挥部成员单位名单及时动态更新。</w:t>
      </w:r>
    </w:p>
    <w:p>
      <w:pPr>
        <w:ind w:firstLine="480"/>
      </w:pPr>
      <w:r>
        <w:rPr>
          <w:rFonts w:hAnsi="宋体"/>
        </w:rPr>
        <w:t>生态环境分局负责预案的日常管理，制定预案操作手册。预案随着国家相关法律、法规的修改和完善，以及相关人员、单位职责和形势的变化，及时修订、完善本预案，本预案原则上</w:t>
      </w:r>
      <w:r>
        <w:rPr>
          <w:rFonts w:hint="eastAsia" w:hAnsi="宋体"/>
        </w:rPr>
        <w:t>至少</w:t>
      </w:r>
      <w:r>
        <w:rPr>
          <w:rFonts w:hAnsi="宋体"/>
        </w:rPr>
        <w:t>每</w:t>
      </w:r>
      <w:r>
        <w:t>3</w:t>
      </w:r>
      <w:r>
        <w:rPr>
          <w:rFonts w:hAnsi="宋体"/>
        </w:rPr>
        <w:t>年修订一次。</w:t>
      </w:r>
    </w:p>
    <w:p>
      <w:pPr>
        <w:pStyle w:val="3"/>
      </w:pPr>
      <w:bookmarkStart w:id="116" w:name="_Toc115418817"/>
      <w:r>
        <w:rPr>
          <w:rFonts w:hint="eastAsia"/>
        </w:rPr>
        <w:t>11.2 预案解释单位</w:t>
      </w:r>
      <w:bookmarkEnd w:id="116"/>
    </w:p>
    <w:p>
      <w:pPr>
        <w:ind w:firstLine="480"/>
      </w:pPr>
      <w:r>
        <w:rPr>
          <w:rFonts w:hint="eastAsia"/>
        </w:rPr>
        <w:t>本预案由淮南市八公山区生态环境分局负责解释。</w:t>
      </w:r>
    </w:p>
    <w:p>
      <w:pPr>
        <w:pStyle w:val="3"/>
      </w:pPr>
      <w:bookmarkStart w:id="117" w:name="_Toc115418818"/>
      <w:r>
        <w:rPr>
          <w:rFonts w:hint="eastAsia"/>
        </w:rPr>
        <w:t>11.3 预案实施时间</w:t>
      </w:r>
      <w:bookmarkEnd w:id="117"/>
    </w:p>
    <w:p>
      <w:pPr>
        <w:ind w:firstLine="480"/>
      </w:pPr>
      <w:r>
        <w:rPr>
          <w:rFonts w:hint="eastAsia"/>
        </w:rPr>
        <w:t>本预案自发布之日起施行。</w:t>
      </w:r>
    </w:p>
    <w:p>
      <w:pPr>
        <w:pStyle w:val="3"/>
      </w:pPr>
      <w:bookmarkStart w:id="118" w:name="_Toc115418819"/>
      <w:r>
        <w:rPr>
          <w:rFonts w:hint="eastAsia"/>
        </w:rPr>
        <w:t>11.4 名词术语解释</w:t>
      </w:r>
      <w:bookmarkEnd w:id="118"/>
    </w:p>
    <w:p>
      <w:pPr>
        <w:ind w:firstLine="480"/>
      </w:pPr>
      <w:r>
        <w:rPr>
          <w:rFonts w:hint="eastAsia"/>
        </w:rPr>
        <w:t>环境事件：是指由于违反环境保护法律法规的经济、社会活动与行为，以及意外因素的影响或不可抗拒的自然灾害等原因致使环境受到污染，人体健康受到危害，社会经济与人民群众财产受到损失，造成不良社会影响的突发性事件。</w:t>
      </w:r>
    </w:p>
    <w:p>
      <w:pPr>
        <w:ind w:firstLine="480"/>
      </w:pPr>
      <w:r>
        <w:rPr>
          <w:rFonts w:hint="eastAsia"/>
        </w:rPr>
        <w:t>突发环境事件：指突然发生，造成或者可能造成重大人员伤亡、重大财产损失和对全省或者某一地区的经济社会稳定、政治安定构成重大威胁和损害，有重大社会影响的涉及公共安全的环境事件。</w:t>
      </w:r>
    </w:p>
    <w:p>
      <w:pPr>
        <w:ind w:firstLine="480"/>
      </w:pPr>
      <w:r>
        <w:rPr>
          <w:rFonts w:hint="eastAsia"/>
        </w:rPr>
        <w:t>环境应急：针对可能或已发生的突发环境事件需要立即采取某些超出正常工作程序的行动，以避免事件发生或减轻事件后果的状态，也称为紧急状态。同时也泛指立即采取超出正常工作程序的行动。</w:t>
      </w:r>
    </w:p>
    <w:p>
      <w:pPr>
        <w:ind w:firstLine="480"/>
      </w:pPr>
      <w:r>
        <w:rPr>
          <w:rFonts w:hint="eastAsia"/>
        </w:rPr>
        <w:t>应急监测：环境应急情况下，为发现和查明环境污染情况和污染范围而进行的环境监测。包括定点监测和动态监测。</w:t>
      </w:r>
    </w:p>
    <w:p>
      <w:pPr>
        <w:ind w:firstLine="480"/>
      </w:pPr>
      <w:r>
        <w:rPr>
          <w:rFonts w:hint="eastAsia"/>
        </w:rPr>
        <w:t>应急演练：为检验应急计划的有效性、应急准备的完善性、应急响应能力的适应性和应急人员的协同性而进行的一种模拟应急响应的实践活动。</w:t>
      </w:r>
    </w:p>
    <w:p>
      <w:pPr>
        <w:ind w:firstLine="480"/>
      </w:pPr>
      <w:r>
        <w:rPr>
          <w:bCs/>
        </w:rPr>
        <w:t>应急救援：</w:t>
      </w:r>
      <w:r>
        <w:t>在应急响应过程中，为消除、减少环境事件危害，防止环境事件扩大或恶化，最大限度地降低环境事件造成的损失或危害而采取的救援措施或行动。</w:t>
      </w:r>
    </w:p>
    <w:p>
      <w:pPr>
        <w:ind w:firstLine="480"/>
      </w:pPr>
      <w:r>
        <w:rPr>
          <w:bCs/>
        </w:rPr>
        <w:t>后期处置：</w:t>
      </w:r>
      <w:r>
        <w:t>环境事件的影响得到初步控制后，为使生产、工作、生活和生态环境尽快恢复到正常状态而采取的措施或行动。</w:t>
      </w:r>
    </w:p>
    <w:p>
      <w:pPr>
        <w:ind w:firstLine="480"/>
      </w:pPr>
      <w:r>
        <w:rPr>
          <w:bCs/>
        </w:rPr>
        <w:t>危险化学品：</w:t>
      </w:r>
      <w:r>
        <w:t>属于爆炸品、压缩气体和液化气体、易燃液体、易燃固体、自燃物品和遇湿易燃物品、氧化剂和有机过氧化物、有毒品和腐蚀品的化学品。</w:t>
      </w:r>
    </w:p>
    <w:sectPr>
      <w:footerReference r:id="rId17" w:type="first"/>
      <w:pgSz w:w="11906" w:h="16838"/>
      <w:pgMar w:top="1440" w:right="1800" w:bottom="1440" w:left="1800" w:header="720" w:footer="720" w:gutter="0"/>
      <w:pgNumType w:start="43"/>
      <w:cols w:space="720"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w:altName w:val="微软雅黑"/>
    <w:panose1 w:val="00000000000000000000"/>
    <w:charset w:val="86"/>
    <w:family w:val="auto"/>
    <w:pitch w:val="default"/>
    <w:sig w:usb0="00000000" w:usb1="00000000" w:usb2="00000016" w:usb3="00000000" w:csb0="0004000F" w:csb1="00000000"/>
  </w:font>
  <w:font w:name="Cambria">
    <w:altName w:val="Segoe Print"/>
    <w:panose1 w:val="02040503050406030204"/>
    <w:charset w:val="00"/>
    <w:family w:val="roman"/>
    <w:pitch w:val="default"/>
    <w:sig w:usb0="00000000" w:usb1="00000000" w:usb2="00000000" w:usb3="00000000" w:csb0="0000019F" w:csb1="00000000"/>
  </w:font>
  <w:font w:name="MingLiU">
    <w:altName w:val="Microsoft JhengHei UI"/>
    <w:panose1 w:val="02020509000000000000"/>
    <w:charset w:val="88"/>
    <w:family w:val="modern"/>
    <w:pitch w:val="default"/>
    <w:sig w:usb0="00000000" w:usb1="00000000" w:usb2="00000016" w:usb3="00000000" w:csb0="00100001"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DFKai-SB">
    <w:altName w:val="Microsoft JhengHei"/>
    <w:panose1 w:val="03000509000000000000"/>
    <w:charset w:val="88"/>
    <w:family w:val="script"/>
    <w:pitch w:val="default"/>
    <w:sig w:usb0="00000000" w:usb1="00000000" w:usb2="00000016" w:usb3="00000000" w:csb0="00100001" w:csb1="00000000"/>
  </w:font>
  <w:font w:name="隶书">
    <w:altName w:val="微软雅黑"/>
    <w:panose1 w:val="02010509060101010101"/>
    <w:charset w:val="86"/>
    <w:family w:val="modern"/>
    <w:pitch w:val="default"/>
    <w:sig w:usb0="00000000" w:usb1="00000000" w:usb2="00000010" w:usb3="00000000" w:csb0="00040000" w:csb1="00000000"/>
  </w:font>
  <w:font w:name="TimesNewRomanPS-BoldMT">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00"/>
      <w:jc w:val="center"/>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lang w:val="zh-CN"/>
      </w:rPr>
      <w:t>35</w:t>
    </w:r>
    <w:r>
      <w:rPr>
        <w:rFonts w:ascii="Times New Roman" w:hAnsi="Times New Roman"/>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r>
      <w:rPr>
        <w:rFonts w:hint="eastAsia" w:ascii="Times New Roman" w:hAnsi="Times New Roman"/>
      </w:rPr>
      <w:t>36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r>
      <w:rPr>
        <w:rFonts w:hint="eastAsia" w:ascii="Times New Roman" w:hAnsi="Times New Roman"/>
      </w:rPr>
      <w:t>40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r>
      <w:rPr>
        <w:rFonts w:hint="eastAsia" w:ascii="Times New Roman" w:hAnsi="Times New Roman"/>
      </w:rPr>
      <w:t>43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r>
      <w:rPr>
        <w:rFonts w:hint="eastAsia" w:ascii="Times New Roman" w:hAnsi="Times New Roman"/>
      </w:rPr>
      <w:t>1</w:t>
    </w:r>
  </w:p>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00"/>
      <w:jc w:val="center"/>
      <w:rPr>
        <w:rFonts w:ascii="Times New Roman" w:hAnsi="Times New Roman"/>
        <w:sz w:val="20"/>
        <w:szCs w:val="20"/>
      </w:rPr>
    </w:pPr>
    <w:r>
      <w:rPr>
        <w:rFonts w:hint="eastAsia" w:ascii="Times New Roman" w:hAnsi="Times New Roman"/>
        <w:sz w:val="20"/>
        <w:szCs w:val="20"/>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00"/>
      <w:jc w:val="center"/>
      <w:rPr>
        <w:rFonts w:ascii="Times New Roman" w:hAnsi="Times New Roman"/>
        <w:sz w:val="20"/>
        <w:szCs w:val="20"/>
      </w:rPr>
    </w:pPr>
    <w:r>
      <w:rPr>
        <w:rFonts w:hint="eastAsia" w:ascii="Times New Roman" w:hAnsi="Times New Roman"/>
        <w:sz w:val="20"/>
        <w:szCs w:val="20"/>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00"/>
      <w:jc w:val="center"/>
      <w:rPr>
        <w:rFonts w:ascii="Times New Roman" w:hAnsi="Times New Roman"/>
        <w:sz w:val="20"/>
        <w:szCs w:val="20"/>
      </w:rPr>
    </w:pPr>
    <w:r>
      <w:rPr>
        <w:rFonts w:hint="eastAsia" w:ascii="Times New Roman" w:hAnsi="Times New Roman"/>
        <w:sz w:val="20"/>
        <w:szCs w:val="20"/>
      </w:rPr>
      <w:t>10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00"/>
      <w:jc w:val="center"/>
      <w:rPr>
        <w:rFonts w:ascii="Times New Roman" w:hAnsi="Times New Roman"/>
        <w:sz w:val="20"/>
        <w:szCs w:val="20"/>
      </w:rPr>
    </w:pPr>
    <w:r>
      <w:rPr>
        <w:rFonts w:hint="eastAsia" w:ascii="Times New Roman" w:hAnsi="Times New Roman"/>
        <w:sz w:val="20"/>
        <w:szCs w:val="20"/>
      </w:rPr>
      <w:t>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r>
      <w:rPr>
        <w:rFonts w:hint="eastAsia" w:ascii="Times New Roman" w:hAnsi="Times New Roman"/>
      </w:rPr>
      <w:t>20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r>
      <w:rPr>
        <w:rFonts w:hint="eastAsia" w:ascii="Times New Roman" w:hAnsi="Times New Roman"/>
      </w:rPr>
      <w:t>23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r>
      <w:rPr>
        <w:rFonts w:hint="eastAsia" w:ascii="Times New Roman" w:hAnsi="Times New Roman"/>
      </w:rPr>
      <w:t>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240" w:lineRule="auto"/>
      <w:ind w:firstLine="0" w:firstLineChars="0"/>
      <w:rPr>
        <w:rFonts w:ascii="宋体" w:hAnsi="宋体" w:eastAsia="宋体"/>
        <w:sz w:val="20"/>
        <w:szCs w:val="20"/>
      </w:rPr>
    </w:pPr>
    <w:r>
      <w:rPr>
        <w:rFonts w:ascii="Times New Roman" w:hAnsi="宋体" w:eastAsia="宋体"/>
        <w:sz w:val="20"/>
        <w:szCs w:val="20"/>
      </w:rPr>
      <w:t>淮南市</w:t>
    </w:r>
    <w:r>
      <w:rPr>
        <w:rFonts w:hint="eastAsia" w:ascii="Times New Roman" w:hAnsi="宋体" w:eastAsia="宋体"/>
        <w:sz w:val="20"/>
        <w:szCs w:val="20"/>
      </w:rPr>
      <w:t>八公山区</w:t>
    </w:r>
    <w:r>
      <w:rPr>
        <w:rFonts w:ascii="Times New Roman" w:hAnsi="宋体" w:eastAsia="宋体"/>
        <w:sz w:val="20"/>
        <w:szCs w:val="20"/>
      </w:rPr>
      <w:t>突发环境事</w:t>
    </w:r>
    <w:r>
      <w:rPr>
        <w:rFonts w:ascii="宋体" w:hAnsi="宋体" w:eastAsia="宋体"/>
        <w:sz w:val="20"/>
        <w:szCs w:val="20"/>
      </w:rPr>
      <w:t>件应急预案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9B5DF7"/>
    <w:multiLevelType w:val="multilevel"/>
    <w:tmpl w:val="439B5DF7"/>
    <w:lvl w:ilvl="0" w:tentative="0">
      <w:start w:val="1"/>
      <w:numFmt w:val="decimalEnclosedCircle"/>
      <w:pStyle w:val="12"/>
      <w:lvlText w:val="%1"/>
      <w:lvlJc w:val="left"/>
      <w:pPr>
        <w:ind w:left="1287" w:hanging="720"/>
      </w:pPr>
      <w:rPr>
        <w:rFonts w:ascii="Times New Roman" w:hAnsi="Times New Roman" w:eastAsia="宋体" w:cs="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55138405"/>
    <w:multiLevelType w:val="singleLevel"/>
    <w:tmpl w:val="55138405"/>
    <w:lvl w:ilvl="0" w:tentative="0">
      <w:start w:val="3"/>
      <w:numFmt w:val="decimal"/>
      <w:pStyle w:val="13"/>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lkYjA5MjMzOGQ2ZDI4YzA5NGE0Nzk3NzQ1OWQ2YzMifQ=="/>
  </w:docVars>
  <w:rsids>
    <w:rsidRoot w:val="00D223D6"/>
    <w:rsid w:val="00003D11"/>
    <w:rsid w:val="00006946"/>
    <w:rsid w:val="000074C4"/>
    <w:rsid w:val="00010095"/>
    <w:rsid w:val="000114C1"/>
    <w:rsid w:val="0001226E"/>
    <w:rsid w:val="000143F4"/>
    <w:rsid w:val="000164E5"/>
    <w:rsid w:val="00020D09"/>
    <w:rsid w:val="000232D7"/>
    <w:rsid w:val="00031138"/>
    <w:rsid w:val="00033A24"/>
    <w:rsid w:val="00036D95"/>
    <w:rsid w:val="000514C4"/>
    <w:rsid w:val="00063023"/>
    <w:rsid w:val="00063766"/>
    <w:rsid w:val="00064215"/>
    <w:rsid w:val="00064C89"/>
    <w:rsid w:val="000669E2"/>
    <w:rsid w:val="00070E95"/>
    <w:rsid w:val="0007314D"/>
    <w:rsid w:val="00073E78"/>
    <w:rsid w:val="00077826"/>
    <w:rsid w:val="000821FD"/>
    <w:rsid w:val="00082EA7"/>
    <w:rsid w:val="00082EB6"/>
    <w:rsid w:val="0008320C"/>
    <w:rsid w:val="00083E84"/>
    <w:rsid w:val="00085A27"/>
    <w:rsid w:val="000867A1"/>
    <w:rsid w:val="00086EA2"/>
    <w:rsid w:val="0008712A"/>
    <w:rsid w:val="00091E13"/>
    <w:rsid w:val="0009242F"/>
    <w:rsid w:val="00093A5D"/>
    <w:rsid w:val="000A0B3C"/>
    <w:rsid w:val="000A2B27"/>
    <w:rsid w:val="000A6257"/>
    <w:rsid w:val="000A7E92"/>
    <w:rsid w:val="000B4F5C"/>
    <w:rsid w:val="000B748F"/>
    <w:rsid w:val="000C56F5"/>
    <w:rsid w:val="000D01A3"/>
    <w:rsid w:val="000D25BD"/>
    <w:rsid w:val="000D4D65"/>
    <w:rsid w:val="000D7AC9"/>
    <w:rsid w:val="000E0223"/>
    <w:rsid w:val="000E1C0F"/>
    <w:rsid w:val="000E2B85"/>
    <w:rsid w:val="000E763E"/>
    <w:rsid w:val="000F0068"/>
    <w:rsid w:val="000F148A"/>
    <w:rsid w:val="001012C4"/>
    <w:rsid w:val="001051C6"/>
    <w:rsid w:val="00110B04"/>
    <w:rsid w:val="0011122E"/>
    <w:rsid w:val="00111800"/>
    <w:rsid w:val="00114AC1"/>
    <w:rsid w:val="00115737"/>
    <w:rsid w:val="00116D6B"/>
    <w:rsid w:val="00116DD0"/>
    <w:rsid w:val="00120D87"/>
    <w:rsid w:val="00121295"/>
    <w:rsid w:val="0013074D"/>
    <w:rsid w:val="00132FDC"/>
    <w:rsid w:val="00133615"/>
    <w:rsid w:val="00134F9A"/>
    <w:rsid w:val="0013638D"/>
    <w:rsid w:val="0014754D"/>
    <w:rsid w:val="00147AC7"/>
    <w:rsid w:val="00147BD4"/>
    <w:rsid w:val="0015107D"/>
    <w:rsid w:val="00153C35"/>
    <w:rsid w:val="00154924"/>
    <w:rsid w:val="001565BF"/>
    <w:rsid w:val="001575D4"/>
    <w:rsid w:val="00160095"/>
    <w:rsid w:val="001612DF"/>
    <w:rsid w:val="00162B1A"/>
    <w:rsid w:val="00163508"/>
    <w:rsid w:val="0016749B"/>
    <w:rsid w:val="00171092"/>
    <w:rsid w:val="0017463A"/>
    <w:rsid w:val="00176C67"/>
    <w:rsid w:val="0018177F"/>
    <w:rsid w:val="00181992"/>
    <w:rsid w:val="001840F9"/>
    <w:rsid w:val="001849F5"/>
    <w:rsid w:val="00185B0E"/>
    <w:rsid w:val="001862C9"/>
    <w:rsid w:val="00186DE1"/>
    <w:rsid w:val="00192778"/>
    <w:rsid w:val="00192E33"/>
    <w:rsid w:val="001941F3"/>
    <w:rsid w:val="00194490"/>
    <w:rsid w:val="00195189"/>
    <w:rsid w:val="00195588"/>
    <w:rsid w:val="00197E8D"/>
    <w:rsid w:val="001A1043"/>
    <w:rsid w:val="001A4574"/>
    <w:rsid w:val="001B1277"/>
    <w:rsid w:val="001B416A"/>
    <w:rsid w:val="001B49CB"/>
    <w:rsid w:val="001B6E1B"/>
    <w:rsid w:val="001B7ECC"/>
    <w:rsid w:val="001C044F"/>
    <w:rsid w:val="001C48B4"/>
    <w:rsid w:val="001C586A"/>
    <w:rsid w:val="001C5B40"/>
    <w:rsid w:val="001D2F7D"/>
    <w:rsid w:val="001D5E69"/>
    <w:rsid w:val="001D6BB2"/>
    <w:rsid w:val="001D7A57"/>
    <w:rsid w:val="001E596B"/>
    <w:rsid w:val="001E7002"/>
    <w:rsid w:val="001E7738"/>
    <w:rsid w:val="001F0108"/>
    <w:rsid w:val="00201AA4"/>
    <w:rsid w:val="00203662"/>
    <w:rsid w:val="00205F89"/>
    <w:rsid w:val="00206A1B"/>
    <w:rsid w:val="002070F6"/>
    <w:rsid w:val="00207845"/>
    <w:rsid w:val="00213D5A"/>
    <w:rsid w:val="00215746"/>
    <w:rsid w:val="002164AB"/>
    <w:rsid w:val="00216B99"/>
    <w:rsid w:val="002224E6"/>
    <w:rsid w:val="00222FAD"/>
    <w:rsid w:val="00223F45"/>
    <w:rsid w:val="00231050"/>
    <w:rsid w:val="00232FC1"/>
    <w:rsid w:val="00233574"/>
    <w:rsid w:val="00234FD8"/>
    <w:rsid w:val="00236C23"/>
    <w:rsid w:val="00243809"/>
    <w:rsid w:val="00243D2B"/>
    <w:rsid w:val="002445C6"/>
    <w:rsid w:val="00244B41"/>
    <w:rsid w:val="00247014"/>
    <w:rsid w:val="0025131F"/>
    <w:rsid w:val="00251A21"/>
    <w:rsid w:val="00253E25"/>
    <w:rsid w:val="00263E17"/>
    <w:rsid w:val="00274D29"/>
    <w:rsid w:val="00276EAB"/>
    <w:rsid w:val="0028071C"/>
    <w:rsid w:val="0028530F"/>
    <w:rsid w:val="00286B46"/>
    <w:rsid w:val="00286CCA"/>
    <w:rsid w:val="002872C4"/>
    <w:rsid w:val="002905A4"/>
    <w:rsid w:val="00290FA5"/>
    <w:rsid w:val="0029445E"/>
    <w:rsid w:val="002A0399"/>
    <w:rsid w:val="002B1D13"/>
    <w:rsid w:val="002B5570"/>
    <w:rsid w:val="002B5A3C"/>
    <w:rsid w:val="002B64F9"/>
    <w:rsid w:val="002C0796"/>
    <w:rsid w:val="002C3E5E"/>
    <w:rsid w:val="002C44C8"/>
    <w:rsid w:val="002D137E"/>
    <w:rsid w:val="002D427C"/>
    <w:rsid w:val="002D4D4F"/>
    <w:rsid w:val="002D5E5E"/>
    <w:rsid w:val="002D7802"/>
    <w:rsid w:val="002E349D"/>
    <w:rsid w:val="002E43BF"/>
    <w:rsid w:val="002E50BF"/>
    <w:rsid w:val="002E630E"/>
    <w:rsid w:val="002E7F25"/>
    <w:rsid w:val="002F1F59"/>
    <w:rsid w:val="00302F4C"/>
    <w:rsid w:val="003041C3"/>
    <w:rsid w:val="00305A9C"/>
    <w:rsid w:val="00305CC1"/>
    <w:rsid w:val="00310B7E"/>
    <w:rsid w:val="00310CC5"/>
    <w:rsid w:val="00313B30"/>
    <w:rsid w:val="003208C8"/>
    <w:rsid w:val="00321593"/>
    <w:rsid w:val="003238F8"/>
    <w:rsid w:val="00323D54"/>
    <w:rsid w:val="00327D0B"/>
    <w:rsid w:val="00330B2C"/>
    <w:rsid w:val="00330CF1"/>
    <w:rsid w:val="00332BC1"/>
    <w:rsid w:val="0033478B"/>
    <w:rsid w:val="00335D0E"/>
    <w:rsid w:val="00336999"/>
    <w:rsid w:val="00336D49"/>
    <w:rsid w:val="00341255"/>
    <w:rsid w:val="003439FF"/>
    <w:rsid w:val="00347067"/>
    <w:rsid w:val="00354CFC"/>
    <w:rsid w:val="00355026"/>
    <w:rsid w:val="00361364"/>
    <w:rsid w:val="00362BD3"/>
    <w:rsid w:val="00364CCC"/>
    <w:rsid w:val="003654B2"/>
    <w:rsid w:val="00365701"/>
    <w:rsid w:val="0036702F"/>
    <w:rsid w:val="0037022B"/>
    <w:rsid w:val="00382690"/>
    <w:rsid w:val="00383D2E"/>
    <w:rsid w:val="00385172"/>
    <w:rsid w:val="00385DEE"/>
    <w:rsid w:val="00387E5A"/>
    <w:rsid w:val="00390CA3"/>
    <w:rsid w:val="003A18F0"/>
    <w:rsid w:val="003A4DF4"/>
    <w:rsid w:val="003A66C4"/>
    <w:rsid w:val="003A7680"/>
    <w:rsid w:val="003A7D60"/>
    <w:rsid w:val="003B36F4"/>
    <w:rsid w:val="003B49CD"/>
    <w:rsid w:val="003B65C4"/>
    <w:rsid w:val="003B7308"/>
    <w:rsid w:val="003C6B2D"/>
    <w:rsid w:val="003C6DFD"/>
    <w:rsid w:val="003C7BFA"/>
    <w:rsid w:val="003D3337"/>
    <w:rsid w:val="003D626D"/>
    <w:rsid w:val="003D723D"/>
    <w:rsid w:val="003E09D1"/>
    <w:rsid w:val="003E10EF"/>
    <w:rsid w:val="003E347F"/>
    <w:rsid w:val="003E660E"/>
    <w:rsid w:val="003E6B70"/>
    <w:rsid w:val="003F2DFD"/>
    <w:rsid w:val="003F3F4D"/>
    <w:rsid w:val="003F612F"/>
    <w:rsid w:val="00402A21"/>
    <w:rsid w:val="00403DF9"/>
    <w:rsid w:val="0040584A"/>
    <w:rsid w:val="004100C0"/>
    <w:rsid w:val="00411770"/>
    <w:rsid w:val="00412E5D"/>
    <w:rsid w:val="00416D75"/>
    <w:rsid w:val="00426997"/>
    <w:rsid w:val="00427CA9"/>
    <w:rsid w:val="0043266E"/>
    <w:rsid w:val="00432AE7"/>
    <w:rsid w:val="0044073D"/>
    <w:rsid w:val="00443EB6"/>
    <w:rsid w:val="004455FD"/>
    <w:rsid w:val="00450C3E"/>
    <w:rsid w:val="00451272"/>
    <w:rsid w:val="00453741"/>
    <w:rsid w:val="004669B0"/>
    <w:rsid w:val="00470629"/>
    <w:rsid w:val="00477144"/>
    <w:rsid w:val="00480031"/>
    <w:rsid w:val="0048325C"/>
    <w:rsid w:val="004835DF"/>
    <w:rsid w:val="004854AC"/>
    <w:rsid w:val="00487043"/>
    <w:rsid w:val="00490DFE"/>
    <w:rsid w:val="00493A8C"/>
    <w:rsid w:val="00495577"/>
    <w:rsid w:val="004962A5"/>
    <w:rsid w:val="00497633"/>
    <w:rsid w:val="004A36DC"/>
    <w:rsid w:val="004A4E9B"/>
    <w:rsid w:val="004A613E"/>
    <w:rsid w:val="004B161F"/>
    <w:rsid w:val="004B3526"/>
    <w:rsid w:val="004C3BCF"/>
    <w:rsid w:val="004C3EC6"/>
    <w:rsid w:val="004C4620"/>
    <w:rsid w:val="004C4657"/>
    <w:rsid w:val="004C767D"/>
    <w:rsid w:val="004D0AB5"/>
    <w:rsid w:val="004D1D08"/>
    <w:rsid w:val="004D1F5E"/>
    <w:rsid w:val="004D544F"/>
    <w:rsid w:val="004D5E14"/>
    <w:rsid w:val="004D638F"/>
    <w:rsid w:val="004E4165"/>
    <w:rsid w:val="004E499D"/>
    <w:rsid w:val="004E6417"/>
    <w:rsid w:val="004E7376"/>
    <w:rsid w:val="004F2171"/>
    <w:rsid w:val="004F391C"/>
    <w:rsid w:val="004F3B7A"/>
    <w:rsid w:val="00504ACF"/>
    <w:rsid w:val="00504F64"/>
    <w:rsid w:val="00506F9B"/>
    <w:rsid w:val="00510208"/>
    <w:rsid w:val="00513C84"/>
    <w:rsid w:val="00514A80"/>
    <w:rsid w:val="00516B61"/>
    <w:rsid w:val="0051729F"/>
    <w:rsid w:val="005204CF"/>
    <w:rsid w:val="00521C9B"/>
    <w:rsid w:val="0052239E"/>
    <w:rsid w:val="00523C9F"/>
    <w:rsid w:val="00526540"/>
    <w:rsid w:val="005323BB"/>
    <w:rsid w:val="00532D57"/>
    <w:rsid w:val="0053456A"/>
    <w:rsid w:val="00541CFA"/>
    <w:rsid w:val="005453E4"/>
    <w:rsid w:val="00546D78"/>
    <w:rsid w:val="00552BD5"/>
    <w:rsid w:val="00552F85"/>
    <w:rsid w:val="005540D8"/>
    <w:rsid w:val="00554234"/>
    <w:rsid w:val="005560DC"/>
    <w:rsid w:val="00556DEF"/>
    <w:rsid w:val="0055719C"/>
    <w:rsid w:val="00562CD5"/>
    <w:rsid w:val="00564318"/>
    <w:rsid w:val="00565124"/>
    <w:rsid w:val="00567573"/>
    <w:rsid w:val="00567BB2"/>
    <w:rsid w:val="00571C6F"/>
    <w:rsid w:val="00571CEB"/>
    <w:rsid w:val="00571D2A"/>
    <w:rsid w:val="00574449"/>
    <w:rsid w:val="00574A04"/>
    <w:rsid w:val="005776A3"/>
    <w:rsid w:val="00577B7B"/>
    <w:rsid w:val="0058763A"/>
    <w:rsid w:val="005902A6"/>
    <w:rsid w:val="0059030B"/>
    <w:rsid w:val="00594A5A"/>
    <w:rsid w:val="005A1AB6"/>
    <w:rsid w:val="005A2849"/>
    <w:rsid w:val="005A3BDA"/>
    <w:rsid w:val="005A42B8"/>
    <w:rsid w:val="005A6113"/>
    <w:rsid w:val="005A68FB"/>
    <w:rsid w:val="005B092B"/>
    <w:rsid w:val="005B0BBA"/>
    <w:rsid w:val="005B2ACE"/>
    <w:rsid w:val="005B7F3C"/>
    <w:rsid w:val="005C0E92"/>
    <w:rsid w:val="005C448B"/>
    <w:rsid w:val="005C6D87"/>
    <w:rsid w:val="005D2F76"/>
    <w:rsid w:val="005D3437"/>
    <w:rsid w:val="005D5709"/>
    <w:rsid w:val="005E55E5"/>
    <w:rsid w:val="005E62DE"/>
    <w:rsid w:val="005F002A"/>
    <w:rsid w:val="005F59B1"/>
    <w:rsid w:val="005F6FF6"/>
    <w:rsid w:val="00600E63"/>
    <w:rsid w:val="006020B3"/>
    <w:rsid w:val="00602319"/>
    <w:rsid w:val="00602E19"/>
    <w:rsid w:val="006053CB"/>
    <w:rsid w:val="00605EF2"/>
    <w:rsid w:val="006063EB"/>
    <w:rsid w:val="00607D5C"/>
    <w:rsid w:val="006110F6"/>
    <w:rsid w:val="00612F23"/>
    <w:rsid w:val="006227FB"/>
    <w:rsid w:val="00626C6C"/>
    <w:rsid w:val="00636E66"/>
    <w:rsid w:val="006426EE"/>
    <w:rsid w:val="006427D7"/>
    <w:rsid w:val="00645B90"/>
    <w:rsid w:val="0064708C"/>
    <w:rsid w:val="00650099"/>
    <w:rsid w:val="00651567"/>
    <w:rsid w:val="006537DC"/>
    <w:rsid w:val="00655012"/>
    <w:rsid w:val="00655090"/>
    <w:rsid w:val="0066658B"/>
    <w:rsid w:val="0066702B"/>
    <w:rsid w:val="00667C2E"/>
    <w:rsid w:val="00674A00"/>
    <w:rsid w:val="006805AD"/>
    <w:rsid w:val="00680F87"/>
    <w:rsid w:val="00684E38"/>
    <w:rsid w:val="00686D72"/>
    <w:rsid w:val="0069141D"/>
    <w:rsid w:val="00693BBB"/>
    <w:rsid w:val="00695162"/>
    <w:rsid w:val="0069691D"/>
    <w:rsid w:val="006A6C11"/>
    <w:rsid w:val="006A74F0"/>
    <w:rsid w:val="006B0E96"/>
    <w:rsid w:val="006C07BB"/>
    <w:rsid w:val="006C0F27"/>
    <w:rsid w:val="006C1FAC"/>
    <w:rsid w:val="006C65D3"/>
    <w:rsid w:val="006C65E4"/>
    <w:rsid w:val="006D1255"/>
    <w:rsid w:val="006D183A"/>
    <w:rsid w:val="006D3C81"/>
    <w:rsid w:val="006D7FCA"/>
    <w:rsid w:val="006E3EBE"/>
    <w:rsid w:val="006F4B64"/>
    <w:rsid w:val="00701AB3"/>
    <w:rsid w:val="00702613"/>
    <w:rsid w:val="00706F5C"/>
    <w:rsid w:val="007072FF"/>
    <w:rsid w:val="00710135"/>
    <w:rsid w:val="00710469"/>
    <w:rsid w:val="00712651"/>
    <w:rsid w:val="00714604"/>
    <w:rsid w:val="00714CF9"/>
    <w:rsid w:val="0071709F"/>
    <w:rsid w:val="0072287F"/>
    <w:rsid w:val="00723B14"/>
    <w:rsid w:val="0072761E"/>
    <w:rsid w:val="007276A1"/>
    <w:rsid w:val="00730879"/>
    <w:rsid w:val="00732B64"/>
    <w:rsid w:val="007333C4"/>
    <w:rsid w:val="00737F3C"/>
    <w:rsid w:val="00741CB0"/>
    <w:rsid w:val="0074610C"/>
    <w:rsid w:val="00747913"/>
    <w:rsid w:val="00752272"/>
    <w:rsid w:val="00753BB7"/>
    <w:rsid w:val="00756D64"/>
    <w:rsid w:val="007603C9"/>
    <w:rsid w:val="00763D99"/>
    <w:rsid w:val="00764E91"/>
    <w:rsid w:val="0076643A"/>
    <w:rsid w:val="00772E9C"/>
    <w:rsid w:val="00783F3A"/>
    <w:rsid w:val="00784B6E"/>
    <w:rsid w:val="00786FCF"/>
    <w:rsid w:val="0079057B"/>
    <w:rsid w:val="0079244E"/>
    <w:rsid w:val="00792D08"/>
    <w:rsid w:val="007933BF"/>
    <w:rsid w:val="007A001D"/>
    <w:rsid w:val="007A5F86"/>
    <w:rsid w:val="007B15F9"/>
    <w:rsid w:val="007B3CFC"/>
    <w:rsid w:val="007B5F8A"/>
    <w:rsid w:val="007B7733"/>
    <w:rsid w:val="007C2560"/>
    <w:rsid w:val="007C4D94"/>
    <w:rsid w:val="007C684F"/>
    <w:rsid w:val="007D0B0D"/>
    <w:rsid w:val="007D7865"/>
    <w:rsid w:val="007D79D5"/>
    <w:rsid w:val="007E098F"/>
    <w:rsid w:val="007E4003"/>
    <w:rsid w:val="007E7AB5"/>
    <w:rsid w:val="007F0691"/>
    <w:rsid w:val="007F179D"/>
    <w:rsid w:val="007F3296"/>
    <w:rsid w:val="007F3FED"/>
    <w:rsid w:val="007F6A73"/>
    <w:rsid w:val="0080484E"/>
    <w:rsid w:val="00810B5E"/>
    <w:rsid w:val="00831002"/>
    <w:rsid w:val="0083598F"/>
    <w:rsid w:val="00842702"/>
    <w:rsid w:val="00843757"/>
    <w:rsid w:val="00846061"/>
    <w:rsid w:val="00847E3B"/>
    <w:rsid w:val="0085015C"/>
    <w:rsid w:val="00852010"/>
    <w:rsid w:val="00855729"/>
    <w:rsid w:val="008571BF"/>
    <w:rsid w:val="00857C0A"/>
    <w:rsid w:val="008601A2"/>
    <w:rsid w:val="00861033"/>
    <w:rsid w:val="00862291"/>
    <w:rsid w:val="00866C9E"/>
    <w:rsid w:val="00866EE0"/>
    <w:rsid w:val="00867729"/>
    <w:rsid w:val="008745B1"/>
    <w:rsid w:val="00875696"/>
    <w:rsid w:val="008759F5"/>
    <w:rsid w:val="00875AC3"/>
    <w:rsid w:val="00877B0A"/>
    <w:rsid w:val="00880DEC"/>
    <w:rsid w:val="00885585"/>
    <w:rsid w:val="008864EF"/>
    <w:rsid w:val="0089177D"/>
    <w:rsid w:val="00894B76"/>
    <w:rsid w:val="00895347"/>
    <w:rsid w:val="00896128"/>
    <w:rsid w:val="00897232"/>
    <w:rsid w:val="00897A4F"/>
    <w:rsid w:val="00897E4F"/>
    <w:rsid w:val="008A031E"/>
    <w:rsid w:val="008A46EC"/>
    <w:rsid w:val="008A509B"/>
    <w:rsid w:val="008A55CA"/>
    <w:rsid w:val="008B0206"/>
    <w:rsid w:val="008B06D8"/>
    <w:rsid w:val="008B2471"/>
    <w:rsid w:val="008B3563"/>
    <w:rsid w:val="008B3A4B"/>
    <w:rsid w:val="008B71DB"/>
    <w:rsid w:val="008C13FC"/>
    <w:rsid w:val="008C161F"/>
    <w:rsid w:val="008C1C5E"/>
    <w:rsid w:val="008C236B"/>
    <w:rsid w:val="008C2C88"/>
    <w:rsid w:val="008C6136"/>
    <w:rsid w:val="008D2928"/>
    <w:rsid w:val="008D3882"/>
    <w:rsid w:val="008D50D4"/>
    <w:rsid w:val="008D7A09"/>
    <w:rsid w:val="008E111F"/>
    <w:rsid w:val="008E2277"/>
    <w:rsid w:val="008E61B6"/>
    <w:rsid w:val="008E65EE"/>
    <w:rsid w:val="008E69CC"/>
    <w:rsid w:val="008F0CA8"/>
    <w:rsid w:val="008F2381"/>
    <w:rsid w:val="008F614C"/>
    <w:rsid w:val="009023E8"/>
    <w:rsid w:val="0090280F"/>
    <w:rsid w:val="009031BC"/>
    <w:rsid w:val="00904275"/>
    <w:rsid w:val="00905545"/>
    <w:rsid w:val="00906602"/>
    <w:rsid w:val="009118EB"/>
    <w:rsid w:val="00915388"/>
    <w:rsid w:val="00915771"/>
    <w:rsid w:val="00915B5B"/>
    <w:rsid w:val="0092117B"/>
    <w:rsid w:val="00921EB1"/>
    <w:rsid w:val="00922D5E"/>
    <w:rsid w:val="00923867"/>
    <w:rsid w:val="009241F7"/>
    <w:rsid w:val="009275EA"/>
    <w:rsid w:val="00935A29"/>
    <w:rsid w:val="00937143"/>
    <w:rsid w:val="00941469"/>
    <w:rsid w:val="009423DD"/>
    <w:rsid w:val="00946EB3"/>
    <w:rsid w:val="0095317A"/>
    <w:rsid w:val="00962DDC"/>
    <w:rsid w:val="0096503A"/>
    <w:rsid w:val="00967811"/>
    <w:rsid w:val="0097088A"/>
    <w:rsid w:val="00972429"/>
    <w:rsid w:val="00974800"/>
    <w:rsid w:val="00977470"/>
    <w:rsid w:val="00977B98"/>
    <w:rsid w:val="009800F9"/>
    <w:rsid w:val="009802FB"/>
    <w:rsid w:val="009813F3"/>
    <w:rsid w:val="009818AE"/>
    <w:rsid w:val="00981BBB"/>
    <w:rsid w:val="00983767"/>
    <w:rsid w:val="009851E9"/>
    <w:rsid w:val="009853FF"/>
    <w:rsid w:val="0098644E"/>
    <w:rsid w:val="009904AE"/>
    <w:rsid w:val="009A1E94"/>
    <w:rsid w:val="009A3B75"/>
    <w:rsid w:val="009A3F33"/>
    <w:rsid w:val="009B271A"/>
    <w:rsid w:val="009B4B16"/>
    <w:rsid w:val="009B7276"/>
    <w:rsid w:val="009C421E"/>
    <w:rsid w:val="009C5C5A"/>
    <w:rsid w:val="009C6A83"/>
    <w:rsid w:val="009D01A9"/>
    <w:rsid w:val="009D0D91"/>
    <w:rsid w:val="009D5C77"/>
    <w:rsid w:val="009D62A8"/>
    <w:rsid w:val="009E128D"/>
    <w:rsid w:val="009E3DFA"/>
    <w:rsid w:val="009E470E"/>
    <w:rsid w:val="009E4A30"/>
    <w:rsid w:val="009E5318"/>
    <w:rsid w:val="009F0321"/>
    <w:rsid w:val="009F1B20"/>
    <w:rsid w:val="009F22BB"/>
    <w:rsid w:val="009F2604"/>
    <w:rsid w:val="009F2F81"/>
    <w:rsid w:val="009F6699"/>
    <w:rsid w:val="00A04BBD"/>
    <w:rsid w:val="00A11E43"/>
    <w:rsid w:val="00A171C5"/>
    <w:rsid w:val="00A21C16"/>
    <w:rsid w:val="00A23AB8"/>
    <w:rsid w:val="00A24319"/>
    <w:rsid w:val="00A3264F"/>
    <w:rsid w:val="00A32AFD"/>
    <w:rsid w:val="00A36895"/>
    <w:rsid w:val="00A37BD3"/>
    <w:rsid w:val="00A41761"/>
    <w:rsid w:val="00A427C5"/>
    <w:rsid w:val="00A42AA8"/>
    <w:rsid w:val="00A42EEF"/>
    <w:rsid w:val="00A435CC"/>
    <w:rsid w:val="00A44BEC"/>
    <w:rsid w:val="00A506F7"/>
    <w:rsid w:val="00A60190"/>
    <w:rsid w:val="00A611F5"/>
    <w:rsid w:val="00A640D9"/>
    <w:rsid w:val="00A66815"/>
    <w:rsid w:val="00A6716C"/>
    <w:rsid w:val="00A745D1"/>
    <w:rsid w:val="00A830D5"/>
    <w:rsid w:val="00A84774"/>
    <w:rsid w:val="00A86332"/>
    <w:rsid w:val="00A86DC5"/>
    <w:rsid w:val="00A876B9"/>
    <w:rsid w:val="00A87904"/>
    <w:rsid w:val="00A87BF2"/>
    <w:rsid w:val="00A9198F"/>
    <w:rsid w:val="00A92A6B"/>
    <w:rsid w:val="00A94006"/>
    <w:rsid w:val="00A96EF2"/>
    <w:rsid w:val="00A97907"/>
    <w:rsid w:val="00AA4768"/>
    <w:rsid w:val="00AA4E1E"/>
    <w:rsid w:val="00AA63A0"/>
    <w:rsid w:val="00AB02E9"/>
    <w:rsid w:val="00AB1E5F"/>
    <w:rsid w:val="00AB48B3"/>
    <w:rsid w:val="00AB5806"/>
    <w:rsid w:val="00AC31C5"/>
    <w:rsid w:val="00AC38D0"/>
    <w:rsid w:val="00AD1F35"/>
    <w:rsid w:val="00AD2764"/>
    <w:rsid w:val="00AD6AC1"/>
    <w:rsid w:val="00AD7DD5"/>
    <w:rsid w:val="00AE1A9E"/>
    <w:rsid w:val="00AE1E1B"/>
    <w:rsid w:val="00AE2F5F"/>
    <w:rsid w:val="00AF0E7B"/>
    <w:rsid w:val="00AF1E40"/>
    <w:rsid w:val="00AF1E75"/>
    <w:rsid w:val="00AF2292"/>
    <w:rsid w:val="00AF34F7"/>
    <w:rsid w:val="00B0175C"/>
    <w:rsid w:val="00B03AE2"/>
    <w:rsid w:val="00B06994"/>
    <w:rsid w:val="00B06CBC"/>
    <w:rsid w:val="00B07279"/>
    <w:rsid w:val="00B1062B"/>
    <w:rsid w:val="00B12E52"/>
    <w:rsid w:val="00B14BC6"/>
    <w:rsid w:val="00B15103"/>
    <w:rsid w:val="00B1521E"/>
    <w:rsid w:val="00B155CA"/>
    <w:rsid w:val="00B228F7"/>
    <w:rsid w:val="00B23488"/>
    <w:rsid w:val="00B26299"/>
    <w:rsid w:val="00B27A85"/>
    <w:rsid w:val="00B35886"/>
    <w:rsid w:val="00B36B49"/>
    <w:rsid w:val="00B377F4"/>
    <w:rsid w:val="00B410CE"/>
    <w:rsid w:val="00B43AB4"/>
    <w:rsid w:val="00B52AE5"/>
    <w:rsid w:val="00B53619"/>
    <w:rsid w:val="00B53870"/>
    <w:rsid w:val="00B54CBC"/>
    <w:rsid w:val="00B6446B"/>
    <w:rsid w:val="00B64681"/>
    <w:rsid w:val="00B64F53"/>
    <w:rsid w:val="00B65298"/>
    <w:rsid w:val="00B6568B"/>
    <w:rsid w:val="00B66FF9"/>
    <w:rsid w:val="00B730D9"/>
    <w:rsid w:val="00B73434"/>
    <w:rsid w:val="00B73712"/>
    <w:rsid w:val="00B7580D"/>
    <w:rsid w:val="00B75A72"/>
    <w:rsid w:val="00B82997"/>
    <w:rsid w:val="00B853D6"/>
    <w:rsid w:val="00B867C0"/>
    <w:rsid w:val="00B90162"/>
    <w:rsid w:val="00B901B8"/>
    <w:rsid w:val="00B90DA2"/>
    <w:rsid w:val="00B94BD6"/>
    <w:rsid w:val="00B94CA3"/>
    <w:rsid w:val="00B97D29"/>
    <w:rsid w:val="00BA0AE5"/>
    <w:rsid w:val="00BA157F"/>
    <w:rsid w:val="00BA2B8C"/>
    <w:rsid w:val="00BA594E"/>
    <w:rsid w:val="00BA5E93"/>
    <w:rsid w:val="00BA60D1"/>
    <w:rsid w:val="00BA6356"/>
    <w:rsid w:val="00BA7BC4"/>
    <w:rsid w:val="00BA7E1D"/>
    <w:rsid w:val="00BB226E"/>
    <w:rsid w:val="00BB45DF"/>
    <w:rsid w:val="00BB4C57"/>
    <w:rsid w:val="00BB5F26"/>
    <w:rsid w:val="00BB6702"/>
    <w:rsid w:val="00BB72BA"/>
    <w:rsid w:val="00BB7EB1"/>
    <w:rsid w:val="00BC2106"/>
    <w:rsid w:val="00BC3E3F"/>
    <w:rsid w:val="00BC5C4F"/>
    <w:rsid w:val="00BD0D4B"/>
    <w:rsid w:val="00BD4144"/>
    <w:rsid w:val="00BD54D4"/>
    <w:rsid w:val="00BD5DA5"/>
    <w:rsid w:val="00BD7846"/>
    <w:rsid w:val="00BE056D"/>
    <w:rsid w:val="00BE16F3"/>
    <w:rsid w:val="00BE2976"/>
    <w:rsid w:val="00BE6A58"/>
    <w:rsid w:val="00BF034B"/>
    <w:rsid w:val="00BF17E3"/>
    <w:rsid w:val="00BF2D74"/>
    <w:rsid w:val="00BF43D6"/>
    <w:rsid w:val="00BF5DF3"/>
    <w:rsid w:val="00BF6664"/>
    <w:rsid w:val="00BF7029"/>
    <w:rsid w:val="00C01096"/>
    <w:rsid w:val="00C01FBB"/>
    <w:rsid w:val="00C0428E"/>
    <w:rsid w:val="00C11D28"/>
    <w:rsid w:val="00C12FA5"/>
    <w:rsid w:val="00C15597"/>
    <w:rsid w:val="00C20ADB"/>
    <w:rsid w:val="00C21783"/>
    <w:rsid w:val="00C23691"/>
    <w:rsid w:val="00C264E2"/>
    <w:rsid w:val="00C27966"/>
    <w:rsid w:val="00C36400"/>
    <w:rsid w:val="00C37204"/>
    <w:rsid w:val="00C40FEE"/>
    <w:rsid w:val="00C43646"/>
    <w:rsid w:val="00C45F4D"/>
    <w:rsid w:val="00C46F47"/>
    <w:rsid w:val="00C513B6"/>
    <w:rsid w:val="00C5180F"/>
    <w:rsid w:val="00C5341D"/>
    <w:rsid w:val="00C5367A"/>
    <w:rsid w:val="00C5389E"/>
    <w:rsid w:val="00C53EF6"/>
    <w:rsid w:val="00C640B3"/>
    <w:rsid w:val="00C66A8E"/>
    <w:rsid w:val="00C707DE"/>
    <w:rsid w:val="00C70D58"/>
    <w:rsid w:val="00C71712"/>
    <w:rsid w:val="00C71E61"/>
    <w:rsid w:val="00C73260"/>
    <w:rsid w:val="00C73419"/>
    <w:rsid w:val="00C76754"/>
    <w:rsid w:val="00C76F8B"/>
    <w:rsid w:val="00C830B9"/>
    <w:rsid w:val="00C85CA0"/>
    <w:rsid w:val="00C86101"/>
    <w:rsid w:val="00C864CE"/>
    <w:rsid w:val="00C920CF"/>
    <w:rsid w:val="00C936F7"/>
    <w:rsid w:val="00C93771"/>
    <w:rsid w:val="00C96C5C"/>
    <w:rsid w:val="00CA2A11"/>
    <w:rsid w:val="00CA4630"/>
    <w:rsid w:val="00CC38BC"/>
    <w:rsid w:val="00CD1CFF"/>
    <w:rsid w:val="00CD2B68"/>
    <w:rsid w:val="00CD3ED1"/>
    <w:rsid w:val="00CD47BF"/>
    <w:rsid w:val="00CD696F"/>
    <w:rsid w:val="00CD75E9"/>
    <w:rsid w:val="00CE4E47"/>
    <w:rsid w:val="00CE5163"/>
    <w:rsid w:val="00CF4DDB"/>
    <w:rsid w:val="00CF550B"/>
    <w:rsid w:val="00D0494E"/>
    <w:rsid w:val="00D13822"/>
    <w:rsid w:val="00D14429"/>
    <w:rsid w:val="00D14864"/>
    <w:rsid w:val="00D16181"/>
    <w:rsid w:val="00D16D68"/>
    <w:rsid w:val="00D223D6"/>
    <w:rsid w:val="00D22563"/>
    <w:rsid w:val="00D35BFA"/>
    <w:rsid w:val="00D37166"/>
    <w:rsid w:val="00D434E8"/>
    <w:rsid w:val="00D43579"/>
    <w:rsid w:val="00D436A4"/>
    <w:rsid w:val="00D46F76"/>
    <w:rsid w:val="00D47739"/>
    <w:rsid w:val="00D52061"/>
    <w:rsid w:val="00D60362"/>
    <w:rsid w:val="00D62837"/>
    <w:rsid w:val="00D63E59"/>
    <w:rsid w:val="00D70A23"/>
    <w:rsid w:val="00D70AE1"/>
    <w:rsid w:val="00D70AE7"/>
    <w:rsid w:val="00D728C1"/>
    <w:rsid w:val="00D75B9E"/>
    <w:rsid w:val="00D77AB3"/>
    <w:rsid w:val="00D801D1"/>
    <w:rsid w:val="00D82190"/>
    <w:rsid w:val="00D8294D"/>
    <w:rsid w:val="00D82C28"/>
    <w:rsid w:val="00D860E0"/>
    <w:rsid w:val="00D874DC"/>
    <w:rsid w:val="00D9236A"/>
    <w:rsid w:val="00D9290F"/>
    <w:rsid w:val="00D92B27"/>
    <w:rsid w:val="00D957CD"/>
    <w:rsid w:val="00D973C1"/>
    <w:rsid w:val="00DA600F"/>
    <w:rsid w:val="00DB6381"/>
    <w:rsid w:val="00DB7ED6"/>
    <w:rsid w:val="00DC565C"/>
    <w:rsid w:val="00DC5912"/>
    <w:rsid w:val="00DC6EC6"/>
    <w:rsid w:val="00DD326E"/>
    <w:rsid w:val="00DD53E2"/>
    <w:rsid w:val="00DE0546"/>
    <w:rsid w:val="00DE0E76"/>
    <w:rsid w:val="00DE3FD2"/>
    <w:rsid w:val="00DE4DA8"/>
    <w:rsid w:val="00DE5084"/>
    <w:rsid w:val="00DE6547"/>
    <w:rsid w:val="00DE66C5"/>
    <w:rsid w:val="00DE733A"/>
    <w:rsid w:val="00DF2209"/>
    <w:rsid w:val="00DF4295"/>
    <w:rsid w:val="00DF436E"/>
    <w:rsid w:val="00DF4FF4"/>
    <w:rsid w:val="00DF5A22"/>
    <w:rsid w:val="00DF7C70"/>
    <w:rsid w:val="00E0104F"/>
    <w:rsid w:val="00E016B0"/>
    <w:rsid w:val="00E053EE"/>
    <w:rsid w:val="00E072DA"/>
    <w:rsid w:val="00E100AD"/>
    <w:rsid w:val="00E10ADB"/>
    <w:rsid w:val="00E12001"/>
    <w:rsid w:val="00E142D3"/>
    <w:rsid w:val="00E14B00"/>
    <w:rsid w:val="00E15FD8"/>
    <w:rsid w:val="00E2069C"/>
    <w:rsid w:val="00E22094"/>
    <w:rsid w:val="00E23073"/>
    <w:rsid w:val="00E27D7E"/>
    <w:rsid w:val="00E3267C"/>
    <w:rsid w:val="00E34E44"/>
    <w:rsid w:val="00E372AA"/>
    <w:rsid w:val="00E41148"/>
    <w:rsid w:val="00E462B1"/>
    <w:rsid w:val="00E46786"/>
    <w:rsid w:val="00E47FC1"/>
    <w:rsid w:val="00E5084A"/>
    <w:rsid w:val="00E50874"/>
    <w:rsid w:val="00E516E7"/>
    <w:rsid w:val="00E55C13"/>
    <w:rsid w:val="00E56068"/>
    <w:rsid w:val="00E61E59"/>
    <w:rsid w:val="00E64B5C"/>
    <w:rsid w:val="00E65B61"/>
    <w:rsid w:val="00E672B7"/>
    <w:rsid w:val="00E701AD"/>
    <w:rsid w:val="00E75F66"/>
    <w:rsid w:val="00E7702E"/>
    <w:rsid w:val="00E77379"/>
    <w:rsid w:val="00E80386"/>
    <w:rsid w:val="00E81E65"/>
    <w:rsid w:val="00E85CD5"/>
    <w:rsid w:val="00E87993"/>
    <w:rsid w:val="00E948D8"/>
    <w:rsid w:val="00EA11C6"/>
    <w:rsid w:val="00EA278E"/>
    <w:rsid w:val="00EA68C8"/>
    <w:rsid w:val="00EB36CC"/>
    <w:rsid w:val="00EB5929"/>
    <w:rsid w:val="00EB60E8"/>
    <w:rsid w:val="00EB6CD1"/>
    <w:rsid w:val="00EB6E78"/>
    <w:rsid w:val="00EB7859"/>
    <w:rsid w:val="00EC0406"/>
    <w:rsid w:val="00EC3776"/>
    <w:rsid w:val="00EC3779"/>
    <w:rsid w:val="00EC4ACE"/>
    <w:rsid w:val="00EC581D"/>
    <w:rsid w:val="00EC5A09"/>
    <w:rsid w:val="00EC62BA"/>
    <w:rsid w:val="00EC7B2C"/>
    <w:rsid w:val="00ED1FB6"/>
    <w:rsid w:val="00ED50C0"/>
    <w:rsid w:val="00ED7091"/>
    <w:rsid w:val="00EE4E08"/>
    <w:rsid w:val="00EE5505"/>
    <w:rsid w:val="00EE56C8"/>
    <w:rsid w:val="00EE582F"/>
    <w:rsid w:val="00EE66C0"/>
    <w:rsid w:val="00EF2508"/>
    <w:rsid w:val="00EF28A6"/>
    <w:rsid w:val="00EF29D7"/>
    <w:rsid w:val="00EF5082"/>
    <w:rsid w:val="00EF7469"/>
    <w:rsid w:val="00F014A5"/>
    <w:rsid w:val="00F02D35"/>
    <w:rsid w:val="00F1014B"/>
    <w:rsid w:val="00F31146"/>
    <w:rsid w:val="00F327E4"/>
    <w:rsid w:val="00F32FDE"/>
    <w:rsid w:val="00F34DD2"/>
    <w:rsid w:val="00F35EE3"/>
    <w:rsid w:val="00F4140A"/>
    <w:rsid w:val="00F42B91"/>
    <w:rsid w:val="00F435B2"/>
    <w:rsid w:val="00F45800"/>
    <w:rsid w:val="00F538EE"/>
    <w:rsid w:val="00F54DD7"/>
    <w:rsid w:val="00F55237"/>
    <w:rsid w:val="00F60038"/>
    <w:rsid w:val="00F61347"/>
    <w:rsid w:val="00F6332C"/>
    <w:rsid w:val="00F64F98"/>
    <w:rsid w:val="00F676B5"/>
    <w:rsid w:val="00F67E58"/>
    <w:rsid w:val="00F709DA"/>
    <w:rsid w:val="00F73D06"/>
    <w:rsid w:val="00F75675"/>
    <w:rsid w:val="00F76A8C"/>
    <w:rsid w:val="00F81ECF"/>
    <w:rsid w:val="00F83311"/>
    <w:rsid w:val="00F834A1"/>
    <w:rsid w:val="00F87264"/>
    <w:rsid w:val="00F931D0"/>
    <w:rsid w:val="00F94DE3"/>
    <w:rsid w:val="00F952C5"/>
    <w:rsid w:val="00FA1E1E"/>
    <w:rsid w:val="00FA3F86"/>
    <w:rsid w:val="00FA7CAC"/>
    <w:rsid w:val="00FB294C"/>
    <w:rsid w:val="00FB4180"/>
    <w:rsid w:val="00FB67DD"/>
    <w:rsid w:val="00FC0806"/>
    <w:rsid w:val="00FC2B56"/>
    <w:rsid w:val="00FD1F60"/>
    <w:rsid w:val="00FD29B1"/>
    <w:rsid w:val="00FE0214"/>
    <w:rsid w:val="00FE0AD4"/>
    <w:rsid w:val="00FE1529"/>
    <w:rsid w:val="00FE17DC"/>
    <w:rsid w:val="00FE3738"/>
    <w:rsid w:val="00FE56C5"/>
    <w:rsid w:val="00FF09F5"/>
    <w:rsid w:val="00FF11C0"/>
    <w:rsid w:val="00FF4574"/>
    <w:rsid w:val="00FF46AE"/>
    <w:rsid w:val="00FF5AE1"/>
    <w:rsid w:val="00FF75B7"/>
    <w:rsid w:val="3CCE7C8C"/>
    <w:rsid w:val="453B63A1"/>
    <w:rsid w:val="47196E99"/>
    <w:rsid w:val="54D46999"/>
    <w:rsid w:val="737522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endarrow="block"/>
    </o:shapedefaults>
    <o:shapelayout v:ext="edit">
      <o:idmap v:ext="edit" data="1"/>
      <o:rules v:ext="edit">
        <o:r id="V:Rule1" type="connector" idref="#_x0000_s1539"/>
        <o:r id="V:Rule2" type="connector" idref="#_x0000_s1540"/>
        <o:r id="V:Rule3" type="connector" idref="#_x0000_s1541"/>
        <o:r id="V:Rule4" type="connector" idref="#_x0000_s1542"/>
        <o:r id="V:Rule5" type="connector" idref="#_x0000_s1543"/>
        <o:r id="V:Rule6" type="connector" idref="#_x0000_s1592"/>
        <o:r id="V:Rule7" type="connector" idref="#_x0000_s1597"/>
        <o:r id="V:Rule8" type="connector" idref="#_x0000_s1598"/>
        <o:r id="V:Rule9" type="connector" idref="#_x0000_s1599"/>
        <o:r id="V:Rule10" type="connector" idref="#_x0000_s1600"/>
        <o:r id="V:Rule11" type="connector" idref="#_x0000_s1601"/>
        <o:r id="V:Rule12" type="connector" idref="#_x0000_s1602"/>
        <o:r id="V:Rule13" type="connector" idref="#_x0000_s1604"/>
        <o:r id="V:Rule14" type="connector" idref="#_x0000_s1605"/>
        <o:r id="V:Rule15" type="connector" idref="#_x0000_s1608"/>
        <o:r id="V:Rule16" type="connector" idref="#_x0000_s1626"/>
        <o:r id="V:Rule17" type="connector" idref="#_x0000_s1644"/>
        <o:r id="V:Rule18" type="connector" idref="#_x0000_s1645"/>
        <o:r id="V:Rule19" type="connector" idref="#_x0000_s1646"/>
        <o:r id="V:Rule20" type="connector" idref="#_x0000_s1647"/>
        <o:r id="V:Rule21" type="connector" idref="#_x0000_s1648"/>
        <o:r id="V:Rule22" type="connector" idref="#_x0000_s1649"/>
        <o:r id="V:Rule23" type="connector" idref="#_x0000_s1650"/>
        <o:r id="V:Rule24" type="connector" idref="#_x0000_s1651"/>
        <o:r id="V:Rule25" type="connector" idref="#_x0000_s1652"/>
        <o:r id="V:Rule26" type="connector" idref="#_x0000_s1655"/>
        <o:r id="V:Rule27" type="connector" idref="#_x0000_s165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nhideWhenUsed="0" w:uiPriority="0" w:semiHidden="0" w:name="List Bullet 5"/>
    <w:lsdException w:uiPriority="99" w:name="List Number 2"/>
    <w:lsdException w:uiPriority="99" w:name="List Number 3"/>
    <w:lsdException w:unhideWhenUsed="0" w:uiPriority="0" w:semiHidden="0"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34"/>
    <w:qFormat/>
    <w:uiPriority w:val="9"/>
    <w:pPr>
      <w:keepNext/>
      <w:keepLines/>
      <w:spacing w:before="120" w:after="120"/>
      <w:ind w:firstLine="0" w:firstLineChars="0"/>
      <w:jc w:val="center"/>
      <w:outlineLvl w:val="0"/>
    </w:pPr>
    <w:rPr>
      <w:b/>
      <w:bCs/>
      <w:kern w:val="44"/>
      <w:sz w:val="32"/>
      <w:szCs w:val="44"/>
    </w:rPr>
  </w:style>
  <w:style w:type="paragraph" w:styleId="3">
    <w:name w:val="heading 2"/>
    <w:basedOn w:val="1"/>
    <w:next w:val="1"/>
    <w:link w:val="32"/>
    <w:qFormat/>
    <w:uiPriority w:val="9"/>
    <w:pPr>
      <w:keepNext/>
      <w:keepLines/>
      <w:spacing w:before="10" w:after="10"/>
      <w:ind w:firstLine="0" w:firstLineChars="0"/>
      <w:outlineLvl w:val="1"/>
    </w:pPr>
    <w:rPr>
      <w:b/>
      <w:bCs/>
      <w:sz w:val="28"/>
      <w:szCs w:val="32"/>
    </w:rPr>
  </w:style>
  <w:style w:type="paragraph" w:styleId="4">
    <w:name w:val="heading 3"/>
    <w:basedOn w:val="1"/>
    <w:next w:val="1"/>
    <w:link w:val="40"/>
    <w:qFormat/>
    <w:uiPriority w:val="9"/>
    <w:pPr>
      <w:keepNext/>
      <w:keepLines/>
      <w:ind w:firstLine="0" w:firstLineChars="0"/>
      <w:outlineLvl w:val="2"/>
    </w:pPr>
    <w:rPr>
      <w:b/>
      <w:bCs/>
      <w:kern w:val="0"/>
      <w:szCs w:val="32"/>
    </w:rPr>
  </w:style>
  <w:style w:type="paragraph" w:styleId="5">
    <w:name w:val="heading 4"/>
    <w:basedOn w:val="1"/>
    <w:next w:val="1"/>
    <w:link w:val="60"/>
    <w:unhideWhenUsed/>
    <w:qFormat/>
    <w:uiPriority w:val="9"/>
    <w:pPr>
      <w:keepNext/>
      <w:keepLines/>
      <w:spacing w:before="280" w:after="290" w:line="376" w:lineRule="auto"/>
      <w:outlineLvl w:val="3"/>
    </w:pPr>
    <w:rPr>
      <w:rFonts w:ascii="Cambria" w:hAnsi="Cambria"/>
      <w:b/>
      <w:bCs/>
      <w:sz w:val="28"/>
      <w:szCs w:val="28"/>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6">
    <w:name w:val="Normal Indent"/>
    <w:basedOn w:val="1"/>
    <w:link w:val="52"/>
    <w:qFormat/>
    <w:uiPriority w:val="0"/>
    <w:pPr>
      <w:adjustRightInd w:val="0"/>
      <w:spacing w:line="500" w:lineRule="exact"/>
      <w:ind w:firstLine="560"/>
      <w:textAlignment w:val="baseline"/>
    </w:pPr>
    <w:rPr>
      <w:rFonts w:ascii="宋体" w:hAnsi="宋体" w:eastAsia="等线"/>
      <w:kern w:val="0"/>
      <w:sz w:val="28"/>
      <w:szCs w:val="20"/>
    </w:rPr>
  </w:style>
  <w:style w:type="paragraph" w:styleId="7">
    <w:name w:val="annotation text"/>
    <w:basedOn w:val="1"/>
    <w:link w:val="64"/>
    <w:qFormat/>
    <w:uiPriority w:val="0"/>
    <w:pPr>
      <w:spacing w:line="240" w:lineRule="auto"/>
      <w:ind w:firstLine="0" w:firstLineChars="0"/>
      <w:jc w:val="left"/>
    </w:pPr>
    <w:rPr>
      <w:rFonts w:ascii="等线" w:hAnsi="等线"/>
      <w:sz w:val="21"/>
      <w:szCs w:val="24"/>
    </w:rPr>
  </w:style>
  <w:style w:type="paragraph" w:styleId="8">
    <w:name w:val="Body Text"/>
    <w:basedOn w:val="1"/>
    <w:link w:val="46"/>
    <w:qFormat/>
    <w:uiPriority w:val="99"/>
    <w:pPr>
      <w:widowControl/>
      <w:ind w:firstLine="964"/>
      <w:jc w:val="left"/>
    </w:pPr>
    <w:rPr>
      <w:kern w:val="0"/>
      <w:szCs w:val="24"/>
      <w:lang w:eastAsia="en-US" w:bidi="en-US"/>
    </w:rPr>
  </w:style>
  <w:style w:type="paragraph" w:styleId="9">
    <w:name w:val="Body Text Indent"/>
    <w:basedOn w:val="1"/>
    <w:link w:val="47"/>
    <w:semiHidden/>
    <w:unhideWhenUsed/>
    <w:uiPriority w:val="99"/>
    <w:pPr>
      <w:spacing w:after="120"/>
      <w:ind w:left="420" w:leftChars="200"/>
    </w:pPr>
  </w:style>
  <w:style w:type="paragraph" w:styleId="10">
    <w:name w:val="List 2"/>
    <w:basedOn w:val="1"/>
    <w:semiHidden/>
    <w:unhideWhenUsed/>
    <w:uiPriority w:val="99"/>
    <w:pPr>
      <w:ind w:left="100" w:leftChars="200" w:hanging="200" w:hangingChars="200"/>
      <w:contextualSpacing/>
    </w:pPr>
  </w:style>
  <w:style w:type="paragraph" w:styleId="11">
    <w:name w:val="Plain Text"/>
    <w:basedOn w:val="1"/>
    <w:link w:val="50"/>
    <w:uiPriority w:val="0"/>
    <w:pPr>
      <w:spacing w:line="240" w:lineRule="auto"/>
      <w:ind w:firstLine="0" w:firstLineChars="0"/>
    </w:pPr>
    <w:rPr>
      <w:rFonts w:ascii="宋体" w:hAnsi="Courier New" w:eastAsia="仿宋_GB2312"/>
      <w:sz w:val="28"/>
      <w:szCs w:val="20"/>
    </w:rPr>
  </w:style>
  <w:style w:type="paragraph" w:styleId="12">
    <w:name w:val="List Bullet 5"/>
    <w:basedOn w:val="1"/>
    <w:uiPriority w:val="0"/>
    <w:pPr>
      <w:numPr>
        <w:ilvl w:val="0"/>
        <w:numId w:val="1"/>
      </w:numPr>
      <w:spacing w:line="240" w:lineRule="auto"/>
      <w:ind w:firstLine="0" w:firstLineChars="0"/>
    </w:pPr>
    <w:rPr>
      <w:sz w:val="21"/>
      <w:szCs w:val="24"/>
    </w:rPr>
  </w:style>
  <w:style w:type="paragraph" w:styleId="13">
    <w:name w:val="List Number 4"/>
    <w:basedOn w:val="1"/>
    <w:uiPriority w:val="0"/>
    <w:pPr>
      <w:numPr>
        <w:ilvl w:val="0"/>
        <w:numId w:val="2"/>
      </w:numPr>
      <w:spacing w:line="240" w:lineRule="auto"/>
      <w:ind w:firstLine="0" w:firstLineChars="0"/>
    </w:pPr>
    <w:rPr>
      <w:sz w:val="21"/>
      <w:szCs w:val="24"/>
    </w:rPr>
  </w:style>
  <w:style w:type="paragraph" w:styleId="14">
    <w:name w:val="Balloon Text"/>
    <w:basedOn w:val="1"/>
    <w:link w:val="36"/>
    <w:unhideWhenUsed/>
    <w:qFormat/>
    <w:uiPriority w:val="99"/>
    <w:rPr>
      <w:rFonts w:ascii="等线" w:hAnsi="等线" w:eastAsia="等线"/>
      <w:kern w:val="0"/>
      <w:sz w:val="18"/>
      <w:szCs w:val="18"/>
    </w:rPr>
  </w:style>
  <w:style w:type="paragraph" w:styleId="15">
    <w:name w:val="footer"/>
    <w:basedOn w:val="1"/>
    <w:link w:val="33"/>
    <w:unhideWhenUsed/>
    <w:qFormat/>
    <w:uiPriority w:val="99"/>
    <w:pPr>
      <w:tabs>
        <w:tab w:val="center" w:pos="4153"/>
        <w:tab w:val="right" w:pos="8306"/>
      </w:tabs>
      <w:snapToGrid w:val="0"/>
      <w:jc w:val="left"/>
    </w:pPr>
    <w:rPr>
      <w:rFonts w:ascii="等线" w:hAnsi="等线" w:eastAsia="等线"/>
      <w:kern w:val="0"/>
      <w:sz w:val="18"/>
      <w:szCs w:val="18"/>
    </w:rPr>
  </w:style>
  <w:style w:type="paragraph" w:styleId="16">
    <w:name w:val="header"/>
    <w:basedOn w:val="1"/>
    <w:link w:val="35"/>
    <w:unhideWhenUsed/>
    <w:qFormat/>
    <w:uiPriority w:val="99"/>
    <w:pPr>
      <w:pBdr>
        <w:bottom w:val="single" w:color="auto" w:sz="6" w:space="1"/>
      </w:pBdr>
      <w:tabs>
        <w:tab w:val="center" w:pos="4153"/>
        <w:tab w:val="right" w:pos="8306"/>
      </w:tabs>
      <w:snapToGrid w:val="0"/>
      <w:jc w:val="center"/>
    </w:pPr>
    <w:rPr>
      <w:rFonts w:ascii="等线" w:hAnsi="等线" w:eastAsia="等线"/>
      <w:kern w:val="0"/>
      <w:sz w:val="18"/>
      <w:szCs w:val="18"/>
    </w:rPr>
  </w:style>
  <w:style w:type="paragraph" w:styleId="17">
    <w:name w:val="toc 1"/>
    <w:basedOn w:val="1"/>
    <w:next w:val="1"/>
    <w:unhideWhenUsed/>
    <w:uiPriority w:val="39"/>
    <w:pPr>
      <w:tabs>
        <w:tab w:val="right" w:leader="dot" w:pos="8296"/>
      </w:tabs>
      <w:ind w:firstLine="0" w:firstLineChars="0"/>
    </w:pPr>
    <w:rPr>
      <w:b/>
    </w:rPr>
  </w:style>
  <w:style w:type="paragraph" w:styleId="18">
    <w:name w:val="toc 2"/>
    <w:basedOn w:val="1"/>
    <w:next w:val="1"/>
    <w:unhideWhenUsed/>
    <w:uiPriority w:val="39"/>
    <w:pPr>
      <w:ind w:left="420" w:leftChars="200"/>
    </w:pPr>
  </w:style>
  <w:style w:type="paragraph" w:styleId="19">
    <w:name w:val="Normal (Web)"/>
    <w:basedOn w:val="1"/>
    <w:link w:val="59"/>
    <w:unhideWhenUsed/>
    <w:uiPriority w:val="99"/>
    <w:pPr>
      <w:widowControl/>
      <w:spacing w:before="100" w:beforeAutospacing="1" w:after="100" w:afterAutospacing="1" w:line="240" w:lineRule="auto"/>
      <w:ind w:firstLine="0" w:firstLineChars="0"/>
      <w:jc w:val="left"/>
    </w:pPr>
    <w:rPr>
      <w:rFonts w:ascii="宋体" w:hAnsi="宋体"/>
      <w:kern w:val="0"/>
      <w:szCs w:val="24"/>
    </w:rPr>
  </w:style>
  <w:style w:type="paragraph" w:styleId="20">
    <w:name w:val="annotation subject"/>
    <w:basedOn w:val="7"/>
    <w:next w:val="7"/>
    <w:link w:val="66"/>
    <w:semiHidden/>
    <w:unhideWhenUsed/>
    <w:uiPriority w:val="99"/>
    <w:pPr>
      <w:spacing w:line="360" w:lineRule="auto"/>
      <w:ind w:firstLine="200" w:firstLineChars="200"/>
    </w:pPr>
    <w:rPr>
      <w:rFonts w:ascii="Times New Roman" w:hAnsi="Times New Roman"/>
      <w:b/>
      <w:bCs/>
      <w:sz w:val="24"/>
      <w:szCs w:val="22"/>
    </w:rPr>
  </w:style>
  <w:style w:type="paragraph" w:styleId="21">
    <w:name w:val="Body Text First Indent 2"/>
    <w:basedOn w:val="1"/>
    <w:next w:val="1"/>
    <w:link w:val="45"/>
    <w:qFormat/>
    <w:uiPriority w:val="99"/>
    <w:pPr>
      <w:spacing w:after="120" w:line="240" w:lineRule="auto"/>
      <w:ind w:left="420" w:firstLine="210" w:firstLineChars="0"/>
      <w:jc w:val="left"/>
    </w:pPr>
    <w:rPr>
      <w:szCs w:val="24"/>
      <w:lang w:eastAsia="en-US" w:bidi="en-US"/>
    </w:rPr>
  </w:style>
  <w:style w:type="table" w:styleId="23">
    <w:name w:val="Table Grid"/>
    <w:basedOn w:val="2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FollowedHyperlink"/>
    <w:semiHidden/>
    <w:unhideWhenUsed/>
    <w:uiPriority w:val="99"/>
    <w:rPr>
      <w:color w:val="800080"/>
      <w:u w:val="single"/>
    </w:rPr>
  </w:style>
  <w:style w:type="character" w:styleId="26">
    <w:name w:val="Hyperlink"/>
    <w:unhideWhenUsed/>
    <w:uiPriority w:val="99"/>
    <w:rPr>
      <w:color w:val="0000FF"/>
      <w:u w:val="single"/>
    </w:rPr>
  </w:style>
  <w:style w:type="character" w:styleId="27">
    <w:name w:val="annotation reference"/>
    <w:qFormat/>
    <w:uiPriority w:val="0"/>
    <w:rPr>
      <w:sz w:val="21"/>
      <w:szCs w:val="21"/>
    </w:rPr>
  </w:style>
  <w:style w:type="character" w:customStyle="1" w:styleId="28">
    <w:name w:val="表格 Char"/>
    <w:link w:val="29"/>
    <w:qFormat/>
    <w:uiPriority w:val="0"/>
    <w:rPr>
      <w:rFonts w:ascii="Times New Roman" w:hAnsi="Times New Roman" w:eastAsia="宋体"/>
      <w:kern w:val="2"/>
      <w:sz w:val="21"/>
      <w:szCs w:val="22"/>
    </w:rPr>
  </w:style>
  <w:style w:type="paragraph" w:customStyle="1" w:styleId="29">
    <w:name w:val="表格"/>
    <w:basedOn w:val="1"/>
    <w:link w:val="28"/>
    <w:qFormat/>
    <w:uiPriority w:val="0"/>
    <w:pPr>
      <w:spacing w:line="276" w:lineRule="auto"/>
      <w:ind w:firstLine="0" w:firstLineChars="0"/>
      <w:jc w:val="center"/>
    </w:pPr>
    <w:rPr>
      <w:sz w:val="21"/>
    </w:rPr>
  </w:style>
  <w:style w:type="character" w:customStyle="1" w:styleId="30">
    <w:name w:val="正文文本_"/>
    <w:link w:val="31"/>
    <w:qFormat/>
    <w:uiPriority w:val="0"/>
    <w:rPr>
      <w:rFonts w:ascii="MingLiU" w:hAnsi="MingLiU" w:eastAsia="MingLiU" w:cs="MingLiU"/>
      <w:spacing w:val="12"/>
      <w:sz w:val="25"/>
      <w:szCs w:val="25"/>
      <w:shd w:val="clear" w:color="auto" w:fill="FFFFFF"/>
    </w:rPr>
  </w:style>
  <w:style w:type="paragraph" w:customStyle="1" w:styleId="31">
    <w:name w:val="正文文本2"/>
    <w:basedOn w:val="1"/>
    <w:link w:val="30"/>
    <w:qFormat/>
    <w:uiPriority w:val="0"/>
    <w:pPr>
      <w:shd w:val="clear" w:color="auto" w:fill="FFFFFF"/>
      <w:spacing w:after="360" w:line="0" w:lineRule="atLeast"/>
      <w:ind w:firstLine="0" w:firstLineChars="0"/>
      <w:jc w:val="left"/>
    </w:pPr>
    <w:rPr>
      <w:rFonts w:ascii="MingLiU" w:hAnsi="MingLiU" w:eastAsia="MingLiU"/>
      <w:spacing w:val="12"/>
      <w:kern w:val="0"/>
      <w:sz w:val="25"/>
      <w:szCs w:val="25"/>
    </w:rPr>
  </w:style>
  <w:style w:type="character" w:customStyle="1" w:styleId="32">
    <w:name w:val="标题 2 Char"/>
    <w:link w:val="3"/>
    <w:qFormat/>
    <w:uiPriority w:val="9"/>
    <w:rPr>
      <w:rFonts w:ascii="Times New Roman" w:hAnsi="Times New Roman" w:eastAsia="宋体"/>
      <w:b/>
      <w:bCs/>
      <w:kern w:val="2"/>
      <w:sz w:val="28"/>
      <w:szCs w:val="32"/>
    </w:rPr>
  </w:style>
  <w:style w:type="character" w:customStyle="1" w:styleId="33">
    <w:name w:val="页脚 Char"/>
    <w:link w:val="15"/>
    <w:qFormat/>
    <w:uiPriority w:val="99"/>
    <w:rPr>
      <w:sz w:val="18"/>
      <w:szCs w:val="18"/>
    </w:rPr>
  </w:style>
  <w:style w:type="character" w:customStyle="1" w:styleId="34">
    <w:name w:val="标题 1 Char"/>
    <w:link w:val="2"/>
    <w:qFormat/>
    <w:uiPriority w:val="9"/>
    <w:rPr>
      <w:rFonts w:ascii="Times New Roman" w:hAnsi="Times New Roman" w:eastAsia="宋体"/>
      <w:b/>
      <w:bCs/>
      <w:kern w:val="44"/>
      <w:sz w:val="32"/>
      <w:szCs w:val="44"/>
    </w:rPr>
  </w:style>
  <w:style w:type="character" w:customStyle="1" w:styleId="35">
    <w:name w:val="页眉 Char"/>
    <w:link w:val="16"/>
    <w:qFormat/>
    <w:uiPriority w:val="99"/>
    <w:rPr>
      <w:sz w:val="18"/>
      <w:szCs w:val="18"/>
    </w:rPr>
  </w:style>
  <w:style w:type="character" w:customStyle="1" w:styleId="36">
    <w:name w:val="批注框文本 Char"/>
    <w:link w:val="14"/>
    <w:semiHidden/>
    <w:qFormat/>
    <w:uiPriority w:val="99"/>
    <w:rPr>
      <w:sz w:val="18"/>
      <w:szCs w:val="18"/>
    </w:rPr>
  </w:style>
  <w:style w:type="character" w:customStyle="1" w:styleId="37">
    <w:name w:val="表头 Char"/>
    <w:link w:val="38"/>
    <w:qFormat/>
    <w:uiPriority w:val="99"/>
    <w:rPr>
      <w:rFonts w:ascii="Times New Roman" w:hAnsi="Times New Roman" w:eastAsia="黑体"/>
      <w:kern w:val="2"/>
      <w:sz w:val="24"/>
      <w:szCs w:val="22"/>
    </w:rPr>
  </w:style>
  <w:style w:type="paragraph" w:customStyle="1" w:styleId="38">
    <w:name w:val="表头"/>
    <w:basedOn w:val="1"/>
    <w:link w:val="37"/>
    <w:qFormat/>
    <w:uiPriority w:val="99"/>
    <w:pPr>
      <w:autoSpaceDE w:val="0"/>
      <w:autoSpaceDN w:val="0"/>
      <w:ind w:firstLine="0" w:firstLineChars="0"/>
      <w:jc w:val="center"/>
    </w:pPr>
    <w:rPr>
      <w:rFonts w:eastAsia="黑体"/>
    </w:rPr>
  </w:style>
  <w:style w:type="character" w:customStyle="1" w:styleId="39">
    <w:name w:val="正文文本 + 间距 0 pt"/>
    <w:uiPriority w:val="0"/>
    <w:rPr>
      <w:rFonts w:ascii="MingLiU" w:hAnsi="MingLiU" w:eastAsia="MingLiU" w:cs="MingLiU"/>
      <w:color w:val="000000"/>
      <w:spacing w:val="-7"/>
      <w:w w:val="100"/>
      <w:position w:val="0"/>
      <w:sz w:val="25"/>
      <w:szCs w:val="25"/>
      <w:shd w:val="clear" w:color="auto" w:fill="FFFFFF"/>
      <w:lang w:val="en-US"/>
    </w:rPr>
  </w:style>
  <w:style w:type="character" w:customStyle="1" w:styleId="40">
    <w:name w:val="标题 3 Char"/>
    <w:link w:val="4"/>
    <w:qFormat/>
    <w:uiPriority w:val="9"/>
    <w:rPr>
      <w:rFonts w:ascii="Times New Roman" w:hAnsi="Times New Roman" w:eastAsia="宋体"/>
      <w:b/>
      <w:bCs/>
      <w:sz w:val="24"/>
      <w:szCs w:val="32"/>
    </w:rPr>
  </w:style>
  <w:style w:type="paragraph" w:styleId="41">
    <w:name w:val="List Paragraph"/>
    <w:basedOn w:val="1"/>
    <w:qFormat/>
    <w:uiPriority w:val="34"/>
    <w:pPr>
      <w:ind w:firstLine="420"/>
    </w:pPr>
  </w:style>
  <w:style w:type="paragraph" w:styleId="42">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43">
    <w:name w:val="预案正文"/>
    <w:basedOn w:val="1"/>
    <w:next w:val="10"/>
    <w:qFormat/>
    <w:uiPriority w:val="0"/>
    <w:pPr>
      <w:ind w:firstLine="560"/>
    </w:pPr>
    <w:rPr>
      <w:kern w:val="0"/>
      <w:szCs w:val="20"/>
    </w:rPr>
  </w:style>
  <w:style w:type="paragraph" w:customStyle="1" w:styleId="44">
    <w:name w:val="正文(首行缩进)"/>
    <w:basedOn w:val="1"/>
    <w:qFormat/>
    <w:uiPriority w:val="0"/>
    <w:pPr>
      <w:ind w:firstLine="480"/>
    </w:pPr>
    <w:rPr>
      <w:snapToGrid w:val="0"/>
      <w:kern w:val="0"/>
      <w:szCs w:val="20"/>
    </w:rPr>
  </w:style>
  <w:style w:type="character" w:customStyle="1" w:styleId="45">
    <w:name w:val="正文首行缩进 2 Char1"/>
    <w:link w:val="21"/>
    <w:qFormat/>
    <w:uiPriority w:val="99"/>
    <w:rPr>
      <w:rFonts w:ascii="Times New Roman" w:hAnsi="Times New Roman" w:eastAsia="宋体"/>
      <w:kern w:val="2"/>
      <w:sz w:val="24"/>
      <w:szCs w:val="24"/>
      <w:lang w:eastAsia="en-US" w:bidi="en-US"/>
    </w:rPr>
  </w:style>
  <w:style w:type="character" w:customStyle="1" w:styleId="46">
    <w:name w:val="正文文本 Char"/>
    <w:link w:val="8"/>
    <w:uiPriority w:val="99"/>
    <w:rPr>
      <w:rFonts w:ascii="Times New Roman" w:hAnsi="Times New Roman" w:eastAsia="宋体"/>
      <w:sz w:val="24"/>
      <w:szCs w:val="24"/>
      <w:lang w:eastAsia="en-US" w:bidi="en-US"/>
    </w:rPr>
  </w:style>
  <w:style w:type="character" w:customStyle="1" w:styleId="47">
    <w:name w:val="正文文本缩进 Char"/>
    <w:link w:val="9"/>
    <w:semiHidden/>
    <w:uiPriority w:val="99"/>
    <w:rPr>
      <w:rFonts w:ascii="Times New Roman" w:hAnsi="Times New Roman" w:eastAsia="宋体"/>
      <w:kern w:val="2"/>
      <w:sz w:val="24"/>
      <w:szCs w:val="22"/>
    </w:rPr>
  </w:style>
  <w:style w:type="character" w:customStyle="1" w:styleId="48">
    <w:name w:val="正文首行缩进 2 Char"/>
    <w:basedOn w:val="47"/>
    <w:semiHidden/>
    <w:uiPriority w:val="99"/>
    <w:rPr>
      <w:rFonts w:ascii="Times New Roman" w:hAnsi="Times New Roman" w:eastAsia="宋体"/>
      <w:kern w:val="2"/>
      <w:sz w:val="24"/>
      <w:szCs w:val="22"/>
    </w:rPr>
  </w:style>
  <w:style w:type="paragraph" w:customStyle="1" w:styleId="49">
    <w:name w:val="列出段落1"/>
    <w:basedOn w:val="1"/>
    <w:uiPriority w:val="0"/>
    <w:pPr>
      <w:spacing w:line="240" w:lineRule="auto"/>
      <w:ind w:firstLine="420"/>
    </w:pPr>
    <w:rPr>
      <w:rFonts w:ascii="Calibri" w:hAnsi="Calibri"/>
      <w:sz w:val="21"/>
    </w:rPr>
  </w:style>
  <w:style w:type="character" w:customStyle="1" w:styleId="50">
    <w:name w:val="纯文本 Char"/>
    <w:link w:val="11"/>
    <w:uiPriority w:val="0"/>
    <w:rPr>
      <w:rFonts w:ascii="宋体" w:hAnsi="Courier New" w:eastAsia="仿宋_GB2312"/>
      <w:kern w:val="2"/>
      <w:sz w:val="28"/>
    </w:rPr>
  </w:style>
  <w:style w:type="character" w:customStyle="1" w:styleId="51">
    <w:name w:val="纯文本 Char1"/>
    <w:semiHidden/>
    <w:uiPriority w:val="99"/>
    <w:rPr>
      <w:rFonts w:ascii="宋体" w:hAnsi="Courier New" w:eastAsia="宋体" w:cs="Courier New"/>
      <w:kern w:val="2"/>
      <w:sz w:val="21"/>
      <w:szCs w:val="21"/>
    </w:rPr>
  </w:style>
  <w:style w:type="character" w:customStyle="1" w:styleId="52">
    <w:name w:val="正文缩进 Char"/>
    <w:link w:val="6"/>
    <w:qFormat/>
    <w:uiPriority w:val="0"/>
    <w:rPr>
      <w:rFonts w:ascii="宋体" w:hAnsi="宋体"/>
      <w:sz w:val="28"/>
    </w:rPr>
  </w:style>
  <w:style w:type="paragraph" w:customStyle="1" w:styleId="53">
    <w:name w:val="段"/>
    <w:link w:val="54"/>
    <w:uiPriority w:val="99"/>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段 Char Char"/>
    <w:link w:val="53"/>
    <w:locked/>
    <w:uiPriority w:val="99"/>
    <w:rPr>
      <w:rFonts w:ascii="宋体" w:hAnsi="Times New Roman" w:eastAsia="宋体"/>
      <w:sz w:val="21"/>
      <w:lang w:bidi="ar-SA"/>
    </w:rPr>
  </w:style>
  <w:style w:type="character" w:customStyle="1" w:styleId="55">
    <w:name w:val="首行缩进 Char Char"/>
    <w:link w:val="56"/>
    <w:uiPriority w:val="0"/>
    <w:rPr>
      <w:kern w:val="2"/>
      <w:sz w:val="24"/>
      <w:szCs w:val="24"/>
    </w:rPr>
  </w:style>
  <w:style w:type="paragraph" w:customStyle="1" w:styleId="56">
    <w:name w:val="首行缩进"/>
    <w:basedOn w:val="1"/>
    <w:link w:val="55"/>
    <w:uiPriority w:val="0"/>
    <w:pPr>
      <w:ind w:firstLine="480"/>
    </w:pPr>
    <w:rPr>
      <w:rFonts w:ascii="等线" w:hAnsi="等线" w:eastAsia="等线"/>
      <w:szCs w:val="24"/>
    </w:rPr>
  </w:style>
  <w:style w:type="paragraph" w:customStyle="1" w:styleId="57">
    <w:name w:val="TITLE-2"/>
    <w:basedOn w:val="1"/>
    <w:uiPriority w:val="0"/>
    <w:pPr>
      <w:adjustRightInd w:val="0"/>
      <w:spacing w:line="480" w:lineRule="atLeast"/>
      <w:ind w:left="284" w:hanging="284" w:firstLineChars="0"/>
    </w:pPr>
    <w:rPr>
      <w:rFonts w:ascii="Calibri" w:hAnsi="Calibri" w:eastAsia="DFKai-SB"/>
      <w:kern w:val="0"/>
      <w:sz w:val="28"/>
      <w:szCs w:val="20"/>
    </w:rPr>
  </w:style>
  <w:style w:type="paragraph" w:customStyle="1" w:styleId="58">
    <w:name w:val="Defaul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59">
    <w:name w:val="普通(网站) Char"/>
    <w:link w:val="19"/>
    <w:uiPriority w:val="99"/>
    <w:rPr>
      <w:rFonts w:ascii="宋体" w:hAnsi="宋体" w:eastAsia="宋体" w:cs="宋体"/>
      <w:sz w:val="24"/>
      <w:szCs w:val="24"/>
    </w:rPr>
  </w:style>
  <w:style w:type="character" w:customStyle="1" w:styleId="60">
    <w:name w:val="标题 4 Char"/>
    <w:link w:val="5"/>
    <w:uiPriority w:val="9"/>
    <w:rPr>
      <w:rFonts w:ascii="Cambria" w:hAnsi="Cambria" w:eastAsia="宋体" w:cs="Times New Roman"/>
      <w:b/>
      <w:bCs/>
      <w:kern w:val="2"/>
      <w:sz w:val="28"/>
      <w:szCs w:val="28"/>
    </w:rPr>
  </w:style>
  <w:style w:type="character" w:customStyle="1" w:styleId="61">
    <w:name w:val="Subtle Emphasis"/>
    <w:qFormat/>
    <w:uiPriority w:val="19"/>
    <w:rPr>
      <w:i/>
      <w:iCs/>
      <w:color w:val="808080"/>
    </w:rPr>
  </w:style>
  <w:style w:type="paragraph" w:styleId="62">
    <w:name w:val="Intense Quote"/>
    <w:basedOn w:val="1"/>
    <w:next w:val="1"/>
    <w:link w:val="63"/>
    <w:qFormat/>
    <w:uiPriority w:val="99"/>
    <w:pPr>
      <w:pBdr>
        <w:bottom w:val="single" w:color="4F81BD" w:sz="4" w:space="4"/>
      </w:pBdr>
      <w:spacing w:before="200" w:after="280"/>
      <w:ind w:left="936" w:right="936"/>
    </w:pPr>
    <w:rPr>
      <w:b/>
      <w:bCs/>
      <w:i/>
      <w:iCs/>
      <w:color w:val="4F81BD"/>
    </w:rPr>
  </w:style>
  <w:style w:type="character" w:customStyle="1" w:styleId="63">
    <w:name w:val="明显引用 Char"/>
    <w:link w:val="62"/>
    <w:uiPriority w:val="99"/>
    <w:rPr>
      <w:rFonts w:ascii="Times New Roman" w:hAnsi="Times New Roman" w:eastAsia="宋体"/>
      <w:b/>
      <w:bCs/>
      <w:i/>
      <w:iCs/>
      <w:color w:val="4F81BD"/>
      <w:kern w:val="2"/>
      <w:sz w:val="24"/>
      <w:szCs w:val="22"/>
    </w:rPr>
  </w:style>
  <w:style w:type="character" w:customStyle="1" w:styleId="64">
    <w:name w:val="批注文字 Char"/>
    <w:link w:val="7"/>
    <w:qFormat/>
    <w:uiPriority w:val="0"/>
    <w:rPr>
      <w:rFonts w:eastAsia="宋体"/>
      <w:kern w:val="2"/>
      <w:sz w:val="21"/>
      <w:szCs w:val="24"/>
    </w:rPr>
  </w:style>
  <w:style w:type="character" w:customStyle="1" w:styleId="65">
    <w:name w:val="批注文字 Char1"/>
    <w:semiHidden/>
    <w:uiPriority w:val="99"/>
    <w:rPr>
      <w:rFonts w:ascii="Times New Roman" w:hAnsi="Times New Roman" w:eastAsia="宋体"/>
      <w:kern w:val="2"/>
      <w:sz w:val="24"/>
      <w:szCs w:val="22"/>
    </w:rPr>
  </w:style>
  <w:style w:type="character" w:customStyle="1" w:styleId="66">
    <w:name w:val="批注主题 Char"/>
    <w:link w:val="20"/>
    <w:semiHidden/>
    <w:uiPriority w:val="99"/>
    <w:rPr>
      <w:rFonts w:ascii="Times New Roman" w:hAnsi="Times New Roman" w:eastAsia="宋体"/>
      <w:b/>
      <w:bCs/>
      <w:kern w:val="2"/>
      <w:sz w:val="24"/>
      <w:szCs w:val="22"/>
    </w:rPr>
  </w:style>
  <w:style w:type="character" w:customStyle="1" w:styleId="67">
    <w:name w:val="表格 Char Char"/>
    <w:locked/>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png"/><Relationship Id="rId20" Type="http://schemas.openxmlformats.org/officeDocument/2006/relationships/image" Target="file:///C:\Users\&#26446;&#38738;&#38738;\AppData\Roaming\Tencent\Users\403002229\QQ\WinTemp\RichOle\030%2525UR9BYU3GM772(UBEC80.png" TargetMode="External"/><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661"/>
    <customShpInfo spid="_x0000_s1663"/>
    <customShpInfo spid="_x0000_s1662"/>
    <customShpInfo spid="_x0000_s1664"/>
    <customShpInfo spid="_x0000_s1631"/>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4"/>
    <customShpInfo spid="_x0000_s1645"/>
    <customShpInfo spid="_x0000_s1643"/>
    <customShpInfo spid="_x0000_s1646"/>
    <customShpInfo spid="_x0000_s1647"/>
    <customShpInfo spid="_x0000_s1648"/>
    <customShpInfo spid="_x0000_s1649"/>
    <customShpInfo spid="_x0000_s1650"/>
    <customShpInfo spid="_x0000_s1651"/>
    <customShpInfo spid="_x0000_s1652"/>
    <customShpInfo spid="_x0000_s1632"/>
    <customShpInfo spid="_x0000_s1630"/>
    <customShpInfo spid="_x0000_s1546"/>
    <customShpInfo spid="_x0000_s1548"/>
    <customShpInfo spid="_x0000_s1591"/>
    <customShpInfo spid="_x0000_s1592"/>
    <customShpInfo spid="_x0000_s1627"/>
    <customShpInfo spid="_x0000_s1545"/>
    <customShpInfo spid="_x0000_s1569"/>
    <customShpInfo spid="_x0000_s1604"/>
    <customShpInfo spid="_x0000_s1605"/>
    <customShpInfo spid="_x0000_s1571"/>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6"/>
    <customShpInfo spid="_x0000_s1607"/>
    <customShpInfo spid="_x0000_s1654"/>
    <customShpInfo spid="_x0000_s1655"/>
    <customShpInfo spid="_x0000_s1656"/>
    <customShpInfo spid="_x0000_s1657"/>
    <customShpInfo spid="_x0000_s1658"/>
    <customShpInfo spid="_x0000_s1659"/>
    <customShpInfo spid="_x0000_s1568"/>
    <customShpInfo spid="_x0000_s1515"/>
    <customShpInfo spid="_x0000_s1519"/>
    <customShpInfo spid="_x0000_s1525"/>
    <customShpInfo spid="_x0000_s1527"/>
    <customShpInfo spid="_x0000_s1528"/>
    <customShpInfo spid="_x0000_s1529"/>
    <customShpInfo spid="_x0000_s1530"/>
    <customShpInfo spid="_x0000_s1531"/>
    <customShpInfo spid="_x0000_s1532"/>
    <customShpInfo spid="_x0000_s1539"/>
    <customShpInfo spid="_x0000_s1540"/>
    <customShpInfo spid="_x0000_s1541"/>
    <customShpInfo spid="_x0000_s1542"/>
    <customShpInfo spid="_x0000_s1543"/>
    <customShpInfo spid="_x0000_s1608"/>
    <customShpInfo spid="_x0000_s1626"/>
    <customShpInfo spid="_x0000_s1629"/>
    <customShpInfo spid="_x0000_s151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DF5BD2-1CEF-4758-A597-559044E2C888}">
  <ds:schemaRefs/>
</ds:datastoreItem>
</file>

<file path=docProps/app.xml><?xml version="1.0" encoding="utf-8"?>
<Properties xmlns="http://schemas.openxmlformats.org/officeDocument/2006/extended-properties" xmlns:vt="http://schemas.openxmlformats.org/officeDocument/2006/docPropsVTypes">
  <Template>Normal</Template>
  <Pages>48</Pages>
  <Words>25595</Words>
  <Characters>26496</Characters>
  <Lines>224</Lines>
  <Paragraphs>63</Paragraphs>
  <TotalTime>362</TotalTime>
  <ScaleCrop>false</ScaleCrop>
  <LinksUpToDate>false</LinksUpToDate>
  <CharactersWithSpaces>26705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2022-09-15T02:23:00Z</dcterms:created>
  <dc:creator>Z</dc:creator>
  <cp:lastModifiedBy>熊贰</cp:lastModifiedBy>
  <dcterms:modified xsi:type="dcterms:W3CDTF">2023-08-13T07:27:59Z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E0CE12BDEC8E47AEAAA55FD0DF9CF02E_12</vt:lpwstr>
  </property>
</Properties>
</file>