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Cs w:val="32"/>
        </w:rPr>
      </w:pPr>
    </w:p>
    <w:p>
      <w:pPr>
        <w:jc w:val="center"/>
        <w:rPr>
          <w:rFonts w:ascii="宋体" w:hAnsi="宋体"/>
          <w:b/>
          <w:sz w:val="36"/>
          <w:szCs w:val="36"/>
        </w:rPr>
      </w:pPr>
      <w:r>
        <w:rPr>
          <w:rFonts w:hint="eastAsia" w:ascii="宋体" w:hAnsi="宋体"/>
          <w:b/>
          <w:sz w:val="36"/>
          <w:szCs w:val="36"/>
          <w:lang w:eastAsia="zh-CN"/>
        </w:rPr>
        <w:t>淮南市八公山区农业农村水利局</w:t>
      </w:r>
      <w:r>
        <w:rPr>
          <w:rFonts w:hint="eastAsia" w:ascii="宋体" w:hAnsi="宋体"/>
          <w:b/>
          <w:sz w:val="36"/>
          <w:szCs w:val="36"/>
        </w:rPr>
        <w:t>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ascii="楷体_GB2312" w:eastAsia="楷体_GB2312"/>
          <w:szCs w:val="32"/>
        </w:rPr>
      </w:pPr>
    </w:p>
    <w:p>
      <w:pPr>
        <w:adjustRightInd w:val="0"/>
        <w:snapToGrid w:val="0"/>
        <w:spacing w:line="360" w:lineRule="auto"/>
        <w:jc w:val="center"/>
        <w:rPr>
          <w:rFonts w:ascii="宋体" w:hAnsi="宋体"/>
          <w:sz w:val="6"/>
          <w:szCs w:val="32"/>
        </w:rPr>
      </w:pP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pPr>
        <w:ind w:firstLine="7216" w:firstLineChars="2298"/>
        <w:rPr>
          <w:rFonts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lang w:val="en-US" w:eastAsia="zh-CN"/>
              </w:rPr>
              <w:t>4.6</w:t>
            </w:r>
            <w:r>
              <w:rPr>
                <w:rFonts w:hint="eastAsia" w:ascii="宋体" w:hAnsi="宋体" w:cs="宋体"/>
                <w:b/>
                <w:bCs/>
                <w:kern w:val="0"/>
                <w:szCs w:val="21"/>
              </w:rPr>
              <w:t>　</w:t>
            </w:r>
          </w:p>
        </w:tc>
        <w:tc>
          <w:tcPr>
            <w:tcW w:w="22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lang w:val="en-US" w:eastAsia="zh-CN"/>
              </w:rPr>
              <w:t>1.62</w:t>
            </w:r>
            <w:r>
              <w:rPr>
                <w:rFonts w:hint="eastAsia" w:ascii="宋体" w:hAnsi="宋体" w:cs="宋体"/>
                <w:b/>
                <w:bCs/>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pPr>
              <w:widowControl/>
              <w:jc w:val="left"/>
              <w:rPr>
                <w:rFonts w:ascii="宋体" w:hAnsi="宋体" w:cs="宋体"/>
                <w:kern w:val="0"/>
                <w:szCs w:val="21"/>
              </w:rPr>
            </w:pPr>
            <w:r>
              <w:rPr>
                <w:rFonts w:hint="eastAsia" w:ascii="宋体" w:hAnsi="宋体" w:cs="宋体"/>
                <w:kern w:val="0"/>
                <w:szCs w:val="21"/>
                <w:lang w:val="en-US" w:eastAsia="zh-CN"/>
              </w:rPr>
              <w:t>0</w:t>
            </w:r>
            <w:r>
              <w:rPr>
                <w:rFonts w:hint="eastAsia" w:ascii="宋体" w:hAnsi="宋体" w:cs="宋体"/>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1.5</w:t>
            </w:r>
          </w:p>
        </w:tc>
        <w:tc>
          <w:tcPr>
            <w:tcW w:w="2220" w:type="dxa"/>
            <w:tcBorders>
              <w:top w:val="nil"/>
              <w:left w:val="nil"/>
              <w:bottom w:val="single" w:color="auto" w:sz="4" w:space="0"/>
              <w:right w:val="single" w:color="auto" w:sz="4" w:space="0"/>
            </w:tcBorders>
            <w:vAlign w:val="bottom"/>
          </w:tcPr>
          <w:p>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0.24</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3.1</w:t>
            </w:r>
          </w:p>
        </w:tc>
        <w:tc>
          <w:tcPr>
            <w:tcW w:w="2220" w:type="dxa"/>
            <w:tcBorders>
              <w:top w:val="nil"/>
              <w:left w:val="nil"/>
              <w:bottom w:val="single" w:color="auto" w:sz="4" w:space="0"/>
              <w:right w:val="single" w:color="auto" w:sz="4" w:space="0"/>
            </w:tcBorders>
            <w:vAlign w:val="bottom"/>
          </w:tcPr>
          <w:p>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1.38</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3.1</w:t>
            </w:r>
          </w:p>
        </w:tc>
        <w:tc>
          <w:tcPr>
            <w:tcW w:w="2220" w:type="dxa"/>
            <w:tcBorders>
              <w:top w:val="nil"/>
              <w:left w:val="nil"/>
              <w:bottom w:val="single" w:color="auto" w:sz="4" w:space="0"/>
              <w:right w:val="single" w:color="auto" w:sz="4" w:space="0"/>
            </w:tcBorders>
            <w:vAlign w:val="bottom"/>
          </w:tcPr>
          <w:p>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1.38</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bl>
    <w:p>
      <w:pPr>
        <w:spacing w:line="300" w:lineRule="exact"/>
        <w:rPr>
          <w:rFonts w:ascii="仿宋_GB2312" w:hAnsi="仿宋"/>
          <w:sz w:val="21"/>
          <w:szCs w:val="21"/>
        </w:rPr>
      </w:pPr>
    </w:p>
    <w:p>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pPr>
        <w:ind w:firstLine="628" w:firstLineChars="200"/>
        <w:rPr>
          <w:rFonts w:hint="eastAsia" w:ascii="仿宋_GB2312" w:hAnsi="仿宋"/>
          <w:b/>
          <w:bCs/>
          <w:szCs w:val="32"/>
        </w:rPr>
      </w:pPr>
      <w:r>
        <w:rPr>
          <w:rFonts w:hint="eastAsia" w:ascii="仿宋_GB2312" w:hAnsi="仿宋"/>
          <w:szCs w:val="32"/>
          <w:lang w:eastAsia="zh-CN"/>
        </w:rPr>
        <w:t>淮南市八公山区农业农村水利局</w:t>
      </w:r>
      <w:r>
        <w:rPr>
          <w:rFonts w:hint="eastAsia" w:ascii="仿宋_GB2312" w:hAnsi="仿宋"/>
          <w:szCs w:val="32"/>
        </w:rPr>
        <w:t>2022年度一般公共预算财政拨款“三公”经费支出预算为</w:t>
      </w:r>
      <w:r>
        <w:rPr>
          <w:rFonts w:hint="eastAsia" w:ascii="仿宋_GB2312" w:hAnsi="仿宋"/>
          <w:szCs w:val="32"/>
          <w:lang w:val="en-US" w:eastAsia="zh-CN"/>
        </w:rPr>
        <w:t>4.6</w:t>
      </w:r>
      <w:r>
        <w:rPr>
          <w:rFonts w:hint="eastAsia" w:ascii="仿宋_GB2312" w:hAnsi="仿宋"/>
          <w:szCs w:val="32"/>
        </w:rPr>
        <w:t>万元，支出决算为</w:t>
      </w:r>
      <w:r>
        <w:rPr>
          <w:rFonts w:hint="eastAsia" w:ascii="仿宋_GB2312" w:hAnsi="仿宋"/>
          <w:szCs w:val="32"/>
          <w:lang w:val="en-US" w:eastAsia="zh-CN"/>
        </w:rPr>
        <w:t>1.62</w:t>
      </w:r>
      <w:r>
        <w:rPr>
          <w:rFonts w:hint="eastAsia" w:ascii="仿宋_GB2312" w:hAnsi="仿宋"/>
          <w:szCs w:val="32"/>
        </w:rPr>
        <w:t>万元，完成预算的</w:t>
      </w:r>
      <w:r>
        <w:rPr>
          <w:rFonts w:hint="eastAsia" w:ascii="仿宋_GB2312" w:hAnsi="仿宋"/>
          <w:szCs w:val="32"/>
          <w:lang w:val="en-US" w:eastAsia="zh-CN"/>
        </w:rPr>
        <w:t>35.22</w:t>
      </w:r>
      <w:r>
        <w:rPr>
          <w:rFonts w:hint="eastAsia" w:ascii="仿宋_GB2312" w:hAnsi="仿宋"/>
          <w:szCs w:val="32"/>
        </w:rPr>
        <w:t>%；</w:t>
      </w:r>
      <w:r>
        <w:rPr>
          <w:rFonts w:hint="eastAsia" w:ascii="仿宋_GB2312" w:hAnsi="仿宋"/>
          <w:color w:val="auto"/>
          <w:szCs w:val="32"/>
        </w:rPr>
        <w:t>较上年减少</w:t>
      </w:r>
      <w:r>
        <w:rPr>
          <w:rFonts w:hint="eastAsia" w:ascii="仿宋_GB2312" w:hAnsi="仿宋"/>
          <w:color w:val="auto"/>
          <w:szCs w:val="32"/>
          <w:lang w:val="en-US" w:eastAsia="zh-CN"/>
        </w:rPr>
        <w:t>1.52</w:t>
      </w:r>
      <w:r>
        <w:rPr>
          <w:rFonts w:hint="eastAsia" w:ascii="仿宋_GB2312" w:hAnsi="仿宋"/>
          <w:color w:val="auto"/>
          <w:szCs w:val="32"/>
        </w:rPr>
        <w:t>万元，下降</w:t>
      </w:r>
      <w:r>
        <w:rPr>
          <w:rFonts w:hint="eastAsia" w:ascii="仿宋_GB2312" w:hAnsi="仿宋"/>
          <w:color w:val="auto"/>
          <w:szCs w:val="32"/>
          <w:lang w:val="en-US" w:eastAsia="zh-CN"/>
        </w:rPr>
        <w:t>48.41</w:t>
      </w:r>
      <w:r>
        <w:rPr>
          <w:rFonts w:hint="eastAsia" w:ascii="仿宋_GB2312" w:hAnsi="仿宋"/>
          <w:color w:val="auto"/>
          <w:szCs w:val="32"/>
        </w:rPr>
        <w:t>%。决算数小于预算数的主要原因是</w:t>
      </w:r>
      <w:r>
        <w:rPr>
          <w:rFonts w:hint="eastAsia" w:ascii="仿宋_GB2312" w:hAnsi="仿宋"/>
          <w:color w:val="auto"/>
          <w:szCs w:val="32"/>
          <w:lang w:eastAsia="zh-CN"/>
        </w:rPr>
        <w:t>厉行节约</w:t>
      </w:r>
      <w:r>
        <w:rPr>
          <w:rFonts w:hint="eastAsia" w:ascii="仿宋_GB2312" w:hAnsi="仿宋"/>
          <w:color w:val="auto"/>
          <w:szCs w:val="32"/>
        </w:rPr>
        <w:t>。决算数较上年减少的主要原因是</w:t>
      </w:r>
      <w:r>
        <w:rPr>
          <w:rFonts w:hint="eastAsia" w:ascii="仿宋_GB2312" w:hAnsi="仿宋"/>
          <w:color w:val="auto"/>
          <w:szCs w:val="32"/>
          <w:lang w:eastAsia="zh-CN"/>
        </w:rPr>
        <w:t>厉行节约</w:t>
      </w:r>
      <w:r>
        <w:rPr>
          <w:rFonts w:hint="eastAsia" w:ascii="仿宋_GB2312" w:hAnsi="仿宋"/>
          <w:color w:val="auto"/>
          <w:szCs w:val="32"/>
        </w:rPr>
        <w:t>。</w:t>
      </w:r>
      <w:r>
        <w:rPr>
          <w:rFonts w:hint="eastAsia" w:ascii="仿宋_GB2312" w:hAnsi="仿宋"/>
          <w:b w:val="0"/>
          <w:bCs w:val="0"/>
          <w:color w:val="auto"/>
          <w:szCs w:val="32"/>
        </w:rPr>
        <w:t>为全面反映“三公”经费支出</w:t>
      </w:r>
      <w:r>
        <w:rPr>
          <w:rFonts w:hint="eastAsia" w:ascii="仿宋_GB2312" w:hAnsi="仿宋"/>
          <w:b w:val="0"/>
          <w:bCs w:val="0"/>
          <w:szCs w:val="32"/>
        </w:rPr>
        <w:t>，本次公布的“三公”经费决算为部门汇总数，包含单位本级和所属单位。</w:t>
      </w:r>
      <w:bookmarkStart w:id="0" w:name="_GoBack"/>
      <w:bookmarkEnd w:id="0"/>
    </w:p>
    <w:p>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28" w:firstLineChars="200"/>
        <w:rPr>
          <w:rFonts w:ascii="仿宋_GB2312" w:hAnsi="仿宋"/>
          <w:szCs w:val="32"/>
        </w:rPr>
      </w:pPr>
      <w:r>
        <w:rPr>
          <w:rFonts w:hint="eastAsia" w:ascii="仿宋_GB2312" w:hAnsi="仿宋"/>
          <w:szCs w:val="32"/>
          <w:lang w:eastAsia="zh-CN"/>
        </w:rPr>
        <w:t>淮南市八公山区农业农村水利局</w:t>
      </w:r>
      <w:r>
        <w:rPr>
          <w:rFonts w:hint="eastAsia" w:ascii="仿宋_GB2312" w:hAnsi="仿宋"/>
          <w:szCs w:val="32"/>
        </w:rPr>
        <w:t>2022年度一般公共预算财政拨款“三公”经费支出决算中，因公出国（境）费支出决算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0.24</w:t>
      </w:r>
      <w:r>
        <w:rPr>
          <w:rFonts w:hint="eastAsia" w:ascii="仿宋_GB2312" w:hAnsi="仿宋"/>
          <w:szCs w:val="32"/>
        </w:rPr>
        <w:t>万元，占</w:t>
      </w:r>
      <w:r>
        <w:rPr>
          <w:rFonts w:hint="eastAsia" w:ascii="仿宋_GB2312" w:hAnsi="仿宋"/>
          <w:szCs w:val="32"/>
          <w:lang w:val="en-US" w:eastAsia="zh-CN"/>
        </w:rPr>
        <w:t>14.81</w:t>
      </w:r>
      <w:r>
        <w:rPr>
          <w:rFonts w:hint="eastAsia" w:ascii="仿宋_GB2312" w:hAnsi="仿宋"/>
          <w:szCs w:val="32"/>
        </w:rPr>
        <w:t>%；公务用车购置及运行维护费支出决算</w:t>
      </w:r>
      <w:r>
        <w:rPr>
          <w:rFonts w:hint="eastAsia" w:ascii="仿宋_GB2312" w:hAnsi="仿宋"/>
          <w:szCs w:val="32"/>
          <w:lang w:val="en-US" w:eastAsia="zh-CN"/>
        </w:rPr>
        <w:t>1.38</w:t>
      </w:r>
      <w:r>
        <w:rPr>
          <w:rFonts w:hint="eastAsia" w:ascii="仿宋_GB2312" w:hAnsi="仿宋"/>
          <w:szCs w:val="32"/>
        </w:rPr>
        <w:t>万元，占</w:t>
      </w:r>
      <w:r>
        <w:rPr>
          <w:rFonts w:hint="eastAsia" w:ascii="仿宋_GB2312" w:hAnsi="仿宋"/>
          <w:szCs w:val="32"/>
          <w:lang w:val="en-US" w:eastAsia="zh-CN"/>
        </w:rPr>
        <w:t>85.19</w:t>
      </w:r>
      <w:r>
        <w:rPr>
          <w:rFonts w:hint="eastAsia" w:ascii="仿宋_GB2312" w:hAnsi="仿宋"/>
          <w:szCs w:val="32"/>
        </w:rPr>
        <w:t>%。具体情况如下：</w:t>
      </w:r>
    </w:p>
    <w:p>
      <w:pPr>
        <w:ind w:firstLine="628"/>
        <w:rPr>
          <w:rFonts w:ascii="仿宋_GB2312" w:hAnsi="仿宋"/>
          <w:szCs w:val="32"/>
        </w:rPr>
      </w:pPr>
      <w:r>
        <w:rPr>
          <w:rFonts w:hint="eastAsia" w:ascii="仿宋_GB2312" w:hAnsi="仿宋"/>
          <w:b/>
          <w:bCs/>
          <w:szCs w:val="32"/>
        </w:rPr>
        <w:t>1.因公出国（境）费</w:t>
      </w:r>
      <w:r>
        <w:rPr>
          <w:rFonts w:hint="eastAsia" w:ascii="仿宋_GB2312" w:hAnsi="仿宋"/>
          <w:color w:val="auto"/>
          <w:szCs w:val="32"/>
        </w:rPr>
        <w:t>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w:t>
      </w:r>
    </w:p>
    <w:p>
      <w:pPr>
        <w:ind w:firstLine="628"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color w:val="auto"/>
          <w:szCs w:val="32"/>
        </w:rPr>
        <w:t>预算为</w:t>
      </w:r>
      <w:r>
        <w:rPr>
          <w:rFonts w:hint="eastAsia" w:ascii="仿宋_GB2312" w:hAnsi="仿宋"/>
          <w:color w:val="auto"/>
          <w:szCs w:val="32"/>
          <w:lang w:val="en-US" w:eastAsia="zh-CN"/>
        </w:rPr>
        <w:t>1.5</w:t>
      </w:r>
      <w:r>
        <w:rPr>
          <w:rFonts w:hint="eastAsia" w:ascii="仿宋_GB2312" w:hAnsi="仿宋"/>
          <w:color w:val="auto"/>
          <w:szCs w:val="32"/>
        </w:rPr>
        <w:t>万元，支出决算为</w:t>
      </w:r>
      <w:r>
        <w:rPr>
          <w:rFonts w:hint="eastAsia" w:ascii="仿宋_GB2312" w:hAnsi="仿宋"/>
          <w:color w:val="auto"/>
          <w:szCs w:val="32"/>
          <w:lang w:val="en-US" w:eastAsia="zh-CN"/>
        </w:rPr>
        <w:t>0.24</w:t>
      </w:r>
      <w:r>
        <w:rPr>
          <w:rFonts w:hint="eastAsia" w:ascii="仿宋_GB2312" w:hAnsi="仿宋"/>
          <w:color w:val="auto"/>
          <w:szCs w:val="32"/>
        </w:rPr>
        <w:t>万元，完成预算的</w:t>
      </w:r>
      <w:r>
        <w:rPr>
          <w:rFonts w:hint="eastAsia" w:ascii="仿宋_GB2312" w:hAnsi="仿宋"/>
          <w:color w:val="auto"/>
          <w:szCs w:val="32"/>
          <w:lang w:val="en-US" w:eastAsia="zh-CN"/>
        </w:rPr>
        <w:t>16</w:t>
      </w:r>
      <w:r>
        <w:rPr>
          <w:rFonts w:hint="eastAsia" w:ascii="仿宋_GB2312" w:hAnsi="仿宋"/>
          <w:color w:val="auto"/>
          <w:szCs w:val="32"/>
        </w:rPr>
        <w:t>%；较上年减少</w:t>
      </w:r>
      <w:r>
        <w:rPr>
          <w:rFonts w:hint="eastAsia" w:ascii="仿宋_GB2312" w:hAnsi="仿宋"/>
          <w:color w:val="auto"/>
          <w:szCs w:val="32"/>
          <w:lang w:val="en-US" w:eastAsia="zh-CN"/>
        </w:rPr>
        <w:t>0.76</w:t>
      </w:r>
      <w:r>
        <w:rPr>
          <w:rFonts w:hint="eastAsia" w:ascii="仿宋_GB2312" w:hAnsi="仿宋"/>
          <w:color w:val="auto"/>
          <w:szCs w:val="32"/>
        </w:rPr>
        <w:t>万元，下降</w:t>
      </w:r>
      <w:r>
        <w:rPr>
          <w:rFonts w:hint="eastAsia" w:ascii="仿宋_GB2312" w:hAnsi="仿宋"/>
          <w:color w:val="auto"/>
          <w:szCs w:val="32"/>
          <w:lang w:val="en-US" w:eastAsia="zh-CN"/>
        </w:rPr>
        <w:t>76</w:t>
      </w:r>
      <w:r>
        <w:rPr>
          <w:rFonts w:hint="eastAsia" w:ascii="仿宋_GB2312" w:hAnsi="仿宋"/>
          <w:color w:val="auto"/>
          <w:szCs w:val="32"/>
        </w:rPr>
        <w:t>%。决算数小于预算数的主要原因是</w:t>
      </w:r>
      <w:r>
        <w:rPr>
          <w:rFonts w:hint="eastAsia" w:ascii="仿宋_GB2312" w:hAnsi="仿宋"/>
          <w:color w:val="auto"/>
          <w:szCs w:val="32"/>
          <w:lang w:eastAsia="zh-CN"/>
        </w:rPr>
        <w:t>厉行节约</w:t>
      </w:r>
      <w:r>
        <w:rPr>
          <w:rFonts w:hint="eastAsia" w:ascii="仿宋_GB2312" w:hAnsi="仿宋"/>
          <w:color w:val="auto"/>
          <w:szCs w:val="32"/>
        </w:rPr>
        <w:t>。决算数较上年减少的主要原因是</w:t>
      </w:r>
      <w:r>
        <w:rPr>
          <w:rFonts w:hint="eastAsia" w:ascii="仿宋_GB2312" w:hAnsi="仿宋"/>
          <w:color w:val="auto"/>
          <w:szCs w:val="32"/>
          <w:lang w:eastAsia="zh-CN"/>
        </w:rPr>
        <w:t>厉行节约</w:t>
      </w:r>
      <w:r>
        <w:rPr>
          <w:rFonts w:hint="eastAsia" w:ascii="仿宋_GB2312" w:hAnsi="仿宋"/>
          <w:color w:val="auto"/>
          <w:szCs w:val="32"/>
        </w:rPr>
        <w:t>。</w:t>
      </w:r>
      <w:r>
        <w:rPr>
          <w:rFonts w:hint="eastAsia" w:ascii="仿宋_GB2312" w:hAnsi="仿宋"/>
          <w:szCs w:val="32"/>
        </w:rPr>
        <w:t>2022年</w:t>
      </w:r>
      <w:r>
        <w:rPr>
          <w:rFonts w:hint="eastAsia" w:ascii="仿宋_GB2312" w:hAnsi="仿宋"/>
          <w:szCs w:val="32"/>
          <w:lang w:eastAsia="zh-CN"/>
        </w:rPr>
        <w:t>淮南市八公山区农业农村水利局</w:t>
      </w:r>
      <w:r>
        <w:rPr>
          <w:rFonts w:hint="eastAsia" w:ascii="仿宋_GB2312" w:hAnsi="仿宋"/>
          <w:szCs w:val="32"/>
        </w:rPr>
        <w:t>国内公务接待共</w:t>
      </w:r>
      <w:r>
        <w:rPr>
          <w:rFonts w:hint="eastAsia" w:ascii="仿宋_GB2312" w:hAnsi="仿宋"/>
          <w:szCs w:val="32"/>
          <w:lang w:val="en-US" w:eastAsia="zh-CN"/>
        </w:rPr>
        <w:t>10</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86</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szCs w:val="32"/>
          <w:lang w:eastAsia="zh-CN"/>
        </w:rPr>
        <w:t>农业农村、水利、乡村振兴等各项工作加班工作餐支出</w:t>
      </w:r>
      <w:r>
        <w:rPr>
          <w:rFonts w:hint="eastAsia" w:ascii="仿宋_GB2312" w:hAnsi="仿宋"/>
          <w:szCs w:val="32"/>
        </w:rPr>
        <w:t>。经费使用严格执行《党政机关厉行节约反对浪费条例》、市委市政府有关具体要求、《淮南市党政机关国内公务接待管理办法》(淮办发〔2014〕26号</w:t>
      </w:r>
      <w:r>
        <w:rPr>
          <w:rFonts w:ascii="仿宋_GB2312" w:hAnsi="仿宋"/>
          <w:szCs w:val="32"/>
        </w:rPr>
        <w:t>)</w:t>
      </w:r>
      <w:r>
        <w:rPr>
          <w:rFonts w:hint="eastAsia" w:ascii="仿宋_GB2312" w:hAnsi="仿宋"/>
          <w:szCs w:val="32"/>
        </w:rPr>
        <w:t>相关规定。</w:t>
      </w:r>
    </w:p>
    <w:p>
      <w:pPr>
        <w:ind w:firstLine="628" w:firstLineChars="200"/>
      </w:pPr>
      <w:r>
        <w:rPr>
          <w:rFonts w:hint="eastAsia" w:ascii="仿宋_GB2312" w:hAnsi="仿宋"/>
          <w:b/>
          <w:bCs/>
          <w:szCs w:val="32"/>
        </w:rPr>
        <w:t>3.公务用车购置及运行维护费</w:t>
      </w:r>
      <w:r>
        <w:rPr>
          <w:rFonts w:hint="eastAsia" w:ascii="仿宋_GB2312" w:hAnsi="仿宋"/>
          <w:color w:val="auto"/>
          <w:szCs w:val="32"/>
        </w:rPr>
        <w:t>预算为</w:t>
      </w:r>
      <w:r>
        <w:rPr>
          <w:rFonts w:hint="eastAsia" w:ascii="仿宋_GB2312" w:hAnsi="仿宋"/>
          <w:color w:val="auto"/>
          <w:szCs w:val="32"/>
          <w:lang w:val="en-US" w:eastAsia="zh-CN"/>
        </w:rPr>
        <w:t>3.1</w:t>
      </w:r>
      <w:r>
        <w:rPr>
          <w:rFonts w:hint="eastAsia" w:ascii="仿宋_GB2312" w:hAnsi="仿宋"/>
          <w:color w:val="auto"/>
          <w:szCs w:val="32"/>
        </w:rPr>
        <w:t xml:space="preserve">万元，支出决算为  </w:t>
      </w:r>
      <w:r>
        <w:rPr>
          <w:rFonts w:hint="eastAsia" w:ascii="仿宋_GB2312" w:hAnsi="仿宋"/>
          <w:color w:val="auto"/>
          <w:szCs w:val="32"/>
          <w:lang w:val="en-US" w:eastAsia="zh-CN"/>
        </w:rPr>
        <w:t>1.38</w:t>
      </w:r>
      <w:r>
        <w:rPr>
          <w:rFonts w:hint="eastAsia" w:ascii="仿宋_GB2312" w:hAnsi="仿宋"/>
          <w:color w:val="auto"/>
          <w:szCs w:val="32"/>
        </w:rPr>
        <w:t>万元，完成预算的</w:t>
      </w:r>
      <w:r>
        <w:rPr>
          <w:rFonts w:hint="eastAsia" w:ascii="仿宋_GB2312" w:hAnsi="仿宋"/>
          <w:color w:val="auto"/>
          <w:szCs w:val="32"/>
          <w:lang w:val="en-US" w:eastAsia="zh-CN"/>
        </w:rPr>
        <w:t>44.52</w:t>
      </w:r>
      <w:r>
        <w:rPr>
          <w:rFonts w:hint="eastAsia" w:ascii="仿宋_GB2312" w:hAnsi="仿宋"/>
          <w:color w:val="auto"/>
          <w:szCs w:val="32"/>
        </w:rPr>
        <w:t>%；较上年减少</w:t>
      </w:r>
      <w:r>
        <w:rPr>
          <w:rFonts w:hint="eastAsia" w:ascii="仿宋_GB2312" w:hAnsi="仿宋"/>
          <w:color w:val="auto"/>
          <w:szCs w:val="32"/>
          <w:lang w:val="en-US" w:eastAsia="zh-CN"/>
        </w:rPr>
        <w:t>0.76</w:t>
      </w:r>
      <w:r>
        <w:rPr>
          <w:rFonts w:hint="eastAsia" w:ascii="仿宋_GB2312" w:hAnsi="仿宋"/>
          <w:color w:val="auto"/>
          <w:szCs w:val="32"/>
        </w:rPr>
        <w:t>万元，下降</w:t>
      </w:r>
      <w:r>
        <w:rPr>
          <w:rFonts w:hint="eastAsia" w:ascii="仿宋_GB2312" w:hAnsi="仿宋"/>
          <w:color w:val="auto"/>
          <w:szCs w:val="32"/>
          <w:lang w:val="en-US" w:eastAsia="zh-CN"/>
        </w:rPr>
        <w:t>35.51</w:t>
      </w:r>
      <w:r>
        <w:rPr>
          <w:rFonts w:hint="eastAsia" w:ascii="仿宋_GB2312" w:hAnsi="仿宋"/>
          <w:color w:val="auto"/>
          <w:szCs w:val="32"/>
        </w:rPr>
        <w:t>%。决算数小于预算数的主要原因是</w:t>
      </w:r>
      <w:r>
        <w:rPr>
          <w:rFonts w:hint="eastAsia" w:ascii="仿宋_GB2312" w:hAnsi="仿宋"/>
          <w:color w:val="auto"/>
          <w:szCs w:val="32"/>
          <w:lang w:eastAsia="zh-CN"/>
        </w:rPr>
        <w:t>厉行节约</w:t>
      </w:r>
      <w:r>
        <w:rPr>
          <w:rFonts w:hint="eastAsia" w:ascii="仿宋_GB2312" w:hAnsi="仿宋"/>
          <w:color w:val="auto"/>
          <w:szCs w:val="32"/>
        </w:rPr>
        <w:t>。决算数较上年减少的主要原因是</w:t>
      </w:r>
      <w:r>
        <w:rPr>
          <w:rFonts w:hint="eastAsia" w:ascii="仿宋_GB2312" w:hAnsi="仿宋"/>
          <w:color w:val="auto"/>
          <w:szCs w:val="32"/>
          <w:lang w:eastAsia="zh-CN"/>
        </w:rPr>
        <w:t>厉行节约</w:t>
      </w:r>
      <w:r>
        <w:rPr>
          <w:rFonts w:hint="eastAsia" w:ascii="仿宋_GB2312" w:hAnsi="仿宋"/>
          <w:color w:val="auto"/>
          <w:szCs w:val="32"/>
        </w:rPr>
        <w:t>。</w:t>
      </w:r>
      <w:r>
        <w:rPr>
          <w:rFonts w:hint="eastAsia" w:ascii="仿宋_GB2312" w:hAnsi="仿宋"/>
          <w:color w:val="auto"/>
          <w:szCs w:val="32"/>
        </w:rPr>
        <w:t>其中，2022年没有安排公务用车购置费。</w:t>
      </w:r>
      <w:r>
        <w:rPr>
          <w:rFonts w:hint="eastAsia" w:ascii="仿宋_GB2312" w:hAnsi="仿宋"/>
          <w:szCs w:val="32"/>
        </w:rPr>
        <w:t>公务用车运行维护费</w:t>
      </w:r>
      <w:r>
        <w:rPr>
          <w:rFonts w:hint="eastAsia" w:ascii="仿宋_GB2312" w:hAnsi="仿宋"/>
          <w:color w:val="auto"/>
          <w:szCs w:val="32"/>
        </w:rPr>
        <w:t>预算为</w:t>
      </w:r>
      <w:r>
        <w:rPr>
          <w:rFonts w:hint="eastAsia" w:ascii="仿宋_GB2312" w:hAnsi="仿宋"/>
          <w:color w:val="auto"/>
          <w:szCs w:val="32"/>
          <w:lang w:val="en-US" w:eastAsia="zh-CN"/>
        </w:rPr>
        <w:t>3.1</w:t>
      </w:r>
      <w:r>
        <w:rPr>
          <w:rFonts w:hint="eastAsia" w:ascii="仿宋_GB2312" w:hAnsi="仿宋"/>
          <w:color w:val="auto"/>
          <w:szCs w:val="32"/>
        </w:rPr>
        <w:t>万元，支出决算为</w:t>
      </w:r>
      <w:r>
        <w:rPr>
          <w:rFonts w:hint="eastAsia" w:ascii="仿宋_GB2312" w:hAnsi="仿宋"/>
          <w:color w:val="auto"/>
          <w:szCs w:val="32"/>
          <w:lang w:val="en-US" w:eastAsia="zh-CN"/>
        </w:rPr>
        <w:t>1.38</w:t>
      </w:r>
      <w:r>
        <w:rPr>
          <w:rFonts w:hint="eastAsia" w:ascii="仿宋_GB2312" w:hAnsi="仿宋"/>
          <w:color w:val="auto"/>
          <w:szCs w:val="32"/>
        </w:rPr>
        <w:t>万元，完成预算的</w:t>
      </w:r>
      <w:r>
        <w:rPr>
          <w:rFonts w:hint="eastAsia" w:ascii="仿宋_GB2312" w:hAnsi="仿宋"/>
          <w:color w:val="auto"/>
          <w:szCs w:val="32"/>
          <w:lang w:val="en-US" w:eastAsia="zh-CN"/>
        </w:rPr>
        <w:t>44.52</w:t>
      </w:r>
      <w:r>
        <w:rPr>
          <w:rFonts w:hint="eastAsia" w:ascii="仿宋_GB2312" w:hAnsi="仿宋"/>
          <w:color w:val="auto"/>
          <w:szCs w:val="32"/>
        </w:rPr>
        <w:t>%；较上年减少</w:t>
      </w:r>
      <w:r>
        <w:rPr>
          <w:rFonts w:hint="eastAsia" w:ascii="仿宋_GB2312" w:hAnsi="仿宋"/>
          <w:color w:val="auto"/>
          <w:szCs w:val="32"/>
          <w:lang w:val="en-US" w:eastAsia="zh-CN"/>
        </w:rPr>
        <w:t>0.76</w:t>
      </w:r>
      <w:r>
        <w:rPr>
          <w:rFonts w:hint="eastAsia" w:ascii="仿宋_GB2312" w:hAnsi="仿宋"/>
          <w:color w:val="auto"/>
          <w:szCs w:val="32"/>
        </w:rPr>
        <w:t>万元，下降</w:t>
      </w:r>
      <w:r>
        <w:rPr>
          <w:rFonts w:hint="eastAsia" w:ascii="仿宋_GB2312" w:hAnsi="仿宋"/>
          <w:color w:val="auto"/>
          <w:szCs w:val="32"/>
          <w:lang w:val="en-US" w:eastAsia="zh-CN"/>
        </w:rPr>
        <w:t>35.51</w:t>
      </w:r>
      <w:r>
        <w:rPr>
          <w:rFonts w:hint="eastAsia" w:ascii="仿宋_GB2312" w:hAnsi="仿宋"/>
          <w:color w:val="auto"/>
          <w:szCs w:val="32"/>
        </w:rPr>
        <w:t>%。决算数小于预算数的主要原因是</w:t>
      </w:r>
      <w:r>
        <w:rPr>
          <w:rFonts w:hint="eastAsia" w:ascii="仿宋_GB2312" w:hAnsi="仿宋"/>
          <w:color w:val="auto"/>
          <w:szCs w:val="32"/>
          <w:lang w:eastAsia="zh-CN"/>
        </w:rPr>
        <w:t>厉行节约</w:t>
      </w:r>
      <w:r>
        <w:rPr>
          <w:rFonts w:hint="eastAsia" w:ascii="仿宋_GB2312" w:hAnsi="仿宋"/>
          <w:color w:val="auto"/>
          <w:szCs w:val="32"/>
        </w:rPr>
        <w:t>。决算数较上年减少的主要原因是</w:t>
      </w:r>
      <w:r>
        <w:rPr>
          <w:rFonts w:hint="eastAsia" w:ascii="仿宋_GB2312" w:hAnsi="仿宋"/>
          <w:color w:val="auto"/>
          <w:szCs w:val="32"/>
          <w:lang w:eastAsia="zh-CN"/>
        </w:rPr>
        <w:t>厉行节约</w:t>
      </w:r>
      <w:r>
        <w:rPr>
          <w:rFonts w:hint="eastAsia" w:ascii="仿宋_GB2312" w:hAnsi="仿宋"/>
          <w:color w:val="auto"/>
          <w:szCs w:val="32"/>
        </w:rPr>
        <w:t>。</w:t>
      </w:r>
      <w:r>
        <w:rPr>
          <w:rFonts w:hint="eastAsia" w:ascii="仿宋_GB2312" w:hAnsi="仿宋"/>
          <w:szCs w:val="32"/>
        </w:rPr>
        <w:t>公务用车运行维护费，包括车辆燃料费、维修费、过路过桥费、保险费等支出，主要用于</w:t>
      </w:r>
      <w:r>
        <w:rPr>
          <w:rFonts w:hint="eastAsia" w:ascii="仿宋_GB2312" w:hAnsi="仿宋"/>
          <w:szCs w:val="32"/>
          <w:lang w:eastAsia="zh-CN"/>
        </w:rPr>
        <w:t>防汛抗旱、打击非法采砂、非洲猪瘟防治、禁捕退捕等工作</w:t>
      </w:r>
      <w:r>
        <w:rPr>
          <w:rFonts w:hint="eastAsia" w:ascii="仿宋_GB2312" w:hAnsi="仿宋"/>
          <w:szCs w:val="32"/>
        </w:rPr>
        <w:t>。截至2022年12月31日，</w:t>
      </w:r>
      <w:r>
        <w:rPr>
          <w:rFonts w:hint="eastAsia" w:ascii="仿宋_GB2312" w:hAnsi="仿宋"/>
          <w:szCs w:val="32"/>
          <w:lang w:eastAsia="zh-CN"/>
        </w:rPr>
        <w:t>淮南市八公山区农业农村水利局</w:t>
      </w:r>
      <w:r>
        <w:rPr>
          <w:rFonts w:hint="eastAsia" w:ascii="仿宋_GB2312" w:hAnsi="仿宋"/>
          <w:szCs w:val="32"/>
        </w:rPr>
        <w:t>机关</w:t>
      </w:r>
      <w:r>
        <w:rPr>
          <w:rFonts w:hint="eastAsia" w:ascii="仿宋_GB2312" w:hAnsi="仿宋"/>
          <w:b w:val="0"/>
          <w:bCs w:val="0"/>
          <w:szCs w:val="32"/>
        </w:rPr>
        <w:t>及所属单位</w:t>
      </w:r>
      <w:r>
        <w:rPr>
          <w:rFonts w:hint="eastAsia" w:ascii="仿宋_GB2312" w:hAnsi="仿宋"/>
          <w:szCs w:val="32"/>
        </w:rPr>
        <w:t>开支财政拨款的公务用车保有量为</w:t>
      </w:r>
      <w:r>
        <w:rPr>
          <w:rFonts w:hint="eastAsia" w:ascii="仿宋_GB2312" w:hAnsi="仿宋"/>
          <w:szCs w:val="32"/>
          <w:lang w:val="en-US" w:eastAsia="zh-CN"/>
        </w:rPr>
        <w:t>1</w:t>
      </w:r>
      <w:r>
        <w:rPr>
          <w:rFonts w:hint="eastAsia" w:ascii="仿宋_GB2312" w:hAnsi="仿宋"/>
          <w:szCs w:val="32"/>
        </w:rPr>
        <w:t>辆。</w:t>
      </w:r>
    </w:p>
    <w:p>
      <w:pPr>
        <w:pStyle w:val="2"/>
        <w:ind w:left="1258" w:hanging="1258"/>
        <w:rPr>
          <w:rFonts w:ascii="仿宋_GB2312"/>
        </w:rPr>
      </w:pPr>
    </w:p>
    <w:p>
      <w:pPr>
        <w:pStyle w:val="2"/>
        <w:ind w:left="1258" w:hanging="1258"/>
        <w:rPr>
          <w:rFonts w:ascii="仿宋_GB2312"/>
        </w:rPr>
      </w:pPr>
    </w:p>
    <w:p>
      <w:pPr>
        <w:pStyle w:val="2"/>
      </w:pPr>
    </w:p>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4</w:t>
    </w:r>
    <w:r>
      <w:rPr>
        <w:rFonts w:hint="eastAsia" w:ascii="仿宋_GB2312"/>
        <w:sz w:val="28"/>
        <w:szCs w:val="28"/>
      </w:rPr>
      <w:fldChar w:fldCharType="end"/>
    </w:r>
    <w:r>
      <w:rPr>
        <w:rStyle w:val="7"/>
        <w:rFonts w:hint="eastAsia" w:ascii="仿宋_GB2312"/>
        <w:sz w:val="28"/>
        <w:szCs w:val="28"/>
      </w:rPr>
      <w:t>-</w:t>
    </w:r>
  </w:p>
  <w:p>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VhOWRhZGE1ZTZhODI1MWQxMWFmZTc3YTQ4ODViOGUifQ=="/>
  </w:docVars>
  <w:rsids>
    <w:rsidRoot w:val="00C940DE"/>
    <w:rsid w:val="00292198"/>
    <w:rsid w:val="004F7FF6"/>
    <w:rsid w:val="00652CEA"/>
    <w:rsid w:val="007258EF"/>
    <w:rsid w:val="009C0698"/>
    <w:rsid w:val="00AA6A76"/>
    <w:rsid w:val="00C940DE"/>
    <w:rsid w:val="00FB14ED"/>
    <w:rsid w:val="0C85385B"/>
    <w:rsid w:val="0F877AEA"/>
    <w:rsid w:val="21487E80"/>
    <w:rsid w:val="2C96379D"/>
    <w:rsid w:val="57040D30"/>
    <w:rsid w:val="5FA51CC7"/>
    <w:rsid w:val="75E86AD7"/>
    <w:rsid w:val="77C343BF"/>
    <w:rsid w:val="7F4E5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uiPriority w:val="0"/>
    <w:pPr>
      <w:spacing w:after="12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0"/>
    <w:rPr>
      <w:sz w:val="18"/>
      <w:szCs w:val="18"/>
    </w:rPr>
  </w:style>
  <w:style w:type="character" w:customStyle="1" w:styleId="10">
    <w:name w:val="正文文本 Char"/>
    <w:basedOn w:val="6"/>
    <w:link w:val="2"/>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271</Words>
  <Characters>1551</Characters>
  <Lines>12</Lines>
  <Paragraphs>3</Paragraphs>
  <TotalTime>37</TotalTime>
  <ScaleCrop>false</ScaleCrop>
  <LinksUpToDate>false</LinksUpToDate>
  <CharactersWithSpaces>1819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崔爱民</dc:creator>
  <cp:lastModifiedBy>Administrator</cp:lastModifiedBy>
  <dcterms:modified xsi:type="dcterms:W3CDTF">2023-09-28T04:41:21Z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EFDCC63E0F3C446A8C552E572EFB0528_12</vt:lpwstr>
  </property>
</Properties>
</file>