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Cs w:val="32"/>
        </w:rPr>
      </w:pPr>
    </w:p>
    <w:p>
      <w:pPr>
        <w:jc w:val="center"/>
        <w:rPr>
          <w:rFonts w:ascii="宋体" w:hAnsi="宋体"/>
          <w:b/>
          <w:sz w:val="36"/>
          <w:szCs w:val="36"/>
        </w:rPr>
      </w:pPr>
      <w:r>
        <w:rPr>
          <w:rFonts w:hint="eastAsia" w:ascii="宋体" w:hAnsi="宋体"/>
          <w:b/>
          <w:sz w:val="36"/>
          <w:szCs w:val="36"/>
          <w:lang w:eastAsia="zh-CN"/>
        </w:rPr>
        <w:t>淮南市八公山区新庄孜街道办事处</w:t>
      </w:r>
      <w:r>
        <w:rPr>
          <w:rFonts w:hint="eastAsia" w:ascii="宋体" w:hAnsi="宋体"/>
          <w:b/>
          <w:sz w:val="36"/>
          <w:szCs w:val="36"/>
        </w:rPr>
        <w:t>2022</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pPr>
        <w:jc w:val="center"/>
        <w:rPr>
          <w:rFonts w:ascii="楷体_GB2312" w:eastAsia="楷体_GB2312"/>
          <w:szCs w:val="32"/>
        </w:rPr>
      </w:pPr>
    </w:p>
    <w:p>
      <w:pPr>
        <w:jc w:val="center"/>
        <w:rPr>
          <w:rFonts w:ascii="楷体_GB2312" w:eastAsia="楷体_GB2312"/>
          <w:szCs w:val="32"/>
        </w:rPr>
      </w:pPr>
    </w:p>
    <w:p>
      <w:pPr>
        <w:adjustRightInd w:val="0"/>
        <w:snapToGrid w:val="0"/>
        <w:spacing w:line="360" w:lineRule="auto"/>
        <w:jc w:val="center"/>
        <w:rPr>
          <w:rFonts w:ascii="宋体" w:hAnsi="宋体"/>
          <w:sz w:val="6"/>
          <w:szCs w:val="32"/>
        </w:rPr>
      </w:pP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一、2022年度一般公共预算财政拨款“三公”经费支出决算表</w:t>
      </w:r>
    </w:p>
    <w:p>
      <w:pPr>
        <w:ind w:firstLine="7216" w:firstLineChars="2298"/>
        <w:rPr>
          <w:rFonts w:ascii="黑体" w:hAnsi="黑体" w:eastAsia="黑体"/>
          <w:szCs w:val="32"/>
        </w:rPr>
      </w:pPr>
      <w:r>
        <w:rPr>
          <w:rFonts w:hint="eastAsia" w:ascii="仿宋_GB2312" w:hAnsi="仿宋_GB2312" w:cs="仿宋_GB2312"/>
          <w:szCs w:val="32"/>
        </w:rPr>
        <w:t>单位：万元</w:t>
      </w:r>
    </w:p>
    <w:tbl>
      <w:tblPr>
        <w:tblStyle w:val="5"/>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4.0</w:t>
            </w:r>
          </w:p>
        </w:tc>
        <w:tc>
          <w:tcPr>
            <w:tcW w:w="2220" w:type="dxa"/>
            <w:tcBorders>
              <w:top w:val="nil"/>
              <w:left w:val="nil"/>
              <w:bottom w:val="single" w:color="auto" w:sz="4" w:space="0"/>
              <w:right w:val="single" w:color="auto" w:sz="4" w:space="0"/>
            </w:tcBorders>
            <w:vAlign w:val="center"/>
          </w:tcPr>
          <w:p>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2.7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4.0</w:t>
            </w:r>
          </w:p>
        </w:tc>
        <w:tc>
          <w:tcPr>
            <w:tcW w:w="2220" w:type="dxa"/>
            <w:tcBorders>
              <w:top w:val="nil"/>
              <w:left w:val="nil"/>
              <w:bottom w:val="single" w:color="auto" w:sz="4" w:space="0"/>
              <w:right w:val="single" w:color="auto" w:sz="4" w:space="0"/>
            </w:tcBorders>
            <w:vAlign w:val="bottom"/>
          </w:tcPr>
          <w:p>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2.7</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c>
          <w:tcPr>
            <w:tcW w:w="2220" w:type="dxa"/>
            <w:tcBorders>
              <w:top w:val="nil"/>
              <w:left w:val="nil"/>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lang w:val="en-US" w:eastAsia="zh-CN"/>
              </w:rPr>
              <w:t>0.0</w:t>
            </w:r>
          </w:p>
        </w:tc>
      </w:tr>
    </w:tbl>
    <w:p>
      <w:pPr>
        <w:spacing w:line="300" w:lineRule="exact"/>
        <w:rPr>
          <w:rFonts w:ascii="仿宋_GB2312" w:hAnsi="仿宋"/>
          <w:sz w:val="21"/>
          <w:szCs w:val="21"/>
        </w:rPr>
      </w:pPr>
    </w:p>
    <w:p>
      <w:pPr>
        <w:spacing w:line="300" w:lineRule="exact"/>
        <w:rPr>
          <w:rFonts w:hint="eastAsia" w:ascii="黑体" w:hAnsi="黑体" w:eastAsia="黑体"/>
          <w:szCs w:val="32"/>
        </w:rPr>
      </w:pPr>
      <w:r>
        <w:rPr>
          <w:rFonts w:hint="eastAsia" w:ascii="仿宋_GB2312" w:hAnsi="仿宋"/>
          <w:sz w:val="21"/>
          <w:szCs w:val="21"/>
        </w:rPr>
        <w:t>注：本表反映部门本年度一般公共预算财政拨款“三公”经费支出预决算情况。其中，预算数为“三</w:t>
      </w:r>
      <w:bookmarkStart w:id="0" w:name="_GoBack"/>
      <w:bookmarkEnd w:id="0"/>
      <w:r>
        <w:rPr>
          <w:rFonts w:hint="eastAsia" w:ascii="仿宋_GB2312" w:hAnsi="仿宋"/>
          <w:sz w:val="21"/>
          <w:szCs w:val="21"/>
        </w:rPr>
        <w:t xml:space="preserve">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hint="eastAsia" w:ascii="黑体" w:hAnsi="黑体" w:eastAsia="黑体"/>
          <w:szCs w:val="32"/>
        </w:rPr>
      </w:pPr>
    </w:p>
    <w:p>
      <w:pPr>
        <w:spacing w:line="300" w:lineRule="exact"/>
        <w:rPr>
          <w:rFonts w:ascii="黑体" w:hAnsi="黑体" w:eastAsia="黑体"/>
          <w:szCs w:val="32"/>
        </w:rPr>
      </w:pPr>
      <w:r>
        <w:rPr>
          <w:rFonts w:hint="eastAsia" w:ascii="黑体" w:hAnsi="黑体" w:eastAsia="黑体"/>
          <w:szCs w:val="32"/>
        </w:rPr>
        <w:t xml:space="preserve">                                </w:t>
      </w:r>
    </w:p>
    <w:p>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2022</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pPr>
        <w:ind w:firstLine="628" w:firstLineChars="200"/>
        <w:rPr>
          <w:rFonts w:hint="eastAsia" w:ascii="仿宋_GB2312" w:hAnsi="仿宋"/>
          <w:color w:val="auto"/>
          <w:szCs w:val="32"/>
        </w:rPr>
      </w:pPr>
      <w:r>
        <w:rPr>
          <w:rFonts w:hint="eastAsia" w:ascii="仿宋_GB2312" w:hAnsi="仿宋"/>
          <w:szCs w:val="32"/>
          <w:lang w:eastAsia="zh-CN"/>
        </w:rPr>
        <w:t>淮南市八公山区新庄孜街道办事</w:t>
      </w:r>
      <w:r>
        <w:rPr>
          <w:rFonts w:hint="eastAsia" w:ascii="仿宋_GB2312" w:hAnsi="仿宋"/>
          <w:szCs w:val="32"/>
        </w:rPr>
        <w:t>2022年度一般公共预算财政拨款“三公”经费支出预算为</w:t>
      </w:r>
      <w:r>
        <w:rPr>
          <w:rFonts w:hint="eastAsia" w:ascii="仿宋_GB2312" w:hAnsi="仿宋"/>
          <w:szCs w:val="32"/>
          <w:lang w:val="en-US" w:eastAsia="zh-CN"/>
        </w:rPr>
        <w:t>4</w:t>
      </w:r>
      <w:r>
        <w:rPr>
          <w:rFonts w:hint="eastAsia" w:ascii="仿宋_GB2312" w:hAnsi="仿宋"/>
          <w:szCs w:val="32"/>
        </w:rPr>
        <w:t>万元，支出决算为</w:t>
      </w:r>
      <w:r>
        <w:rPr>
          <w:rFonts w:hint="eastAsia" w:ascii="仿宋_GB2312" w:hAnsi="仿宋"/>
          <w:szCs w:val="32"/>
          <w:lang w:val="en-US" w:eastAsia="zh-CN"/>
        </w:rPr>
        <w:t>2.7</w:t>
      </w:r>
      <w:r>
        <w:rPr>
          <w:rFonts w:hint="eastAsia" w:ascii="仿宋_GB2312" w:hAnsi="仿宋"/>
          <w:szCs w:val="32"/>
        </w:rPr>
        <w:t>万元，完成预算的</w:t>
      </w:r>
      <w:r>
        <w:rPr>
          <w:rFonts w:hint="eastAsia" w:ascii="仿宋_GB2312" w:hAnsi="仿宋"/>
          <w:szCs w:val="32"/>
          <w:lang w:val="en-US" w:eastAsia="zh-CN"/>
        </w:rPr>
        <w:t>67.5</w:t>
      </w:r>
      <w:r>
        <w:rPr>
          <w:rFonts w:hint="eastAsia" w:ascii="仿宋_GB2312" w:hAnsi="仿宋"/>
          <w:szCs w:val="32"/>
        </w:rPr>
        <w:t>%；</w:t>
      </w:r>
      <w:r>
        <w:rPr>
          <w:rFonts w:hint="eastAsia" w:ascii="仿宋_GB2312" w:hAnsi="仿宋"/>
          <w:color w:val="auto"/>
          <w:szCs w:val="32"/>
        </w:rPr>
        <w:t>较上年减少</w:t>
      </w:r>
      <w:r>
        <w:rPr>
          <w:rFonts w:hint="eastAsia" w:ascii="仿宋_GB2312" w:hAnsi="仿宋"/>
          <w:color w:val="auto"/>
          <w:szCs w:val="32"/>
          <w:lang w:val="en-US" w:eastAsia="zh-CN"/>
        </w:rPr>
        <w:t>0.56</w:t>
      </w:r>
      <w:r>
        <w:rPr>
          <w:rFonts w:hint="eastAsia" w:ascii="仿宋_GB2312" w:hAnsi="仿宋"/>
          <w:color w:val="auto"/>
          <w:szCs w:val="32"/>
        </w:rPr>
        <w:t>万元，下降</w:t>
      </w:r>
      <w:r>
        <w:rPr>
          <w:rFonts w:hint="eastAsia" w:ascii="仿宋_GB2312" w:hAnsi="仿宋"/>
          <w:color w:val="auto"/>
          <w:szCs w:val="32"/>
          <w:lang w:val="en-US" w:eastAsia="zh-CN"/>
        </w:rPr>
        <w:t>17.18</w:t>
      </w:r>
      <w:r>
        <w:rPr>
          <w:rFonts w:hint="eastAsia" w:ascii="仿宋_GB2312" w:hAnsi="仿宋"/>
          <w:color w:val="auto"/>
          <w:szCs w:val="32"/>
        </w:rPr>
        <w:t>%。决算数小于预算数的主要原因是厉行节约。决算数较上年减少的主要原因是文明创建加班餐费等公务往来支出减少。</w:t>
      </w:r>
    </w:p>
    <w:p>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pPr>
        <w:ind w:firstLine="628" w:firstLineChars="200"/>
        <w:rPr>
          <w:rFonts w:ascii="仿宋_GB2312" w:hAnsi="仿宋"/>
          <w:szCs w:val="32"/>
        </w:rPr>
      </w:pPr>
      <w:r>
        <w:rPr>
          <w:rFonts w:hint="eastAsia" w:ascii="仿宋_GB2312" w:hAnsi="仿宋"/>
          <w:szCs w:val="32"/>
          <w:lang w:eastAsia="zh-CN"/>
        </w:rPr>
        <w:t>淮南市八公山区新庄孜街道办事处</w:t>
      </w:r>
      <w:r>
        <w:rPr>
          <w:rFonts w:hint="eastAsia" w:ascii="仿宋_GB2312" w:hAnsi="仿宋"/>
          <w:szCs w:val="32"/>
        </w:rPr>
        <w:t>2022年度一般公共预算财政拨款“三公”经费支出决算中，因公出国（境）费支出决算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pPr>
        <w:ind w:firstLine="628"/>
        <w:rPr>
          <w:rFonts w:ascii="仿宋_GB2312" w:hAnsi="仿宋"/>
          <w:szCs w:val="32"/>
        </w:rPr>
      </w:pPr>
      <w:r>
        <w:rPr>
          <w:rFonts w:hint="eastAsia" w:ascii="仿宋_GB2312" w:hAnsi="仿宋"/>
          <w:b/>
          <w:bCs/>
          <w:szCs w:val="32"/>
        </w:rPr>
        <w:t>1.因公出国（境）费</w:t>
      </w:r>
      <w:r>
        <w:rPr>
          <w:rFonts w:hint="eastAsia" w:ascii="仿宋_GB2312" w:hAnsi="仿宋"/>
          <w:b/>
          <w:bCs/>
          <w:szCs w:val="32"/>
          <w:lang w:val="en-US" w:eastAsia="zh-CN"/>
        </w:rPr>
        <w:t xml:space="preserve"> </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我单位不涉及因公出国（境）</w:t>
      </w:r>
      <w:r>
        <w:rPr>
          <w:rFonts w:hint="eastAsia" w:ascii="仿宋_GB2312" w:hAnsi="仿宋"/>
          <w:color w:val="auto"/>
          <w:szCs w:val="32"/>
        </w:rPr>
        <w:t>。决算数较上年</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我单位不涉及因公出国（境）</w:t>
      </w:r>
      <w:r>
        <w:rPr>
          <w:rFonts w:hint="eastAsia" w:ascii="仿宋_GB2312" w:hAnsi="仿宋"/>
          <w:color w:val="auto"/>
          <w:szCs w:val="32"/>
        </w:rPr>
        <w:t>。</w:t>
      </w:r>
      <w:r>
        <w:rPr>
          <w:rFonts w:hint="eastAsia" w:ascii="仿宋_GB2312" w:hAnsi="仿宋"/>
          <w:szCs w:val="32"/>
        </w:rPr>
        <w:t>2022年</w:t>
      </w:r>
      <w:r>
        <w:rPr>
          <w:rFonts w:hint="eastAsia" w:ascii="仿宋_GB2312" w:hAnsi="仿宋"/>
          <w:szCs w:val="32"/>
          <w:lang w:eastAsia="zh-CN"/>
        </w:rPr>
        <w:t>淮南市八公山区新庄孜街道办事处</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人次。经费使用严格按照《</w:t>
      </w:r>
      <w:r>
        <w:rPr>
          <w:rFonts w:hint="eastAsia" w:ascii="仿宋_GB2312" w:hAnsi="仿宋"/>
          <w:szCs w:val="32"/>
          <w:lang w:eastAsia="zh-CN"/>
        </w:rPr>
        <w:t>淮南市</w:t>
      </w:r>
      <w:r>
        <w:rPr>
          <w:rFonts w:hint="eastAsia" w:ascii="仿宋_GB2312" w:hAnsi="仿宋"/>
          <w:szCs w:val="32"/>
        </w:rPr>
        <w:t>省直党政机关因公临时出国经费管理办法》（财行〔2014〕104号）、《</w:t>
      </w:r>
      <w:r>
        <w:rPr>
          <w:rFonts w:hint="eastAsia" w:ascii="仿宋_GB2312" w:hAnsi="仿宋"/>
          <w:szCs w:val="32"/>
          <w:lang w:eastAsia="zh-CN"/>
        </w:rPr>
        <w:t>淮南市</w:t>
      </w:r>
      <w:r>
        <w:rPr>
          <w:rFonts w:hint="eastAsia" w:ascii="仿宋_GB2312" w:hAnsi="仿宋"/>
          <w:szCs w:val="32"/>
        </w:rPr>
        <w:t>省直党政机关因公短期出国培训费用管理办法》（财行〔2014〕527号）等相关规定执行。</w:t>
      </w:r>
    </w:p>
    <w:p>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b/>
          <w:bCs/>
          <w:szCs w:val="32"/>
          <w:lang w:val="en-US" w:eastAsia="zh-CN"/>
        </w:rPr>
        <w:t xml:space="preserve"> </w:t>
      </w:r>
      <w:r>
        <w:rPr>
          <w:rFonts w:hint="eastAsia" w:ascii="仿宋_GB2312" w:hAnsi="仿宋"/>
          <w:b w:val="0"/>
          <w:bCs w:val="0"/>
          <w:color w:val="auto"/>
          <w:szCs w:val="32"/>
        </w:rPr>
        <w:t>预算为</w:t>
      </w:r>
      <w:r>
        <w:rPr>
          <w:rFonts w:hint="eastAsia" w:ascii="仿宋_GB2312" w:hAnsi="仿宋"/>
          <w:b w:val="0"/>
          <w:bCs w:val="0"/>
          <w:color w:val="auto"/>
          <w:szCs w:val="32"/>
          <w:lang w:val="en-US" w:eastAsia="zh-CN"/>
        </w:rPr>
        <w:t>4</w:t>
      </w:r>
      <w:r>
        <w:rPr>
          <w:rFonts w:hint="eastAsia" w:ascii="仿宋_GB2312" w:hAnsi="仿宋"/>
          <w:b w:val="0"/>
          <w:bCs w:val="0"/>
          <w:color w:val="auto"/>
          <w:szCs w:val="32"/>
        </w:rPr>
        <w:t>万元，支出决算为</w:t>
      </w:r>
      <w:r>
        <w:rPr>
          <w:rFonts w:hint="eastAsia" w:ascii="仿宋_GB2312" w:hAnsi="仿宋"/>
          <w:b w:val="0"/>
          <w:bCs w:val="0"/>
          <w:color w:val="auto"/>
          <w:szCs w:val="32"/>
          <w:lang w:val="en-US" w:eastAsia="zh-CN"/>
        </w:rPr>
        <w:t>2.7</w:t>
      </w:r>
      <w:r>
        <w:rPr>
          <w:rFonts w:hint="eastAsia" w:ascii="仿宋_GB2312" w:hAnsi="仿宋"/>
          <w:b w:val="0"/>
          <w:bCs w:val="0"/>
          <w:color w:val="auto"/>
          <w:szCs w:val="32"/>
        </w:rPr>
        <w:t>万元，完成预算的</w:t>
      </w:r>
      <w:r>
        <w:rPr>
          <w:rFonts w:hint="eastAsia" w:ascii="仿宋_GB2312" w:hAnsi="仿宋"/>
          <w:b w:val="0"/>
          <w:bCs w:val="0"/>
          <w:color w:val="auto"/>
          <w:szCs w:val="32"/>
          <w:lang w:val="en-US" w:eastAsia="zh-CN"/>
        </w:rPr>
        <w:t>67.5</w:t>
      </w:r>
      <w:r>
        <w:rPr>
          <w:rFonts w:hint="eastAsia" w:ascii="仿宋_GB2312" w:hAnsi="仿宋"/>
          <w:b w:val="0"/>
          <w:bCs w:val="0"/>
          <w:color w:val="auto"/>
          <w:szCs w:val="32"/>
        </w:rPr>
        <w:t>%；较上年减少</w:t>
      </w:r>
      <w:r>
        <w:rPr>
          <w:rFonts w:hint="eastAsia" w:ascii="仿宋_GB2312" w:hAnsi="仿宋"/>
          <w:b w:val="0"/>
          <w:bCs w:val="0"/>
          <w:color w:val="auto"/>
          <w:szCs w:val="32"/>
          <w:lang w:val="en-US" w:eastAsia="zh-CN"/>
        </w:rPr>
        <w:t>0.56</w:t>
      </w:r>
      <w:r>
        <w:rPr>
          <w:rFonts w:hint="eastAsia" w:ascii="仿宋_GB2312" w:hAnsi="仿宋"/>
          <w:b w:val="0"/>
          <w:bCs w:val="0"/>
          <w:color w:val="auto"/>
          <w:szCs w:val="32"/>
        </w:rPr>
        <w:t>万元，下降17.18%。决算数小于预算数的主要原因是厉行节约。决算数较上年减少的主要原因是文明创建加班餐费等公务往来支出减少。</w:t>
      </w:r>
      <w:r>
        <w:rPr>
          <w:rFonts w:hint="eastAsia" w:ascii="仿宋_GB2312" w:hAnsi="仿宋"/>
          <w:szCs w:val="32"/>
        </w:rPr>
        <w:t>2022年</w:t>
      </w:r>
      <w:r>
        <w:rPr>
          <w:rFonts w:hint="eastAsia" w:ascii="仿宋_GB2312" w:hAnsi="仿宋"/>
          <w:szCs w:val="32"/>
          <w:lang w:eastAsia="zh-CN"/>
        </w:rPr>
        <w:t>淮南市八公山区新庄孜街道办事处</w:t>
      </w:r>
      <w:r>
        <w:rPr>
          <w:rFonts w:hint="eastAsia" w:ascii="仿宋_GB2312" w:hAnsi="仿宋"/>
          <w:szCs w:val="32"/>
        </w:rPr>
        <w:t>国内公务接待共</w:t>
      </w:r>
      <w:r>
        <w:rPr>
          <w:rFonts w:hint="eastAsia" w:ascii="仿宋_GB2312" w:hAnsi="仿宋"/>
          <w:szCs w:val="32"/>
          <w:lang w:val="en-US" w:eastAsia="zh-CN"/>
        </w:rPr>
        <w:t>95</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900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加班餐费等公务往来</w:t>
      </w:r>
      <w:r>
        <w:rPr>
          <w:rFonts w:hint="eastAsia" w:ascii="楷体_GB2312" w:eastAsia="楷体_GB2312"/>
          <w:szCs w:val="32"/>
          <w:lang w:eastAsia="zh-CN"/>
        </w:rPr>
        <w:t>。</w:t>
      </w:r>
      <w:r>
        <w:rPr>
          <w:rFonts w:hint="eastAsia" w:ascii="仿宋_GB2312" w:hAnsi="仿宋"/>
          <w:szCs w:val="32"/>
        </w:rPr>
        <w:t>经费使用严格执行《党政机关厉行节约反对浪费条例》、市委市政府有关具体要求、《淮南市党政机关国内公务接待管理办法》(淮办发〔2014〕26号</w:t>
      </w:r>
      <w:r>
        <w:rPr>
          <w:rFonts w:ascii="仿宋_GB2312" w:hAnsi="仿宋"/>
          <w:szCs w:val="32"/>
        </w:rPr>
        <w:t>)</w:t>
      </w:r>
      <w:r>
        <w:rPr>
          <w:rFonts w:hint="eastAsia" w:ascii="仿宋_GB2312" w:hAnsi="仿宋"/>
          <w:szCs w:val="32"/>
        </w:rPr>
        <w:t>相关规定。</w:t>
      </w:r>
    </w:p>
    <w:p>
      <w:pPr>
        <w:ind w:firstLine="628" w:firstLineChars="200"/>
        <w:rPr>
          <w:color w:val="auto"/>
        </w:rPr>
      </w:pPr>
      <w:r>
        <w:rPr>
          <w:rFonts w:hint="eastAsia" w:ascii="仿宋_GB2312" w:hAnsi="仿宋"/>
          <w:b/>
          <w:bCs/>
          <w:szCs w:val="32"/>
        </w:rPr>
        <w:t>3.公务用车购置及运行维护费</w:t>
      </w:r>
      <w:r>
        <w:rPr>
          <w:rFonts w:hint="eastAsia" w:ascii="仿宋_GB2312" w:hAnsi="仿宋"/>
          <w:b/>
          <w:bCs/>
          <w:szCs w:val="32"/>
          <w:lang w:val="en-US" w:eastAsia="zh-CN"/>
        </w:rPr>
        <w:t xml:space="preserve"> </w:t>
      </w:r>
      <w:r>
        <w:rPr>
          <w:rFonts w:hint="eastAsia" w:ascii="仿宋_GB2312" w:hAnsi="仿宋"/>
          <w:color w:val="auto"/>
          <w:szCs w:val="32"/>
        </w:rPr>
        <w:t>预算为</w:t>
      </w:r>
      <w:r>
        <w:rPr>
          <w:rFonts w:hint="eastAsia" w:ascii="仿宋_GB2312" w:hAnsi="仿宋"/>
          <w:color w:val="auto"/>
          <w:szCs w:val="32"/>
          <w:lang w:val="en-US" w:eastAsia="zh-CN"/>
        </w:rPr>
        <w:t>0</w:t>
      </w:r>
      <w:r>
        <w:rPr>
          <w:rFonts w:hint="eastAsia" w:ascii="仿宋_GB2312" w:hAnsi="仿宋"/>
          <w:color w:val="auto"/>
          <w:szCs w:val="32"/>
        </w:rPr>
        <w:t xml:space="preserve">万元，支出决算为 </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我单位未安排公务用车</w:t>
      </w:r>
      <w:r>
        <w:rPr>
          <w:rFonts w:hint="eastAsia" w:ascii="仿宋_GB2312" w:hAnsi="仿宋"/>
          <w:color w:val="auto"/>
          <w:szCs w:val="32"/>
        </w:rPr>
        <w:t>。决算数</w:t>
      </w:r>
      <w:r>
        <w:rPr>
          <w:rFonts w:hint="eastAsia" w:ascii="仿宋_GB2312" w:hAnsi="仿宋"/>
          <w:color w:val="auto"/>
          <w:szCs w:val="32"/>
          <w:lang w:eastAsia="zh-CN"/>
        </w:rPr>
        <w:t>与上</w:t>
      </w:r>
      <w:r>
        <w:rPr>
          <w:rFonts w:hint="eastAsia" w:ascii="仿宋_GB2312" w:hAnsi="仿宋"/>
          <w:color w:val="auto"/>
          <w:szCs w:val="32"/>
        </w:rPr>
        <w:t>年</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我单位未安排公务用车</w:t>
      </w:r>
      <w:r>
        <w:rPr>
          <w:rFonts w:hint="eastAsia" w:ascii="仿宋_GB2312" w:hAnsi="仿宋"/>
          <w:color w:val="auto"/>
          <w:szCs w:val="32"/>
        </w:rPr>
        <w:t>。其中，公务用车购置费预算为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w:t>
      </w:r>
      <w:r>
        <w:rPr>
          <w:rFonts w:hint="eastAsia" w:ascii="仿宋_GB2312" w:hAnsi="仿宋"/>
          <w:color w:val="auto"/>
          <w:szCs w:val="32"/>
        </w:rPr>
        <w:t>2022年</w:t>
      </w:r>
      <w:r>
        <w:rPr>
          <w:rFonts w:hint="eastAsia" w:ascii="仿宋_GB2312" w:hAnsi="仿宋"/>
          <w:color w:val="auto"/>
          <w:szCs w:val="32"/>
          <w:lang w:eastAsia="zh-CN"/>
        </w:rPr>
        <w:t>未</w:t>
      </w:r>
      <w:r>
        <w:rPr>
          <w:rFonts w:hint="eastAsia" w:ascii="仿宋_GB2312" w:hAnsi="仿宋"/>
          <w:color w:val="auto"/>
          <w:szCs w:val="32"/>
        </w:rPr>
        <w:t>安排公务用车购置费。决算数较上年</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w:t>
      </w:r>
      <w:r>
        <w:rPr>
          <w:rFonts w:hint="eastAsia" w:ascii="仿宋_GB2312" w:hAnsi="仿宋"/>
          <w:color w:val="auto"/>
          <w:szCs w:val="32"/>
        </w:rPr>
        <w:t>2022年</w:t>
      </w:r>
      <w:r>
        <w:rPr>
          <w:rFonts w:hint="eastAsia" w:ascii="仿宋_GB2312" w:hAnsi="仿宋"/>
          <w:color w:val="auto"/>
          <w:szCs w:val="32"/>
          <w:lang w:eastAsia="zh-CN"/>
        </w:rPr>
        <w:t>未</w:t>
      </w:r>
      <w:r>
        <w:rPr>
          <w:rFonts w:hint="eastAsia" w:ascii="仿宋_GB2312" w:hAnsi="仿宋"/>
          <w:color w:val="auto"/>
          <w:szCs w:val="32"/>
        </w:rPr>
        <w:t>安排公务用车购置费。</w:t>
      </w:r>
      <w:r>
        <w:rPr>
          <w:rFonts w:hint="eastAsia" w:ascii="仿宋_GB2312" w:hAnsi="仿宋"/>
          <w:szCs w:val="32"/>
        </w:rPr>
        <w:t>2022年购置公务用车</w:t>
      </w:r>
      <w:r>
        <w:rPr>
          <w:rFonts w:hint="eastAsia" w:ascii="仿宋_GB2312" w:hAnsi="仿宋"/>
          <w:szCs w:val="32"/>
          <w:lang w:val="en-US" w:eastAsia="zh-CN"/>
        </w:rPr>
        <w:t>0</w:t>
      </w:r>
      <w:r>
        <w:rPr>
          <w:rFonts w:hint="eastAsia" w:ascii="仿宋_GB2312" w:hAnsi="仿宋"/>
          <w:szCs w:val="32"/>
        </w:rPr>
        <w:t>辆</w:t>
      </w:r>
      <w:r>
        <w:rPr>
          <w:rFonts w:hint="eastAsia" w:ascii="楷体_GB2312" w:hAnsi="仿宋" w:eastAsia="楷体_GB2312"/>
          <w:szCs w:val="32"/>
        </w:rPr>
        <w:t>。</w:t>
      </w:r>
      <w:r>
        <w:rPr>
          <w:rFonts w:hint="eastAsia" w:ascii="仿宋_GB2312" w:hAnsi="仿宋"/>
          <w:color w:val="auto"/>
          <w:szCs w:val="32"/>
        </w:rPr>
        <w:t>公务用车运行维护费预算为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0</w:t>
      </w:r>
      <w:r>
        <w:rPr>
          <w:rFonts w:hint="eastAsia" w:ascii="仿宋_GB2312" w:hAnsi="仿宋"/>
          <w:color w:val="auto"/>
          <w:szCs w:val="32"/>
        </w:rPr>
        <w:t>万元，完成预算的</w:t>
      </w:r>
      <w:r>
        <w:rPr>
          <w:rFonts w:hint="eastAsia" w:ascii="仿宋_GB2312" w:hAnsi="仿宋"/>
          <w:color w:val="auto"/>
          <w:szCs w:val="32"/>
          <w:lang w:val="en-US" w:eastAsia="zh-CN"/>
        </w:rPr>
        <w:t>0</w:t>
      </w:r>
      <w:r>
        <w:rPr>
          <w:rFonts w:hint="eastAsia" w:ascii="仿宋_GB2312" w:hAnsi="仿宋"/>
          <w:color w:val="auto"/>
          <w:szCs w:val="32"/>
        </w:rPr>
        <w:t>%；较上年减少（增加）</w:t>
      </w:r>
      <w:r>
        <w:rPr>
          <w:rFonts w:hint="eastAsia" w:ascii="仿宋_GB2312" w:hAnsi="仿宋"/>
          <w:color w:val="auto"/>
          <w:szCs w:val="32"/>
          <w:lang w:val="en-US" w:eastAsia="zh-CN"/>
        </w:rPr>
        <w:t>0</w:t>
      </w:r>
      <w:r>
        <w:rPr>
          <w:rFonts w:hint="eastAsia" w:ascii="仿宋_GB2312" w:hAnsi="仿宋"/>
          <w:color w:val="auto"/>
          <w:szCs w:val="32"/>
        </w:rPr>
        <w:t>万元，下降（增长）</w:t>
      </w:r>
      <w:r>
        <w:rPr>
          <w:rFonts w:hint="eastAsia" w:ascii="仿宋_GB2312" w:hAnsi="仿宋"/>
          <w:color w:val="auto"/>
          <w:szCs w:val="32"/>
          <w:lang w:val="en-US" w:eastAsia="zh-CN"/>
        </w:rPr>
        <w:t>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的主要原因是</w:t>
      </w:r>
      <w:r>
        <w:rPr>
          <w:rFonts w:hint="eastAsia" w:ascii="仿宋_GB2312" w:hAnsi="仿宋"/>
          <w:color w:val="auto"/>
          <w:szCs w:val="32"/>
          <w:lang w:eastAsia="zh-CN"/>
        </w:rPr>
        <w:t>我单位</w:t>
      </w:r>
      <w:r>
        <w:rPr>
          <w:rFonts w:hint="eastAsia" w:ascii="仿宋_GB2312" w:hAnsi="仿宋"/>
          <w:color w:val="auto"/>
          <w:szCs w:val="32"/>
        </w:rPr>
        <w:t>2022年</w:t>
      </w:r>
      <w:r>
        <w:rPr>
          <w:rFonts w:hint="eastAsia" w:ascii="仿宋_GB2312" w:hAnsi="仿宋"/>
          <w:color w:val="auto"/>
          <w:szCs w:val="32"/>
          <w:lang w:eastAsia="zh-CN"/>
        </w:rPr>
        <w:t>未</w:t>
      </w:r>
      <w:r>
        <w:rPr>
          <w:rFonts w:hint="eastAsia" w:ascii="仿宋_GB2312" w:hAnsi="仿宋"/>
          <w:color w:val="auto"/>
          <w:szCs w:val="32"/>
        </w:rPr>
        <w:t>安排公务用车</w:t>
      </w:r>
      <w:r>
        <w:rPr>
          <w:rFonts w:hint="eastAsia" w:ascii="仿宋_GB2312" w:hAnsi="仿宋"/>
          <w:color w:val="auto"/>
          <w:szCs w:val="32"/>
          <w:lang w:eastAsia="zh-CN"/>
        </w:rPr>
        <w:t>维护费</w:t>
      </w:r>
      <w:r>
        <w:rPr>
          <w:rFonts w:hint="eastAsia" w:ascii="仿宋_GB2312" w:hAnsi="仿宋"/>
          <w:color w:val="auto"/>
          <w:szCs w:val="32"/>
        </w:rPr>
        <w:t>。决算数较上年</w:t>
      </w:r>
      <w:r>
        <w:rPr>
          <w:rFonts w:hint="eastAsia" w:ascii="仿宋_GB2312" w:hAnsi="仿宋"/>
          <w:color w:val="auto"/>
          <w:szCs w:val="32"/>
          <w:lang w:eastAsia="zh-CN"/>
        </w:rPr>
        <w:t>持平</w:t>
      </w:r>
      <w:r>
        <w:rPr>
          <w:rFonts w:hint="eastAsia" w:ascii="仿宋_GB2312" w:hAnsi="仿宋"/>
          <w:color w:val="auto"/>
          <w:szCs w:val="32"/>
        </w:rPr>
        <w:t>的主要原因是我单位2022年未安排公务用车维护费。</w:t>
      </w:r>
    </w:p>
    <w:p>
      <w:pPr>
        <w:pStyle w:val="2"/>
        <w:ind w:left="1258" w:hanging="1258"/>
        <w:rPr>
          <w:rFonts w:ascii="仿宋_GB2312"/>
        </w:rPr>
      </w:pPr>
    </w:p>
    <w:p>
      <w:pPr>
        <w:pStyle w:val="2"/>
        <w:ind w:left="1258" w:hanging="1258"/>
        <w:rPr>
          <w:rFonts w:ascii="仿宋_GB2312"/>
        </w:rPr>
      </w:pPr>
    </w:p>
    <w:p>
      <w:pPr>
        <w:pStyle w:val="2"/>
      </w:pP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4</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4MjdmZGNmOGYxY2RmODYwZTNiMmNkOTYyN2M0NjMifQ=="/>
  </w:docVars>
  <w:rsids>
    <w:rsidRoot w:val="00C940DE"/>
    <w:rsid w:val="00292198"/>
    <w:rsid w:val="004F7FF6"/>
    <w:rsid w:val="00652CEA"/>
    <w:rsid w:val="007258EF"/>
    <w:rsid w:val="009C0698"/>
    <w:rsid w:val="00AA6A76"/>
    <w:rsid w:val="00C940DE"/>
    <w:rsid w:val="00FB14ED"/>
    <w:rsid w:val="0465085E"/>
    <w:rsid w:val="0F877AEA"/>
    <w:rsid w:val="10B66683"/>
    <w:rsid w:val="6F417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spacing w:after="12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271</Words>
  <Characters>1551</Characters>
  <Lines>12</Lines>
  <Paragraphs>3</Paragraphs>
  <TotalTime>0</TotalTime>
  <ScaleCrop>false</ScaleCrop>
  <LinksUpToDate>false</LinksUpToDate>
  <CharactersWithSpaces>1819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崔爱民</dc:creator>
  <cp:lastModifiedBy>好大一只瑶</cp:lastModifiedBy>
  <dcterms:modified xsi:type="dcterms:W3CDTF">2023-10-16T01:54:12Z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EFDCC63E0F3C446A8C552E572EFB0528_12</vt:lpwstr>
  </property>
</Properties>
</file>