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szCs w:val="32"/>
        </w:rPr>
      </w:pPr>
    </w:p>
    <w:p>
      <w:pPr>
        <w:jc w:val="center"/>
        <w:rPr>
          <w:rFonts w:ascii="宋体" w:hAnsi="宋体"/>
          <w:b/>
          <w:sz w:val="36"/>
          <w:szCs w:val="36"/>
        </w:rPr>
      </w:pPr>
      <w:bookmarkStart w:id="0" w:name="_GoBack"/>
      <w:r>
        <w:rPr>
          <w:rFonts w:hint="eastAsia" w:ascii="宋体" w:hAnsi="宋体"/>
          <w:b/>
          <w:sz w:val="36"/>
          <w:szCs w:val="36"/>
          <w:lang w:eastAsia="zh-CN"/>
        </w:rPr>
        <w:t>淮南市</w:t>
      </w:r>
      <w:r>
        <w:rPr>
          <w:rFonts w:hint="eastAsia" w:ascii="宋体" w:hAnsi="宋体" w:cs="Times New Roman"/>
          <w:b/>
          <w:sz w:val="36"/>
          <w:szCs w:val="36"/>
        </w:rPr>
        <w:t>八公山区</w:t>
      </w:r>
      <w:r>
        <w:rPr>
          <w:rFonts w:hint="eastAsia" w:ascii="宋体" w:hAnsi="宋体" w:cs="Times New Roman"/>
          <w:b/>
          <w:sz w:val="36"/>
          <w:szCs w:val="36"/>
          <w:lang w:val="en-US" w:eastAsia="zh-CN"/>
        </w:rPr>
        <w:t>城市管理行政执法局</w:t>
      </w:r>
      <w:r>
        <w:rPr>
          <w:rFonts w:hint="eastAsia" w:ascii="宋体" w:hAnsi="宋体"/>
          <w:b/>
          <w:sz w:val="36"/>
          <w:szCs w:val="36"/>
        </w:rPr>
        <w:t>2022</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bookmarkEnd w:id="0"/>
    <w:p>
      <w:pPr>
        <w:jc w:val="center"/>
        <w:rPr>
          <w:rFonts w:ascii="楷体_GB2312" w:eastAsia="楷体_GB2312"/>
          <w:szCs w:val="32"/>
        </w:rPr>
      </w:pPr>
    </w:p>
    <w:p>
      <w:pPr>
        <w:adjustRightInd w:val="0"/>
        <w:snapToGrid w:val="0"/>
        <w:spacing w:line="360" w:lineRule="auto"/>
        <w:jc w:val="center"/>
        <w:rPr>
          <w:rFonts w:ascii="宋体" w:hAnsi="宋体"/>
          <w:sz w:val="6"/>
          <w:szCs w:val="32"/>
        </w:rPr>
      </w:pPr>
    </w:p>
    <w:p>
      <w:pPr>
        <w:rPr>
          <w:rFonts w:ascii="黑体" w:hAnsi="黑体" w:eastAsia="黑体"/>
          <w:szCs w:val="32"/>
        </w:rPr>
      </w:pPr>
      <w:r>
        <w:rPr>
          <w:rFonts w:ascii="黑体" w:hAnsi="黑体" w:eastAsia="黑体"/>
          <w:szCs w:val="32"/>
        </w:rPr>
        <w:t xml:space="preserve">    </w:t>
      </w:r>
      <w:r>
        <w:rPr>
          <w:rFonts w:hint="eastAsia" w:ascii="黑体" w:hAnsi="黑体" w:eastAsia="黑体"/>
          <w:szCs w:val="32"/>
        </w:rPr>
        <w:t>一、2022年度一般公共预算财政拨款“三公”经费支出决算表</w:t>
      </w:r>
    </w:p>
    <w:p>
      <w:pPr>
        <w:ind w:firstLine="7216" w:firstLineChars="2298"/>
        <w:rPr>
          <w:rFonts w:ascii="黑体" w:hAnsi="黑体" w:eastAsia="黑体"/>
          <w:szCs w:val="32"/>
        </w:rPr>
      </w:pPr>
      <w:r>
        <w:rPr>
          <w:rFonts w:hint="eastAsia" w:ascii="仿宋_GB2312" w:hAnsi="仿宋_GB2312" w:cs="仿宋_GB2312"/>
          <w:szCs w:val="32"/>
        </w:rPr>
        <w:t>单位：万元</w:t>
      </w:r>
    </w:p>
    <w:tbl>
      <w:tblPr>
        <w:tblStyle w:val="6"/>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决 算 数</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　</w:t>
            </w:r>
          </w:p>
        </w:tc>
        <w:tc>
          <w:tcPr>
            <w:tcW w:w="2220" w:type="dxa"/>
            <w:tcBorders>
              <w:top w:val="nil"/>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　</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both"/>
              <w:rPr>
                <w:rFonts w:hint="eastAsia" w:ascii="宋体" w:hAnsi="宋体" w:eastAsia="宋体" w:cs="宋体"/>
                <w:kern w:val="0"/>
                <w:sz w:val="22"/>
                <w:szCs w:val="22"/>
                <w:lang w:val="en-US" w:eastAsia="zh-CN"/>
              </w:rPr>
            </w:pPr>
            <w:r>
              <w:rPr>
                <w:rFonts w:hint="eastAsia" w:ascii="宋体" w:hAnsi="宋体" w:cs="宋体"/>
                <w:kern w:val="0"/>
                <w:szCs w:val="21"/>
                <w:lang w:val="en-US" w:eastAsia="zh-CN"/>
              </w:rPr>
              <w:t>因公出国（境）费</w:t>
            </w:r>
          </w:p>
        </w:tc>
        <w:tc>
          <w:tcPr>
            <w:tcW w:w="2157" w:type="dxa"/>
            <w:tcBorders>
              <w:top w:val="nil"/>
              <w:left w:val="nil"/>
              <w:bottom w:val="single" w:color="auto" w:sz="4" w:space="0"/>
              <w:right w:val="single" w:color="auto" w:sz="4" w:space="0"/>
            </w:tcBorders>
            <w:vAlign w:val="bottom"/>
          </w:tcPr>
          <w:p>
            <w:pPr>
              <w:widowControl/>
              <w:ind w:firstLine="107" w:firstLineChars="50"/>
              <w:jc w:val="lef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w:t>
            </w:r>
          </w:p>
        </w:tc>
        <w:tc>
          <w:tcPr>
            <w:tcW w:w="2220" w:type="dxa"/>
            <w:tcBorders>
              <w:top w:val="nil"/>
              <w:left w:val="nil"/>
              <w:bottom w:val="single" w:color="auto" w:sz="4" w:space="0"/>
              <w:right w:val="single" w:color="auto" w:sz="4" w:space="0"/>
            </w:tcBorders>
            <w:vAlign w:val="bottom"/>
          </w:tcPr>
          <w:p>
            <w:pPr>
              <w:widowControl/>
              <w:ind w:firstLine="107" w:firstLineChars="50"/>
              <w:jc w:val="lef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bottom"/>
          </w:tcPr>
          <w:p>
            <w:pPr>
              <w:widowControl/>
              <w:ind w:firstLine="107" w:firstLineChars="50"/>
              <w:jc w:val="lef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9</w:t>
            </w:r>
          </w:p>
        </w:tc>
        <w:tc>
          <w:tcPr>
            <w:tcW w:w="2220" w:type="dxa"/>
            <w:tcBorders>
              <w:top w:val="nil"/>
              <w:left w:val="nil"/>
              <w:bottom w:val="single" w:color="auto" w:sz="4" w:space="0"/>
              <w:right w:val="single" w:color="auto" w:sz="4" w:space="0"/>
            </w:tcBorders>
            <w:vAlign w:val="bottom"/>
          </w:tcPr>
          <w:p>
            <w:pPr>
              <w:widowControl/>
              <w:ind w:firstLine="107" w:firstLineChars="50"/>
              <w:jc w:val="lef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pPr>
              <w:widowControl/>
              <w:ind w:firstLine="107" w:firstLineChars="50"/>
              <w:jc w:val="lef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w:t>
            </w:r>
          </w:p>
        </w:tc>
        <w:tc>
          <w:tcPr>
            <w:tcW w:w="2220" w:type="dxa"/>
            <w:tcBorders>
              <w:top w:val="nil"/>
              <w:left w:val="nil"/>
              <w:bottom w:val="single" w:color="auto" w:sz="4" w:space="0"/>
              <w:right w:val="single" w:color="auto" w:sz="4" w:space="0"/>
            </w:tcBorders>
            <w:vAlign w:val="bottom"/>
          </w:tcPr>
          <w:p>
            <w:pPr>
              <w:widowControl/>
              <w:ind w:firstLine="107" w:firstLineChars="50"/>
              <w:jc w:val="lef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9.76</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xml:space="preserve">  其中：公务用车运行维护费</w:t>
            </w:r>
          </w:p>
        </w:tc>
        <w:tc>
          <w:tcPr>
            <w:tcW w:w="2157" w:type="dxa"/>
            <w:tcBorders>
              <w:top w:val="nil"/>
              <w:left w:val="nil"/>
              <w:bottom w:val="single" w:color="auto" w:sz="4" w:space="0"/>
              <w:right w:val="single" w:color="auto" w:sz="4" w:space="0"/>
            </w:tcBorders>
            <w:vAlign w:val="bottom"/>
          </w:tcPr>
          <w:p>
            <w:pPr>
              <w:widowControl/>
              <w:ind w:firstLine="107" w:firstLineChars="50"/>
              <w:jc w:val="lef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w:t>
            </w:r>
          </w:p>
        </w:tc>
        <w:tc>
          <w:tcPr>
            <w:tcW w:w="2220" w:type="dxa"/>
            <w:tcBorders>
              <w:top w:val="nil"/>
              <w:left w:val="nil"/>
              <w:bottom w:val="single" w:color="auto" w:sz="4" w:space="0"/>
              <w:right w:val="single" w:color="auto" w:sz="4" w:space="0"/>
            </w:tcBorders>
            <w:vAlign w:val="bottom"/>
          </w:tcPr>
          <w:p>
            <w:pPr>
              <w:widowControl/>
              <w:ind w:firstLine="107" w:firstLineChars="50"/>
              <w:jc w:val="lef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9.76</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xml:space="preserve">        公务用车购置费 </w:t>
            </w:r>
          </w:p>
        </w:tc>
        <w:tc>
          <w:tcPr>
            <w:tcW w:w="2157" w:type="dxa"/>
            <w:tcBorders>
              <w:top w:val="nil"/>
              <w:left w:val="nil"/>
              <w:bottom w:val="single" w:color="auto" w:sz="4" w:space="0"/>
              <w:right w:val="single" w:color="auto" w:sz="4" w:space="0"/>
            </w:tcBorders>
            <w:vAlign w:val="bottom"/>
          </w:tcPr>
          <w:p>
            <w:pPr>
              <w:widowControl/>
              <w:ind w:firstLine="107" w:firstLineChars="50"/>
              <w:jc w:val="lef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w:t>
            </w:r>
          </w:p>
        </w:tc>
        <w:tc>
          <w:tcPr>
            <w:tcW w:w="2220" w:type="dxa"/>
            <w:tcBorders>
              <w:top w:val="nil"/>
              <w:left w:val="nil"/>
              <w:bottom w:val="single" w:color="auto" w:sz="4" w:space="0"/>
              <w:right w:val="single" w:color="auto" w:sz="4" w:space="0"/>
            </w:tcBorders>
            <w:vAlign w:val="bottom"/>
          </w:tcPr>
          <w:p>
            <w:pPr>
              <w:widowControl/>
              <w:ind w:firstLine="107" w:firstLineChars="50"/>
              <w:jc w:val="left"/>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0　</w:t>
            </w:r>
          </w:p>
        </w:tc>
      </w:tr>
    </w:tbl>
    <w:p>
      <w:pPr>
        <w:spacing w:line="300" w:lineRule="exact"/>
        <w:rPr>
          <w:rFonts w:ascii="仿宋_GB2312" w:hAnsi="仿宋"/>
          <w:sz w:val="21"/>
          <w:szCs w:val="21"/>
        </w:rPr>
      </w:pPr>
    </w:p>
    <w:p>
      <w:pPr>
        <w:spacing w:line="300" w:lineRule="exact"/>
        <w:rPr>
          <w:rFonts w:ascii="黑体" w:hAnsi="黑体" w:eastAsia="黑体"/>
          <w:szCs w:val="32"/>
        </w:rPr>
      </w:pPr>
      <w:r>
        <w:rPr>
          <w:rFonts w:hint="eastAsia" w:ascii="仿宋_GB2312" w:hAnsi="仿宋"/>
          <w:sz w:val="21"/>
          <w:szCs w:val="21"/>
        </w:rPr>
        <w:t xml:space="preserve">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 </w:t>
      </w:r>
      <w:r>
        <w:rPr>
          <w:rFonts w:hint="eastAsia" w:ascii="仿宋_GB2312" w:hAnsi="仿宋"/>
          <w:szCs w:val="32"/>
        </w:rPr>
        <w:t xml:space="preserve"> </w:t>
      </w:r>
      <w:r>
        <w:rPr>
          <w:rFonts w:hint="eastAsia" w:ascii="黑体" w:hAnsi="黑体" w:eastAsia="黑体"/>
          <w:szCs w:val="32"/>
        </w:rPr>
        <w:t xml:space="preserve">                                      </w:t>
      </w:r>
    </w:p>
    <w:p>
      <w:pPr>
        <w:rPr>
          <w:rFonts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rPr>
        <w:t>2022</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pPr>
        <w:ind w:firstLine="628" w:firstLineChars="200"/>
        <w:rPr>
          <w:rFonts w:ascii="仿宋_GB2312" w:hAnsi="仿宋"/>
          <w:b/>
          <w:szCs w:val="32"/>
        </w:rPr>
      </w:pPr>
      <w:r>
        <w:rPr>
          <w:rFonts w:hint="eastAsia" w:ascii="仿宋_GB2312" w:hAnsi="仿宋"/>
          <w:b/>
          <w:szCs w:val="32"/>
        </w:rPr>
        <w:t>（一）一般公共预算财政拨款“三公”经费支出决算总体情况说明。</w:t>
      </w:r>
    </w:p>
    <w:p>
      <w:pPr>
        <w:ind w:firstLine="628" w:firstLineChars="200"/>
        <w:rPr>
          <w:rFonts w:hint="eastAsia" w:ascii="仿宋_GB2312" w:hAnsi="仿宋" w:cs="Times New Roman"/>
          <w:szCs w:val="32"/>
          <w:lang w:eastAsia="zh-CN"/>
        </w:rPr>
      </w:pPr>
      <w:r>
        <w:rPr>
          <w:rFonts w:hint="eastAsia" w:ascii="仿宋_GB2312" w:hAnsi="仿宋"/>
          <w:szCs w:val="32"/>
          <w:lang w:eastAsia="zh-CN"/>
        </w:rPr>
        <w:t>淮南市</w:t>
      </w:r>
      <w:r>
        <w:rPr>
          <w:rFonts w:hint="eastAsia" w:ascii="仿宋_GB2312" w:hAnsi="仿宋" w:cs="Times New Roman"/>
          <w:szCs w:val="32"/>
          <w:lang w:eastAsia="zh-CN"/>
        </w:rPr>
        <w:t>八公山区</w:t>
      </w:r>
      <w:r>
        <w:rPr>
          <w:rFonts w:hint="eastAsia" w:ascii="仿宋_GB2312" w:hAnsi="仿宋" w:cs="Times New Roman"/>
          <w:szCs w:val="32"/>
          <w:lang w:val="en-US" w:eastAsia="zh-CN"/>
        </w:rPr>
        <w:t>城市管理行政执法局</w:t>
      </w:r>
      <w:r>
        <w:rPr>
          <w:rFonts w:hint="eastAsia" w:ascii="仿宋_GB2312" w:hAnsi="仿宋" w:cs="Times New Roman"/>
          <w:szCs w:val="32"/>
          <w:lang w:eastAsia="zh-CN"/>
        </w:rPr>
        <w:t>2022</w:t>
      </w:r>
      <w:r>
        <w:rPr>
          <w:rFonts w:hint="eastAsia" w:ascii="仿宋_GB2312" w:hAnsi="仿宋"/>
          <w:szCs w:val="32"/>
        </w:rPr>
        <w:t>年度一般公共预</w:t>
      </w:r>
      <w:r>
        <w:rPr>
          <w:rFonts w:hint="eastAsia" w:ascii="仿宋_GB2312" w:hAnsi="仿宋" w:cs="Times New Roman"/>
          <w:szCs w:val="32"/>
          <w:lang w:eastAsia="zh-CN"/>
        </w:rPr>
        <w:t>算财政拨款“三公”经费支出预算为</w:t>
      </w:r>
      <w:r>
        <w:rPr>
          <w:rFonts w:hint="eastAsia" w:ascii="仿宋_GB2312" w:hAnsi="仿宋" w:cs="Times New Roman"/>
          <w:szCs w:val="32"/>
          <w:lang w:val="en-US" w:eastAsia="zh-CN"/>
        </w:rPr>
        <w:t>29.0</w:t>
      </w:r>
      <w:r>
        <w:rPr>
          <w:rFonts w:hint="eastAsia" w:ascii="仿宋_GB2312" w:hAnsi="仿宋" w:cs="Times New Roman"/>
          <w:szCs w:val="32"/>
          <w:lang w:eastAsia="zh-CN"/>
        </w:rPr>
        <w:t>万元，支出决算为</w:t>
      </w:r>
      <w:r>
        <w:rPr>
          <w:rFonts w:hint="eastAsia" w:ascii="仿宋_GB2312" w:hAnsi="仿宋" w:cs="Times New Roman"/>
          <w:szCs w:val="32"/>
          <w:lang w:val="en-US" w:eastAsia="zh-CN"/>
        </w:rPr>
        <w:t>9.76</w:t>
      </w:r>
      <w:r>
        <w:rPr>
          <w:rFonts w:hint="eastAsia" w:ascii="仿宋_GB2312" w:hAnsi="仿宋" w:cs="Times New Roman"/>
          <w:szCs w:val="32"/>
          <w:lang w:eastAsia="zh-CN"/>
        </w:rPr>
        <w:t>万元，完成预算的</w:t>
      </w:r>
      <w:r>
        <w:rPr>
          <w:rFonts w:hint="eastAsia" w:ascii="仿宋_GB2312" w:hAnsi="仿宋" w:cs="Times New Roman"/>
          <w:szCs w:val="32"/>
          <w:lang w:val="en-US" w:eastAsia="zh-CN"/>
        </w:rPr>
        <w:t>33.66</w:t>
      </w:r>
      <w:r>
        <w:rPr>
          <w:rFonts w:hint="eastAsia" w:ascii="仿宋_GB2312" w:hAnsi="仿宋" w:cs="Times New Roman"/>
          <w:szCs w:val="32"/>
          <w:lang w:eastAsia="zh-CN"/>
        </w:rPr>
        <w:t>%；较上年减少</w:t>
      </w:r>
      <w:r>
        <w:rPr>
          <w:rFonts w:hint="eastAsia" w:ascii="仿宋_GB2312" w:hAnsi="仿宋" w:cs="Times New Roman"/>
          <w:szCs w:val="32"/>
          <w:lang w:val="en-US" w:eastAsia="zh-CN"/>
        </w:rPr>
        <w:t>7.97</w:t>
      </w:r>
      <w:r>
        <w:rPr>
          <w:rFonts w:hint="eastAsia" w:ascii="仿宋_GB2312" w:hAnsi="仿宋" w:cs="Times New Roman"/>
          <w:szCs w:val="32"/>
          <w:lang w:eastAsia="zh-CN"/>
        </w:rPr>
        <w:t>万元，下降</w:t>
      </w:r>
      <w:r>
        <w:rPr>
          <w:rFonts w:hint="eastAsia" w:ascii="仿宋_GB2312" w:hAnsi="仿宋" w:cs="Times New Roman"/>
          <w:szCs w:val="32"/>
          <w:lang w:val="en-US" w:eastAsia="zh-CN"/>
        </w:rPr>
        <w:t>44.95</w:t>
      </w:r>
      <w:r>
        <w:rPr>
          <w:rFonts w:hint="eastAsia" w:ascii="仿宋_GB2312" w:hAnsi="仿宋" w:cs="Times New Roman"/>
          <w:szCs w:val="32"/>
          <w:lang w:eastAsia="zh-CN"/>
        </w:rPr>
        <w:t>%。决算数小于预算数的主要原因是</w:t>
      </w:r>
      <w:r>
        <w:rPr>
          <w:rFonts w:hint="eastAsia" w:ascii="仿宋_GB2312" w:eastAsia="仿宋_GB2312" w:cs="仿宋_GB2312"/>
          <w:color w:val="000000"/>
          <w:sz w:val="32"/>
          <w:szCs w:val="32"/>
          <w:lang w:val="en-US" w:eastAsia="zh-CN"/>
        </w:rPr>
        <w:t>由于合同约定</w:t>
      </w:r>
      <w:r>
        <w:rPr>
          <w:rFonts w:hint="eastAsia" w:ascii="仿宋_GB2312" w:cs="仿宋_GB2312"/>
          <w:color w:val="000000"/>
          <w:sz w:val="32"/>
          <w:szCs w:val="32"/>
          <w:lang w:val="en-US" w:eastAsia="zh-CN"/>
        </w:rPr>
        <w:t>，</w:t>
      </w:r>
      <w:r>
        <w:rPr>
          <w:rFonts w:hint="eastAsia" w:ascii="仿宋_GB2312" w:hAnsi="仿宋"/>
          <w:szCs w:val="32"/>
          <w:lang w:val="en-US" w:eastAsia="zh-CN"/>
        </w:rPr>
        <w:t>2022年下半年车辆维修费</w:t>
      </w:r>
      <w:r>
        <w:rPr>
          <w:rFonts w:hint="eastAsia" w:ascii="仿宋_GB2312" w:eastAsia="仿宋_GB2312" w:cs="仿宋_GB2312"/>
          <w:color w:val="000000"/>
          <w:sz w:val="32"/>
          <w:szCs w:val="32"/>
          <w:lang w:val="en-US" w:eastAsia="zh-CN"/>
        </w:rPr>
        <w:t>未能在年底前支付，需要在</w:t>
      </w:r>
      <w:r>
        <w:rPr>
          <w:rFonts w:hint="eastAsia" w:ascii="仿宋_GB2312" w:cs="仿宋_GB2312"/>
          <w:color w:val="000000"/>
          <w:sz w:val="32"/>
          <w:szCs w:val="32"/>
          <w:lang w:val="en-US" w:eastAsia="zh-CN"/>
        </w:rPr>
        <w:t>下一年度</w:t>
      </w:r>
      <w:r>
        <w:rPr>
          <w:rFonts w:hint="eastAsia" w:ascii="仿宋_GB2312" w:eastAsia="仿宋_GB2312" w:cs="仿宋_GB2312"/>
          <w:color w:val="000000"/>
          <w:sz w:val="32"/>
          <w:szCs w:val="32"/>
          <w:lang w:val="en-US" w:eastAsia="zh-CN"/>
        </w:rPr>
        <w:t>支付</w:t>
      </w:r>
      <w:r>
        <w:rPr>
          <w:rFonts w:hint="eastAsia" w:ascii="仿宋_GB2312" w:hAnsi="仿宋"/>
          <w:szCs w:val="32"/>
        </w:rPr>
        <w:t>。</w:t>
      </w:r>
      <w:r>
        <w:rPr>
          <w:rFonts w:hint="eastAsia" w:ascii="仿宋_GB2312" w:hAnsi="仿宋" w:cs="Times New Roman"/>
          <w:szCs w:val="32"/>
          <w:lang w:eastAsia="zh-CN"/>
        </w:rPr>
        <w:t>决算数较上年减少的主要原因是</w:t>
      </w:r>
      <w:r>
        <w:rPr>
          <w:rFonts w:hint="eastAsia" w:ascii="仿宋_GB2312" w:hAnsi="仿宋" w:eastAsia="仿宋_GB2312"/>
          <w:sz w:val="32"/>
          <w:szCs w:val="32"/>
          <w:lang w:val="en-US" w:eastAsia="zh-CN"/>
        </w:rPr>
        <w:t>厉行节约</w:t>
      </w:r>
      <w:r>
        <w:rPr>
          <w:rFonts w:hint="eastAsia" w:ascii="仿宋_GB2312" w:hAnsi="仿宋" w:cs="Times New Roman"/>
          <w:szCs w:val="32"/>
          <w:lang w:eastAsia="zh-CN"/>
        </w:rPr>
        <w:t>。</w:t>
      </w:r>
    </w:p>
    <w:p>
      <w:pPr>
        <w:ind w:firstLine="628"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pPr>
        <w:ind w:firstLine="628" w:firstLineChars="200"/>
        <w:rPr>
          <w:rFonts w:ascii="仿宋_GB2312" w:hAnsi="仿宋"/>
          <w:szCs w:val="32"/>
        </w:rPr>
      </w:pPr>
      <w:r>
        <w:rPr>
          <w:rFonts w:hint="eastAsia" w:ascii="仿宋_GB2312" w:hAnsi="仿宋"/>
          <w:szCs w:val="32"/>
          <w:lang w:eastAsia="zh-CN"/>
        </w:rPr>
        <w:t>淮南市</w:t>
      </w:r>
      <w:r>
        <w:rPr>
          <w:rFonts w:hint="eastAsia" w:ascii="仿宋_GB2312" w:hAnsi="仿宋" w:cs="Times New Roman"/>
          <w:szCs w:val="32"/>
          <w:lang w:eastAsia="zh-CN"/>
        </w:rPr>
        <w:t>八公山区</w:t>
      </w:r>
      <w:r>
        <w:rPr>
          <w:rFonts w:hint="eastAsia" w:ascii="仿宋_GB2312" w:hAnsi="仿宋" w:cs="Times New Roman"/>
          <w:szCs w:val="32"/>
          <w:lang w:val="en-US" w:eastAsia="zh-CN"/>
        </w:rPr>
        <w:t>城市管理行政执法局</w:t>
      </w:r>
      <w:r>
        <w:rPr>
          <w:rFonts w:hint="eastAsia" w:ascii="仿宋_GB2312" w:hAnsi="仿宋"/>
          <w:szCs w:val="32"/>
        </w:rPr>
        <w:t>2022年度一般公共预算财政拨款“三公”经费支出决算中，因公出国（境）费支出决算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%;公务接待费支出决算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%；公务用车购置及运行维护费支出决算</w:t>
      </w:r>
      <w:r>
        <w:rPr>
          <w:rFonts w:hint="eastAsia" w:ascii="仿宋_GB2312" w:hAnsi="仿宋" w:cs="Times New Roman"/>
          <w:szCs w:val="32"/>
          <w:lang w:val="en-US" w:eastAsia="zh-CN"/>
        </w:rPr>
        <w:t>9.76</w:t>
      </w:r>
      <w:r>
        <w:rPr>
          <w:rFonts w:hint="eastAsia" w:ascii="仿宋_GB2312" w:hAnsi="仿宋"/>
          <w:szCs w:val="32"/>
        </w:rPr>
        <w:t>万元，占</w:t>
      </w:r>
      <w:r>
        <w:rPr>
          <w:rFonts w:hint="eastAsia" w:ascii="仿宋_GB2312" w:hAnsi="仿宋"/>
          <w:szCs w:val="32"/>
          <w:lang w:val="en-US" w:eastAsia="zh-CN"/>
        </w:rPr>
        <w:t>100</w:t>
      </w:r>
      <w:r>
        <w:rPr>
          <w:rFonts w:hint="eastAsia" w:ascii="仿宋_GB2312" w:hAnsi="仿宋"/>
          <w:szCs w:val="32"/>
        </w:rPr>
        <w:t>%。具体情况如下：</w:t>
      </w:r>
    </w:p>
    <w:p>
      <w:pPr>
        <w:ind w:firstLine="628"/>
        <w:rPr>
          <w:rFonts w:ascii="仿宋_GB2312" w:hAnsi="仿宋"/>
          <w:color w:val="auto"/>
          <w:szCs w:val="32"/>
        </w:rPr>
      </w:pPr>
      <w:r>
        <w:rPr>
          <w:rFonts w:hint="eastAsia" w:ascii="仿宋_GB2312" w:hAnsi="仿宋"/>
          <w:b/>
          <w:bCs/>
          <w:color w:val="auto"/>
          <w:szCs w:val="32"/>
        </w:rPr>
        <w:t>1.因公出国（境）费</w:t>
      </w:r>
      <w:r>
        <w:rPr>
          <w:rFonts w:hint="eastAsia" w:ascii="仿宋_GB2312" w:hAnsi="仿宋"/>
          <w:color w:val="auto"/>
          <w:szCs w:val="32"/>
        </w:rPr>
        <w:t>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0</w:t>
      </w:r>
      <w:r>
        <w:rPr>
          <w:rFonts w:hint="eastAsia" w:ascii="仿宋_GB2312" w:hAnsi="仿宋"/>
          <w:color w:val="auto"/>
          <w:szCs w:val="32"/>
        </w:rPr>
        <w:t>万元，完成预算的</w:t>
      </w:r>
      <w:r>
        <w:rPr>
          <w:rFonts w:hint="eastAsia" w:ascii="仿宋_GB2312" w:hAnsi="仿宋"/>
          <w:color w:val="auto"/>
          <w:szCs w:val="32"/>
          <w:lang w:val="en-US" w:eastAsia="zh-CN"/>
        </w:rPr>
        <w:t>0</w:t>
      </w:r>
      <w:r>
        <w:rPr>
          <w:rFonts w:hint="eastAsia" w:ascii="仿宋_GB2312" w:hAnsi="仿宋"/>
          <w:color w:val="auto"/>
          <w:szCs w:val="32"/>
        </w:rPr>
        <w:t>%；较上年减少（增加）</w:t>
      </w:r>
      <w:r>
        <w:rPr>
          <w:rFonts w:hint="eastAsia" w:ascii="仿宋_GB2312" w:hAnsi="仿宋"/>
          <w:color w:val="auto"/>
          <w:szCs w:val="32"/>
          <w:lang w:val="en-US" w:eastAsia="zh-CN"/>
        </w:rPr>
        <w:t>0</w:t>
      </w:r>
      <w:r>
        <w:rPr>
          <w:rFonts w:hint="eastAsia" w:ascii="仿宋_GB2312" w:hAnsi="仿宋"/>
          <w:color w:val="auto"/>
          <w:szCs w:val="32"/>
        </w:rPr>
        <w:t>万元，下降（增长）</w:t>
      </w:r>
      <w:r>
        <w:rPr>
          <w:rFonts w:hint="eastAsia" w:ascii="仿宋_GB2312" w:hAnsi="仿宋"/>
          <w:color w:val="auto"/>
          <w:szCs w:val="32"/>
          <w:lang w:val="en-US" w:eastAsia="zh-CN"/>
        </w:rPr>
        <w:t>0</w:t>
      </w:r>
      <w:r>
        <w:rPr>
          <w:rFonts w:hint="eastAsia" w:ascii="仿宋_GB2312" w:hAnsi="仿宋"/>
          <w:color w:val="auto"/>
          <w:szCs w:val="32"/>
        </w:rPr>
        <w:t>%。</w:t>
      </w:r>
      <w:r>
        <w:rPr>
          <w:rFonts w:hint="eastAsia" w:ascii="仿宋_GB2312" w:eastAsia="仿宋_GB2312" w:cs="仿宋_GB2312"/>
          <w:color w:val="auto"/>
          <w:sz w:val="32"/>
          <w:szCs w:val="32"/>
          <w:lang w:val="en-US" w:eastAsia="zh-CN"/>
        </w:rPr>
        <w:t>持平</w:t>
      </w:r>
      <w:r>
        <w:rPr>
          <w:rFonts w:ascii="仿宋_GB2312" w:eastAsia="仿宋_GB2312" w:cs="仿宋_GB2312"/>
          <w:color w:val="auto"/>
          <w:sz w:val="32"/>
          <w:szCs w:val="32"/>
        </w:rPr>
        <w:t>的原因是八公山区</w:t>
      </w:r>
      <w:r>
        <w:rPr>
          <w:rFonts w:hint="eastAsia" w:ascii="仿宋_GB2312" w:eastAsia="仿宋_GB2312" w:cs="仿宋_GB2312"/>
          <w:color w:val="auto"/>
          <w:sz w:val="32"/>
          <w:szCs w:val="32"/>
          <w:lang w:val="en-US" w:eastAsia="zh-CN"/>
        </w:rPr>
        <w:t>城市管理行政执法局202</w:t>
      </w:r>
      <w:r>
        <w:rPr>
          <w:rFonts w:hint="eastAsia" w:ascii="仿宋_GB2312" w:cs="仿宋_GB2312"/>
          <w:color w:val="auto"/>
          <w:sz w:val="32"/>
          <w:szCs w:val="32"/>
          <w:lang w:val="en-US" w:eastAsia="zh-CN"/>
        </w:rPr>
        <w:t>2</w:t>
      </w:r>
      <w:r>
        <w:rPr>
          <w:rFonts w:hint="eastAsia" w:ascii="仿宋_GB2312" w:eastAsia="仿宋_GB2312" w:cs="仿宋_GB2312"/>
          <w:color w:val="auto"/>
          <w:sz w:val="32"/>
          <w:szCs w:val="32"/>
          <w:lang w:val="en-US" w:eastAsia="zh-CN"/>
        </w:rPr>
        <w:t>年度未安排公务接待事项</w:t>
      </w:r>
      <w:r>
        <w:rPr>
          <w:rFonts w:hint="eastAsia" w:ascii="仿宋_GB2312" w:hAnsi="仿宋"/>
          <w:color w:val="auto"/>
          <w:szCs w:val="32"/>
        </w:rPr>
        <w:t>。经费使用严格按照《</w:t>
      </w:r>
      <w:r>
        <w:rPr>
          <w:rFonts w:hint="eastAsia" w:ascii="仿宋_GB2312" w:hAnsi="仿宋"/>
          <w:color w:val="auto"/>
          <w:szCs w:val="32"/>
          <w:lang w:eastAsia="zh-CN"/>
        </w:rPr>
        <w:t>淮南市</w:t>
      </w:r>
      <w:r>
        <w:rPr>
          <w:rFonts w:hint="eastAsia" w:ascii="仿宋_GB2312" w:hAnsi="仿宋"/>
          <w:color w:val="auto"/>
          <w:szCs w:val="32"/>
        </w:rPr>
        <w:t>省直党政机关因公临时出国经费管理办法》（财行〔2014〕104号）、《</w:t>
      </w:r>
      <w:r>
        <w:rPr>
          <w:rFonts w:hint="eastAsia" w:ascii="仿宋_GB2312" w:hAnsi="仿宋"/>
          <w:color w:val="auto"/>
          <w:szCs w:val="32"/>
          <w:lang w:eastAsia="zh-CN"/>
        </w:rPr>
        <w:t>淮南市</w:t>
      </w:r>
      <w:r>
        <w:rPr>
          <w:rFonts w:hint="eastAsia" w:ascii="仿宋_GB2312" w:hAnsi="仿宋"/>
          <w:color w:val="auto"/>
          <w:szCs w:val="32"/>
        </w:rPr>
        <w:t>省直党政机关因公短期出国培训费用管理办法》（财行〔2014〕527号）等相关规定执行。</w:t>
      </w:r>
    </w:p>
    <w:p>
      <w:pPr>
        <w:ind w:firstLine="628" w:firstLineChars="200"/>
        <w:rPr>
          <w:rFonts w:hint="eastAsia" w:ascii="仿宋_GB2312" w:hAnsi="仿宋"/>
          <w:color w:val="auto"/>
          <w:szCs w:val="32"/>
        </w:rPr>
      </w:pPr>
      <w:r>
        <w:rPr>
          <w:rFonts w:hint="eastAsia" w:ascii="仿宋_GB2312" w:hAnsi="仿宋"/>
          <w:b/>
          <w:bCs/>
          <w:color w:val="auto"/>
          <w:szCs w:val="32"/>
        </w:rPr>
        <w:t>2.公务接待费</w:t>
      </w:r>
      <w:r>
        <w:rPr>
          <w:rFonts w:hint="eastAsia" w:ascii="仿宋_GB2312" w:hAnsi="仿宋"/>
          <w:color w:val="auto"/>
          <w:szCs w:val="32"/>
        </w:rPr>
        <w:t>预算为</w:t>
      </w:r>
      <w:r>
        <w:rPr>
          <w:rFonts w:hint="eastAsia" w:ascii="仿宋_GB2312" w:hAnsi="仿宋"/>
          <w:color w:val="auto"/>
          <w:szCs w:val="32"/>
          <w:lang w:val="en-US" w:eastAsia="zh-CN"/>
        </w:rPr>
        <w:t>9</w:t>
      </w:r>
      <w:r>
        <w:rPr>
          <w:rFonts w:hint="eastAsia" w:ascii="仿宋_GB2312" w:hAnsi="仿宋"/>
          <w:color w:val="auto"/>
          <w:szCs w:val="32"/>
        </w:rPr>
        <w:t>万元，支出决算为</w:t>
      </w:r>
      <w:r>
        <w:rPr>
          <w:rFonts w:hint="eastAsia" w:ascii="仿宋_GB2312" w:hAnsi="仿宋"/>
          <w:color w:val="auto"/>
          <w:szCs w:val="32"/>
          <w:lang w:val="en-US" w:eastAsia="zh-CN"/>
        </w:rPr>
        <w:t>0</w:t>
      </w:r>
      <w:r>
        <w:rPr>
          <w:rFonts w:hint="eastAsia" w:ascii="仿宋_GB2312" w:hAnsi="仿宋"/>
          <w:color w:val="auto"/>
          <w:szCs w:val="32"/>
        </w:rPr>
        <w:t>万元，完成预算的</w:t>
      </w:r>
      <w:r>
        <w:rPr>
          <w:rFonts w:hint="eastAsia" w:ascii="仿宋_GB2312" w:hAnsi="仿宋"/>
          <w:color w:val="auto"/>
          <w:szCs w:val="32"/>
          <w:lang w:val="en-US" w:eastAsia="zh-CN"/>
        </w:rPr>
        <w:t>0</w:t>
      </w:r>
      <w:r>
        <w:rPr>
          <w:rFonts w:hint="eastAsia" w:ascii="仿宋_GB2312" w:hAnsi="仿宋"/>
          <w:color w:val="auto"/>
          <w:szCs w:val="32"/>
        </w:rPr>
        <w:t>%；较上年减少</w:t>
      </w:r>
      <w:r>
        <w:rPr>
          <w:rFonts w:hint="eastAsia" w:ascii="仿宋_GB2312" w:hAnsi="仿宋"/>
          <w:color w:val="auto"/>
          <w:szCs w:val="32"/>
          <w:lang w:val="en-US" w:eastAsia="zh-CN"/>
        </w:rPr>
        <w:t>1.74</w:t>
      </w:r>
      <w:r>
        <w:rPr>
          <w:rFonts w:hint="eastAsia" w:ascii="仿宋_GB2312" w:hAnsi="仿宋"/>
          <w:color w:val="auto"/>
          <w:szCs w:val="32"/>
        </w:rPr>
        <w:t>万元，下降</w:t>
      </w:r>
      <w:r>
        <w:rPr>
          <w:rFonts w:hint="eastAsia" w:ascii="仿宋_GB2312" w:hAnsi="仿宋"/>
          <w:color w:val="auto"/>
          <w:szCs w:val="32"/>
          <w:lang w:val="en-US" w:eastAsia="zh-CN"/>
        </w:rPr>
        <w:t>100</w:t>
      </w:r>
      <w:r>
        <w:rPr>
          <w:rFonts w:hint="eastAsia" w:ascii="仿宋_GB2312" w:hAnsi="仿宋"/>
          <w:color w:val="auto"/>
          <w:szCs w:val="32"/>
        </w:rPr>
        <w:t>%。决算数小于预算数的主要原因是</w:t>
      </w:r>
      <w:r>
        <w:rPr>
          <w:rFonts w:hint="eastAsia" w:ascii="仿宋_GB2312" w:hAnsi="仿宋"/>
          <w:color w:val="auto"/>
          <w:szCs w:val="32"/>
          <w:lang w:val="en-US" w:eastAsia="zh-CN"/>
        </w:rPr>
        <w:t>严格执行公务接待相关制度，从严控制接待人数和标准</w:t>
      </w:r>
      <w:r>
        <w:rPr>
          <w:rFonts w:hint="eastAsia" w:ascii="仿宋_GB2312" w:hAnsi="仿宋"/>
          <w:color w:val="auto"/>
          <w:szCs w:val="32"/>
        </w:rPr>
        <w:t>。决算数较上年减少的主要原因是</w:t>
      </w:r>
      <w:r>
        <w:rPr>
          <w:rFonts w:hint="eastAsia" w:ascii="仿宋_GB2312" w:hAnsi="仿宋"/>
          <w:color w:val="auto"/>
          <w:szCs w:val="32"/>
          <w:lang w:val="en-US" w:eastAsia="zh-CN"/>
        </w:rPr>
        <w:t>严格执行公务接待相关制度，从严控制接待人数和标准</w:t>
      </w:r>
      <w:r>
        <w:rPr>
          <w:rFonts w:hint="eastAsia" w:ascii="仿宋_GB2312" w:hAnsi="仿宋"/>
          <w:color w:val="auto"/>
          <w:szCs w:val="32"/>
        </w:rPr>
        <w:t>。经费使用严格执行《党政机关厉行节约反对浪费条例》、市委市政府有关具体要求、《淮南市党政机关国内公务接待管理办法》(淮办发〔2014〕26号</w:t>
      </w:r>
      <w:r>
        <w:rPr>
          <w:rFonts w:ascii="仿宋_GB2312" w:hAnsi="仿宋"/>
          <w:color w:val="auto"/>
          <w:szCs w:val="32"/>
        </w:rPr>
        <w:t>)</w:t>
      </w:r>
      <w:r>
        <w:rPr>
          <w:rFonts w:hint="eastAsia" w:ascii="仿宋_GB2312" w:hAnsi="仿宋"/>
          <w:color w:val="auto"/>
          <w:szCs w:val="32"/>
        </w:rPr>
        <w:t>相关规定。</w:t>
      </w:r>
    </w:p>
    <w:p>
      <w:pPr>
        <w:ind w:firstLine="628" w:firstLineChars="200"/>
      </w:pPr>
      <w:r>
        <w:rPr>
          <w:rFonts w:hint="eastAsia" w:ascii="仿宋_GB2312" w:hAnsi="仿宋"/>
          <w:b/>
          <w:bCs/>
          <w:color w:val="auto"/>
          <w:szCs w:val="32"/>
        </w:rPr>
        <w:t>3.公务用车购置及运行维护费</w:t>
      </w:r>
      <w:r>
        <w:rPr>
          <w:rFonts w:hint="eastAsia" w:ascii="仿宋_GB2312" w:hAnsi="仿宋"/>
          <w:color w:val="auto"/>
          <w:szCs w:val="32"/>
        </w:rPr>
        <w:t>预算为</w:t>
      </w:r>
      <w:r>
        <w:rPr>
          <w:rFonts w:hint="eastAsia" w:ascii="仿宋_GB2312" w:hAnsi="仿宋"/>
          <w:color w:val="auto"/>
          <w:szCs w:val="32"/>
          <w:lang w:val="en-US" w:eastAsia="zh-CN"/>
        </w:rPr>
        <w:t>20</w:t>
      </w:r>
      <w:r>
        <w:rPr>
          <w:rFonts w:hint="eastAsia" w:ascii="仿宋_GB2312" w:hAnsi="仿宋"/>
          <w:color w:val="auto"/>
          <w:szCs w:val="32"/>
        </w:rPr>
        <w:t xml:space="preserve">万元，支出决算为  </w:t>
      </w:r>
      <w:r>
        <w:rPr>
          <w:rFonts w:hint="eastAsia" w:ascii="仿宋_GB2312" w:hAnsi="仿宋" w:cs="Times New Roman"/>
          <w:szCs w:val="32"/>
          <w:lang w:val="en-US" w:eastAsia="zh-CN"/>
        </w:rPr>
        <w:t>9.76</w:t>
      </w:r>
      <w:r>
        <w:rPr>
          <w:rFonts w:hint="eastAsia" w:ascii="仿宋_GB2312" w:hAnsi="仿宋"/>
          <w:color w:val="auto"/>
          <w:szCs w:val="32"/>
        </w:rPr>
        <w:t>万元，完成预算的</w:t>
      </w:r>
      <w:r>
        <w:rPr>
          <w:rFonts w:hint="eastAsia" w:ascii="仿宋_GB2312" w:hAnsi="仿宋"/>
          <w:color w:val="auto"/>
          <w:szCs w:val="32"/>
          <w:lang w:val="en-US" w:eastAsia="zh-CN"/>
        </w:rPr>
        <w:t>48.80</w:t>
      </w:r>
      <w:r>
        <w:rPr>
          <w:rFonts w:hint="eastAsia" w:ascii="仿宋_GB2312" w:hAnsi="仿宋"/>
          <w:color w:val="auto"/>
          <w:szCs w:val="32"/>
        </w:rPr>
        <w:t>%；较上年减少</w:t>
      </w:r>
      <w:r>
        <w:rPr>
          <w:rFonts w:hint="eastAsia" w:ascii="仿宋_GB2312" w:hAnsi="仿宋"/>
          <w:color w:val="auto"/>
          <w:szCs w:val="32"/>
          <w:lang w:val="en-US" w:eastAsia="zh-CN"/>
        </w:rPr>
        <w:t>6.24</w:t>
      </w:r>
      <w:r>
        <w:rPr>
          <w:rFonts w:hint="eastAsia" w:ascii="仿宋_GB2312" w:hAnsi="仿宋"/>
          <w:color w:val="auto"/>
          <w:szCs w:val="32"/>
        </w:rPr>
        <w:t>万元，下降</w:t>
      </w:r>
      <w:r>
        <w:rPr>
          <w:rFonts w:hint="eastAsia" w:ascii="仿宋_GB2312" w:hAnsi="仿宋"/>
          <w:color w:val="auto"/>
          <w:szCs w:val="32"/>
          <w:lang w:val="en-US" w:eastAsia="zh-CN"/>
        </w:rPr>
        <w:t>39.00</w:t>
      </w:r>
      <w:r>
        <w:rPr>
          <w:rFonts w:hint="eastAsia" w:ascii="仿宋_GB2312" w:hAnsi="仿宋"/>
          <w:color w:val="auto"/>
          <w:szCs w:val="32"/>
        </w:rPr>
        <w:t>%。决算数小于预算数的主要原因是</w:t>
      </w:r>
      <w:r>
        <w:rPr>
          <w:rFonts w:hint="eastAsia" w:ascii="仿宋_GB2312" w:eastAsia="仿宋_GB2312" w:cs="仿宋_GB2312"/>
          <w:color w:val="000000"/>
          <w:sz w:val="32"/>
          <w:szCs w:val="32"/>
          <w:lang w:val="en-US" w:eastAsia="zh-CN"/>
        </w:rPr>
        <w:t>由于合同约定</w:t>
      </w:r>
      <w:r>
        <w:rPr>
          <w:rFonts w:hint="eastAsia" w:ascii="仿宋_GB2312" w:cs="仿宋_GB2312"/>
          <w:color w:val="000000"/>
          <w:sz w:val="32"/>
          <w:szCs w:val="32"/>
          <w:lang w:val="en-US" w:eastAsia="zh-CN"/>
        </w:rPr>
        <w:t>，</w:t>
      </w:r>
      <w:r>
        <w:rPr>
          <w:rFonts w:hint="eastAsia" w:ascii="仿宋_GB2312" w:hAnsi="仿宋"/>
          <w:szCs w:val="32"/>
          <w:lang w:val="en-US" w:eastAsia="zh-CN"/>
        </w:rPr>
        <w:t>2022年下半年车辆维修费</w:t>
      </w:r>
      <w:r>
        <w:rPr>
          <w:rFonts w:hint="eastAsia" w:ascii="仿宋_GB2312" w:eastAsia="仿宋_GB2312" w:cs="仿宋_GB2312"/>
          <w:color w:val="000000"/>
          <w:sz w:val="32"/>
          <w:szCs w:val="32"/>
          <w:lang w:val="en-US" w:eastAsia="zh-CN"/>
        </w:rPr>
        <w:t>未能在年底前支付，需要在</w:t>
      </w:r>
      <w:r>
        <w:rPr>
          <w:rFonts w:hint="eastAsia" w:ascii="仿宋_GB2312" w:cs="仿宋_GB2312"/>
          <w:color w:val="000000"/>
          <w:sz w:val="32"/>
          <w:szCs w:val="32"/>
          <w:lang w:val="en-US" w:eastAsia="zh-CN"/>
        </w:rPr>
        <w:t>下一年度</w:t>
      </w:r>
      <w:r>
        <w:rPr>
          <w:rFonts w:hint="eastAsia" w:ascii="仿宋_GB2312" w:eastAsia="仿宋_GB2312" w:cs="仿宋_GB2312"/>
          <w:color w:val="000000"/>
          <w:sz w:val="32"/>
          <w:szCs w:val="32"/>
          <w:lang w:val="en-US" w:eastAsia="zh-CN"/>
        </w:rPr>
        <w:t>支付</w:t>
      </w:r>
      <w:r>
        <w:rPr>
          <w:rFonts w:hint="eastAsia" w:ascii="仿宋_GB2312" w:hAnsi="仿宋"/>
          <w:color w:val="auto"/>
          <w:szCs w:val="32"/>
        </w:rPr>
        <w:t>。决算数较上年减少的主要原因是</w:t>
      </w:r>
      <w:r>
        <w:rPr>
          <w:rFonts w:hint="eastAsia" w:ascii="仿宋_GB2312" w:hAnsi="仿宋" w:eastAsia="仿宋_GB2312"/>
          <w:sz w:val="32"/>
          <w:szCs w:val="32"/>
          <w:lang w:val="en-US" w:eastAsia="zh-CN"/>
        </w:rPr>
        <w:t>厉行节约</w:t>
      </w:r>
      <w:r>
        <w:rPr>
          <w:rFonts w:hint="eastAsia" w:ascii="仿宋_GB2312" w:hAnsi="仿宋"/>
          <w:color w:val="auto"/>
          <w:szCs w:val="32"/>
        </w:rPr>
        <w:t>。其中，公务用车购置费预算为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0</w:t>
      </w:r>
      <w:r>
        <w:rPr>
          <w:rFonts w:hint="eastAsia" w:ascii="仿宋_GB2312" w:hAnsi="仿宋"/>
          <w:color w:val="auto"/>
          <w:szCs w:val="32"/>
        </w:rPr>
        <w:t>万元，完成预算的</w:t>
      </w:r>
      <w:r>
        <w:rPr>
          <w:rFonts w:hint="eastAsia" w:ascii="仿宋_GB2312" w:hAnsi="仿宋"/>
          <w:color w:val="auto"/>
          <w:szCs w:val="32"/>
          <w:lang w:val="en-US" w:eastAsia="zh-CN"/>
        </w:rPr>
        <w:t>0</w:t>
      </w:r>
      <w:r>
        <w:rPr>
          <w:rFonts w:hint="eastAsia" w:ascii="仿宋_GB2312" w:hAnsi="仿宋"/>
          <w:color w:val="auto"/>
          <w:szCs w:val="32"/>
        </w:rPr>
        <w:t>%；较上年减少（增加）</w:t>
      </w:r>
      <w:r>
        <w:rPr>
          <w:rFonts w:hint="eastAsia" w:ascii="仿宋_GB2312" w:hAnsi="仿宋"/>
          <w:color w:val="auto"/>
          <w:szCs w:val="32"/>
          <w:lang w:val="en-US" w:eastAsia="zh-CN"/>
        </w:rPr>
        <w:t>0</w:t>
      </w:r>
      <w:r>
        <w:rPr>
          <w:rFonts w:hint="eastAsia" w:ascii="仿宋_GB2312" w:hAnsi="仿宋"/>
          <w:color w:val="auto"/>
          <w:szCs w:val="32"/>
        </w:rPr>
        <w:t>万元，下降（增长）</w:t>
      </w:r>
      <w:r>
        <w:rPr>
          <w:rFonts w:hint="eastAsia" w:ascii="仿宋_GB2312" w:hAnsi="仿宋"/>
          <w:color w:val="auto"/>
          <w:szCs w:val="32"/>
          <w:lang w:val="en-US" w:eastAsia="zh-CN"/>
        </w:rPr>
        <w:t>0</w:t>
      </w:r>
      <w:r>
        <w:rPr>
          <w:rFonts w:hint="eastAsia" w:ascii="仿宋_GB2312" w:hAnsi="仿宋"/>
          <w:color w:val="auto"/>
          <w:szCs w:val="32"/>
        </w:rPr>
        <w:t>%。</w:t>
      </w:r>
      <w:r>
        <w:rPr>
          <w:rFonts w:hint="eastAsia" w:ascii="仿宋_GB2312" w:eastAsia="仿宋_GB2312" w:cs="仿宋_GB2312"/>
          <w:color w:val="000000"/>
          <w:sz w:val="32"/>
          <w:szCs w:val="32"/>
          <w:lang w:val="en-US" w:eastAsia="zh-CN"/>
        </w:rPr>
        <w:t>持平</w:t>
      </w:r>
      <w:r>
        <w:rPr>
          <w:rFonts w:ascii="仿宋_GB2312" w:eastAsia="仿宋_GB2312" w:cs="仿宋_GB2312"/>
          <w:color w:val="000000"/>
          <w:sz w:val="32"/>
          <w:szCs w:val="32"/>
        </w:rPr>
        <w:t>的</w:t>
      </w:r>
      <w:r>
        <w:rPr>
          <w:rFonts w:hint="eastAsia" w:ascii="仿宋_GB2312" w:hAnsi="仿宋"/>
          <w:szCs w:val="32"/>
        </w:rPr>
        <w:t>原因是</w:t>
      </w:r>
      <w:r>
        <w:rPr>
          <w:rFonts w:hint="eastAsia" w:ascii="仿宋_GB2312" w:hAnsi="仿宋"/>
          <w:szCs w:val="32"/>
          <w:lang w:val="en-US" w:eastAsia="zh-CN"/>
        </w:rPr>
        <w:t>2022年</w:t>
      </w:r>
      <w:r>
        <w:rPr>
          <w:rFonts w:ascii="仿宋_GB2312" w:eastAsia="仿宋_GB2312" w:cs="仿宋_GB2312"/>
          <w:color w:val="000000"/>
          <w:sz w:val="32"/>
          <w:szCs w:val="32"/>
        </w:rPr>
        <w:t>没有安排公务用车购置费</w:t>
      </w:r>
      <w:r>
        <w:rPr>
          <w:rFonts w:hint="eastAsia" w:ascii="楷体_GB2312" w:hAnsi="仿宋" w:eastAsia="楷体_GB2312"/>
          <w:szCs w:val="32"/>
        </w:rPr>
        <w:t>。</w:t>
      </w:r>
      <w:r>
        <w:rPr>
          <w:rFonts w:hint="eastAsia" w:ascii="仿宋_GB2312" w:hAnsi="仿宋"/>
          <w:color w:val="auto"/>
          <w:szCs w:val="32"/>
        </w:rPr>
        <w:t>公务用车运行维护费预算为</w:t>
      </w:r>
      <w:r>
        <w:rPr>
          <w:rFonts w:hint="eastAsia" w:ascii="仿宋_GB2312" w:hAnsi="仿宋"/>
          <w:color w:val="auto"/>
          <w:szCs w:val="32"/>
          <w:lang w:val="en-US" w:eastAsia="zh-CN"/>
        </w:rPr>
        <w:t>20</w:t>
      </w:r>
      <w:r>
        <w:rPr>
          <w:rFonts w:hint="eastAsia" w:ascii="仿宋_GB2312" w:hAnsi="仿宋"/>
          <w:color w:val="auto"/>
          <w:szCs w:val="32"/>
        </w:rPr>
        <w:t>万元，支出决算为</w:t>
      </w:r>
      <w:r>
        <w:rPr>
          <w:rFonts w:hint="eastAsia" w:ascii="仿宋_GB2312" w:hAnsi="仿宋" w:cs="Times New Roman"/>
          <w:szCs w:val="32"/>
          <w:lang w:val="en-US" w:eastAsia="zh-CN"/>
        </w:rPr>
        <w:t>9.76</w:t>
      </w:r>
      <w:r>
        <w:rPr>
          <w:rFonts w:hint="eastAsia" w:ascii="仿宋_GB2312" w:hAnsi="仿宋"/>
          <w:color w:val="auto"/>
          <w:szCs w:val="32"/>
        </w:rPr>
        <w:t>万元，完成预算的</w:t>
      </w:r>
      <w:r>
        <w:rPr>
          <w:rFonts w:hint="eastAsia" w:ascii="仿宋_GB2312" w:hAnsi="仿宋"/>
          <w:color w:val="auto"/>
          <w:szCs w:val="32"/>
          <w:lang w:val="en-US" w:eastAsia="zh-CN"/>
        </w:rPr>
        <w:t>48.80</w:t>
      </w:r>
      <w:r>
        <w:rPr>
          <w:rFonts w:hint="eastAsia" w:ascii="仿宋_GB2312" w:hAnsi="仿宋"/>
          <w:color w:val="auto"/>
          <w:szCs w:val="32"/>
        </w:rPr>
        <w:t>%；较上年减少</w:t>
      </w:r>
      <w:r>
        <w:rPr>
          <w:rFonts w:hint="eastAsia" w:ascii="仿宋_GB2312" w:hAnsi="仿宋"/>
          <w:color w:val="auto"/>
          <w:szCs w:val="32"/>
          <w:lang w:val="en-US" w:eastAsia="zh-CN"/>
        </w:rPr>
        <w:t>6.24</w:t>
      </w:r>
      <w:r>
        <w:rPr>
          <w:rFonts w:hint="eastAsia" w:ascii="仿宋_GB2312" w:hAnsi="仿宋"/>
          <w:color w:val="auto"/>
          <w:szCs w:val="32"/>
        </w:rPr>
        <w:t>万元，下降</w:t>
      </w:r>
      <w:r>
        <w:rPr>
          <w:rFonts w:hint="eastAsia" w:ascii="仿宋_GB2312" w:hAnsi="仿宋"/>
          <w:color w:val="auto"/>
          <w:szCs w:val="32"/>
          <w:lang w:val="en-US" w:eastAsia="zh-CN"/>
        </w:rPr>
        <w:t>39.00</w:t>
      </w:r>
      <w:r>
        <w:rPr>
          <w:rFonts w:hint="eastAsia" w:ascii="仿宋_GB2312" w:hAnsi="仿宋"/>
          <w:color w:val="auto"/>
          <w:szCs w:val="32"/>
        </w:rPr>
        <w:t>%。决算数小于预算数的主要原因是</w:t>
      </w:r>
      <w:r>
        <w:rPr>
          <w:rFonts w:hint="eastAsia" w:ascii="仿宋_GB2312" w:eastAsia="仿宋_GB2312" w:cs="仿宋_GB2312"/>
          <w:color w:val="000000"/>
          <w:sz w:val="32"/>
          <w:szCs w:val="32"/>
          <w:lang w:val="en-US" w:eastAsia="zh-CN"/>
        </w:rPr>
        <w:t>由于合同约定</w:t>
      </w:r>
      <w:r>
        <w:rPr>
          <w:rFonts w:hint="eastAsia" w:ascii="仿宋_GB2312" w:cs="仿宋_GB2312"/>
          <w:color w:val="000000"/>
          <w:sz w:val="32"/>
          <w:szCs w:val="32"/>
          <w:lang w:val="en-US" w:eastAsia="zh-CN"/>
        </w:rPr>
        <w:t>，</w:t>
      </w:r>
      <w:r>
        <w:rPr>
          <w:rFonts w:hint="eastAsia" w:ascii="仿宋_GB2312" w:hAnsi="仿宋"/>
          <w:szCs w:val="32"/>
          <w:lang w:val="en-US" w:eastAsia="zh-CN"/>
        </w:rPr>
        <w:t>2022年下半年车辆维修费</w:t>
      </w:r>
      <w:r>
        <w:rPr>
          <w:rFonts w:hint="eastAsia" w:ascii="仿宋_GB2312" w:eastAsia="仿宋_GB2312" w:cs="仿宋_GB2312"/>
          <w:color w:val="000000"/>
          <w:sz w:val="32"/>
          <w:szCs w:val="32"/>
          <w:lang w:val="en-US" w:eastAsia="zh-CN"/>
        </w:rPr>
        <w:t>未能在年底前支付，需要在</w:t>
      </w:r>
      <w:r>
        <w:rPr>
          <w:rFonts w:hint="eastAsia" w:ascii="仿宋_GB2312" w:cs="仿宋_GB2312"/>
          <w:color w:val="000000"/>
          <w:sz w:val="32"/>
          <w:szCs w:val="32"/>
          <w:lang w:val="en-US" w:eastAsia="zh-CN"/>
        </w:rPr>
        <w:t>下一年度</w:t>
      </w:r>
      <w:r>
        <w:rPr>
          <w:rFonts w:hint="eastAsia" w:ascii="仿宋_GB2312" w:eastAsia="仿宋_GB2312" w:cs="仿宋_GB2312"/>
          <w:color w:val="000000"/>
          <w:sz w:val="32"/>
          <w:szCs w:val="32"/>
          <w:lang w:val="en-US" w:eastAsia="zh-CN"/>
        </w:rPr>
        <w:t>支付</w:t>
      </w:r>
      <w:r>
        <w:rPr>
          <w:rFonts w:hint="eastAsia" w:ascii="仿宋_GB2312" w:hAnsi="仿宋"/>
          <w:color w:val="auto"/>
          <w:szCs w:val="32"/>
        </w:rPr>
        <w:t>。决算数较上年减少的主要原因是</w:t>
      </w:r>
      <w:r>
        <w:rPr>
          <w:rFonts w:hint="eastAsia" w:ascii="仿宋_GB2312" w:hAnsi="仿宋" w:eastAsia="仿宋_GB2312"/>
          <w:sz w:val="32"/>
          <w:szCs w:val="32"/>
          <w:lang w:val="en-US" w:eastAsia="zh-CN"/>
        </w:rPr>
        <w:t>厉行节约</w:t>
      </w:r>
      <w:r>
        <w:rPr>
          <w:rFonts w:hint="eastAsia" w:ascii="仿宋_GB2312" w:hAnsi="仿宋"/>
          <w:color w:val="auto"/>
          <w:szCs w:val="32"/>
        </w:rPr>
        <w:t>。公务用车运行维护费，包括车辆燃料费、维修费、过路过桥费、保险费等支出，主要用于</w:t>
      </w:r>
      <w:r>
        <w:rPr>
          <w:rFonts w:hint="eastAsia" w:ascii="仿宋_GB2312" w:hAnsi="仿宋"/>
          <w:color w:val="auto"/>
          <w:szCs w:val="32"/>
        </w:rPr>
        <w:t>车辆燃料费、维修费</w:t>
      </w:r>
      <w:r>
        <w:rPr>
          <w:rFonts w:hint="eastAsia" w:ascii="仿宋_GB2312" w:hAnsi="仿宋"/>
          <w:color w:val="auto"/>
          <w:szCs w:val="32"/>
        </w:rPr>
        <w:t>。截至2022年12月31日，</w:t>
      </w:r>
      <w:r>
        <w:rPr>
          <w:rFonts w:hint="eastAsia" w:ascii="仿宋_GB2312" w:hAnsi="仿宋"/>
          <w:color w:val="auto"/>
          <w:szCs w:val="32"/>
          <w:lang w:eastAsia="zh-CN"/>
        </w:rPr>
        <w:t>淮南市</w:t>
      </w:r>
      <w:r>
        <w:rPr>
          <w:rFonts w:hint="eastAsia" w:ascii="仿宋_GB2312" w:hAnsi="仿宋" w:cs="Times New Roman"/>
          <w:szCs w:val="32"/>
          <w:lang w:eastAsia="zh-CN"/>
        </w:rPr>
        <w:t>八公山区</w:t>
      </w:r>
      <w:r>
        <w:rPr>
          <w:rFonts w:hint="eastAsia" w:ascii="仿宋_GB2312" w:hAnsi="仿宋" w:cs="Times New Roman"/>
          <w:szCs w:val="32"/>
          <w:lang w:val="en-US" w:eastAsia="zh-CN"/>
        </w:rPr>
        <w:t>城市管理行政执法局</w:t>
      </w:r>
      <w:r>
        <w:rPr>
          <w:rFonts w:hint="eastAsia" w:ascii="仿宋_GB2312" w:hAnsi="仿宋"/>
          <w:color w:val="auto"/>
          <w:szCs w:val="32"/>
        </w:rPr>
        <w:t>机关</w:t>
      </w:r>
      <w:r>
        <w:rPr>
          <w:rFonts w:hint="eastAsia" w:ascii="仿宋_GB2312" w:hAnsi="仿宋"/>
          <w:szCs w:val="32"/>
        </w:rPr>
        <w:t>开支财政拨款的公务用车保有量为</w:t>
      </w:r>
      <w:r>
        <w:rPr>
          <w:rFonts w:hint="eastAsia" w:ascii="仿宋_GB2312" w:hAnsi="仿宋"/>
          <w:szCs w:val="32"/>
          <w:lang w:val="en-US" w:eastAsia="zh-CN"/>
        </w:rPr>
        <w:t>10</w:t>
      </w:r>
      <w:r>
        <w:rPr>
          <w:rFonts w:hint="eastAsia" w:ascii="仿宋_GB2312" w:hAnsi="仿宋"/>
          <w:szCs w:val="32"/>
        </w:rPr>
        <w:t>辆。</w:t>
      </w:r>
    </w:p>
    <w:p>
      <w:pPr>
        <w:pStyle w:val="3"/>
        <w:ind w:left="1258" w:hanging="1258"/>
        <w:rPr>
          <w:rFonts w:ascii="仿宋_GB2312"/>
        </w:rPr>
      </w:pPr>
    </w:p>
    <w:p>
      <w:pPr>
        <w:pStyle w:val="3"/>
        <w:ind w:left="1258" w:hanging="1258"/>
        <w:rPr>
          <w:rFonts w:ascii="仿宋_GB2312"/>
        </w:rPr>
      </w:pPr>
    </w:p>
    <w:p>
      <w:pPr>
        <w:pStyle w:val="3"/>
      </w:pPr>
    </w:p>
    <w:p/>
    <w:sectPr>
      <w:footerReference r:id="rId3" w:type="default"/>
      <w:footerReference r:id="rId4" w:type="even"/>
      <w:pgSz w:w="11906" w:h="16838"/>
      <w:pgMar w:top="2155" w:right="1531" w:bottom="1588" w:left="1588" w:header="0" w:footer="1588" w:gutter="0"/>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8"/>
        <w:rFonts w:ascii="仿宋_GB2312"/>
        <w:sz w:val="28"/>
      </w:rPr>
    </w:pPr>
    <w:r>
      <w:rPr>
        <w:rStyle w:val="8"/>
        <w:rFonts w:hint="eastAsia" w:ascii="仿宋_GB2312"/>
        <w:sz w:val="28"/>
      </w:rPr>
      <w:t>-</w:t>
    </w:r>
    <w:r>
      <w:rPr>
        <w:rFonts w:hint="eastAsia" w:ascii="仿宋_GB2312"/>
        <w:sz w:val="28"/>
        <w:szCs w:val="28"/>
      </w:rPr>
      <w:fldChar w:fldCharType="begin"/>
    </w:r>
    <w:r>
      <w:rPr>
        <w:rStyle w:val="8"/>
        <w:rFonts w:hint="eastAsia" w:ascii="仿宋_GB2312"/>
        <w:sz w:val="28"/>
        <w:szCs w:val="28"/>
      </w:rPr>
      <w:instrText xml:space="preserve"> PAGE </w:instrText>
    </w:r>
    <w:r>
      <w:rPr>
        <w:rFonts w:hint="eastAsia" w:ascii="仿宋_GB2312"/>
        <w:sz w:val="28"/>
        <w:szCs w:val="28"/>
      </w:rPr>
      <w:fldChar w:fldCharType="separate"/>
    </w:r>
    <w:r>
      <w:rPr>
        <w:rStyle w:val="8"/>
        <w:rFonts w:ascii="仿宋_GB2312"/>
        <w:sz w:val="28"/>
        <w:szCs w:val="28"/>
      </w:rPr>
      <w:t>4</w:t>
    </w:r>
    <w:r>
      <w:rPr>
        <w:rFonts w:hint="eastAsia" w:ascii="仿宋_GB2312"/>
        <w:sz w:val="28"/>
        <w:szCs w:val="28"/>
      </w:rPr>
      <w:fldChar w:fldCharType="end"/>
    </w:r>
    <w:r>
      <w:rPr>
        <w:rStyle w:val="8"/>
        <w:rFonts w:hint="eastAsia" w:ascii="仿宋_GB2312"/>
        <w:sz w:val="28"/>
        <w:szCs w:val="28"/>
      </w:rPr>
      <w:t>-</w:t>
    </w:r>
  </w:p>
  <w:p>
    <w:pPr>
      <w:pStyle w:val="4"/>
      <w:ind w:right="360"/>
      <w:jc w:val="right"/>
      <w:rPr>
        <w:rFonts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8"/>
      </w:rPr>
    </w:pPr>
    <w:r>
      <w:fldChar w:fldCharType="begin"/>
    </w:r>
    <w:r>
      <w:rPr>
        <w:rStyle w:val="8"/>
      </w:rPr>
      <w:instrText xml:space="preserve">PAGE  </w:instrText>
    </w:r>
    <w:r>
      <w:fldChar w:fldCharType="separate"/>
    </w:r>
    <w:r>
      <w:rPr>
        <w:rStyle w:val="8"/>
      </w:rPr>
      <w:t>1</w:t>
    </w:r>
    <w: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gwZjQ0NDMzZDU4YjBhM2FhM2RlN2ZmMzkwYWJiMDAifQ=="/>
  </w:docVars>
  <w:rsids>
    <w:rsidRoot w:val="00C940DE"/>
    <w:rsid w:val="00292198"/>
    <w:rsid w:val="004F7FF6"/>
    <w:rsid w:val="00652CEA"/>
    <w:rsid w:val="007258EF"/>
    <w:rsid w:val="009C0698"/>
    <w:rsid w:val="00AA6A76"/>
    <w:rsid w:val="00C940DE"/>
    <w:rsid w:val="00FB14ED"/>
    <w:rsid w:val="0F877AEA"/>
    <w:rsid w:val="13704221"/>
    <w:rsid w:val="5ECA2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qFormat/>
    <w:uiPriority w:val="99"/>
    <w:pPr>
      <w:spacing w:after="120" w:line="480" w:lineRule="auto"/>
      <w:ind w:left="420" w:leftChars="200"/>
    </w:pPr>
  </w:style>
  <w:style w:type="paragraph" w:styleId="3">
    <w:name w:val="Body Text"/>
    <w:basedOn w:val="1"/>
    <w:link w:val="11"/>
    <w:unhideWhenUsed/>
    <w:qFormat/>
    <w:uiPriority w:val="0"/>
    <w:pPr>
      <w:spacing w:after="120"/>
    </w:pPr>
  </w:style>
  <w:style w:type="paragraph" w:styleId="4">
    <w:name w:val="footer"/>
    <w:basedOn w:val="1"/>
    <w:link w:val="10"/>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page number"/>
    <w:basedOn w:val="7"/>
    <w:qFormat/>
    <w:uiPriority w:val="0"/>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qFormat/>
    <w:uiPriority w:val="0"/>
    <w:rPr>
      <w:sz w:val="18"/>
      <w:szCs w:val="18"/>
    </w:rPr>
  </w:style>
  <w:style w:type="character" w:customStyle="1" w:styleId="11">
    <w:name w:val="正文文本 Char"/>
    <w:basedOn w:val="7"/>
    <w:link w:val="3"/>
    <w:uiPriority w:val="0"/>
    <w:rPr>
      <w:rFonts w:ascii="Times New Roman" w:hAnsi="Times New Roman" w:eastAsia="仿宋_GB2312" w:cs="Times New Roman"/>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4</Pages>
  <Words>271</Words>
  <Characters>1551</Characters>
  <Lines>12</Lines>
  <Paragraphs>3</Paragraphs>
  <TotalTime>1</TotalTime>
  <ScaleCrop>false</ScaleCrop>
  <LinksUpToDate>false</LinksUpToDate>
  <CharactersWithSpaces>1819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2023-09-12T02:27:00Z</dcterms:created>
  <dc:creator>崔爱民</dc:creator>
  <cp:lastModifiedBy>如风111</cp:lastModifiedBy>
  <dcterms:modified xsi:type="dcterms:W3CDTF">2023-09-22T06:45:15Z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EFDCC63E0F3C446A8C552E572EFB0528_12</vt:lpwstr>
  </property>
</Properties>
</file>