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7"/>
        <w:gridCol w:w="616"/>
        <w:gridCol w:w="810"/>
        <w:gridCol w:w="3480"/>
        <w:gridCol w:w="3810"/>
        <w:gridCol w:w="3255"/>
        <w:gridCol w:w="94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14338" w:type="dxa"/>
            <w:gridSpan w:val="8"/>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iCs w:val="0"/>
                <w:color w:val="auto"/>
                <w:sz w:val="40"/>
                <w:szCs w:val="40"/>
                <w:u w:val="none"/>
                <w:lang w:val="en-US"/>
              </w:rPr>
            </w:pPr>
            <w:r>
              <w:rPr>
                <w:rFonts w:hint="eastAsia" w:ascii="方正小标宋简体" w:hAnsi="方正小标宋简体" w:eastAsia="方正小标宋简体" w:cs="方正小标宋简体"/>
                <w:i w:val="0"/>
                <w:iCs w:val="0"/>
                <w:color w:val="auto"/>
                <w:kern w:val="0"/>
                <w:sz w:val="40"/>
                <w:szCs w:val="40"/>
                <w:u w:val="none"/>
                <w:lang w:val="en-US" w:eastAsia="zh-CN" w:bidi="ar"/>
              </w:rPr>
              <w:t>八公山区教体局2023</w:t>
            </w:r>
            <w:bookmarkStart w:id="0" w:name="_GoBack"/>
            <w:bookmarkEnd w:id="0"/>
            <w:r>
              <w:rPr>
                <w:rFonts w:hint="eastAsia" w:ascii="方正小标宋简体" w:hAnsi="方正小标宋简体" w:eastAsia="方正小标宋简体" w:cs="方正小标宋简体"/>
                <w:i w:val="0"/>
                <w:iCs w:val="0"/>
                <w:color w:val="auto"/>
                <w:kern w:val="0"/>
                <w:sz w:val="40"/>
                <w:szCs w:val="40"/>
                <w:u w:val="none"/>
                <w:lang w:val="en-US" w:eastAsia="zh-CN" w:bidi="ar"/>
              </w:rPr>
              <w:t>行政处罚条件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417" w:type="dxa"/>
            <w:tcBorders>
              <w:top w:val="single" w:color="auto" w:sz="8" w:space="0"/>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616" w:type="dxa"/>
            <w:tcBorders>
              <w:top w:val="single" w:color="auto" w:sz="8" w:space="0"/>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权力类型</w:t>
            </w:r>
          </w:p>
        </w:tc>
        <w:tc>
          <w:tcPr>
            <w:tcW w:w="810" w:type="dxa"/>
            <w:tcBorders>
              <w:top w:val="single" w:color="auto" w:sz="8" w:space="0"/>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权力名称</w:t>
            </w:r>
          </w:p>
        </w:tc>
        <w:tc>
          <w:tcPr>
            <w:tcW w:w="3480" w:type="dxa"/>
            <w:tcBorders>
              <w:top w:val="single" w:color="auto" w:sz="8" w:space="0"/>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子项</w:t>
            </w:r>
          </w:p>
        </w:tc>
        <w:tc>
          <w:tcPr>
            <w:tcW w:w="3810" w:type="dxa"/>
            <w:tcBorders>
              <w:top w:val="single" w:color="auto" w:sz="8" w:space="0"/>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实施依据</w:t>
            </w:r>
          </w:p>
        </w:tc>
        <w:tc>
          <w:tcPr>
            <w:tcW w:w="3255" w:type="dxa"/>
            <w:tcBorders>
              <w:top w:val="single" w:color="auto" w:sz="8" w:space="0"/>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责任事项</w:t>
            </w:r>
          </w:p>
        </w:tc>
        <w:tc>
          <w:tcPr>
            <w:tcW w:w="945" w:type="dxa"/>
            <w:tcBorders>
              <w:top w:val="single" w:color="auto" w:sz="8" w:space="0"/>
              <w:left w:val="nil"/>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追责情形</w:t>
            </w:r>
          </w:p>
        </w:tc>
        <w:tc>
          <w:tcPr>
            <w:tcW w:w="1005" w:type="dxa"/>
            <w:tcBorders>
              <w:top w:val="single" w:color="auto" w:sz="8" w:space="0"/>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对违反国家有关规定，举办学校或者其他教育机构的处罚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中华人民共和国教育法》第七十五条：违反国家有关规定，举办学校或者其他教育机构的，由教育行政部门或者其他有关行政部门予以撤销；有违法所得的，没收违法所得；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《中华人民共和国民办教育促进法》第六十四条：违反国家有关规定擅自举办民办学校的</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由所在地县级以上地方人民政府教育行政部门或者人力资源社会保障行政部门会同同级公安、民政或者市场监督管理等有关部门责令停止办学、退还所收费用</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并对举办者处违法所得一倍以上五倍以下罚款；构成违反治安管理行为的</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由公安机关依法给予治安管理处罚；构成犯罪的</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对学校或者其他教育机构违反国家有关规定招收学生的处罚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教育法》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对个人违法取得入学资格的处罚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对盗用、冒用他人</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《中华人民共和国教育法》第七十七条第二款：盗用、冒用他人身份，顶替他人取得的入学资格的，由教育行政部门或者其他有关行政部门责令撤销入学资格，并责令停止参</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center"/>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对考生作弊或妨碍国家教育考试秩序行为的处罚</w:t>
            </w: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教育法》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考点记录责任：在发现或者接到举报有相关舞弊行为时，及时纠正考生违规行为，立即向考务组汇报，监考教师在《安徽省国家教育考试考生违规处理记录表》（一式两份）填写违规考生相关信息及违规事实并要求考生签字确认，若考生拒不签字，则由考点纪检人员签字，并注明事由。</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考生有违纪行为的，取消该科目的考试成绩；认定为考试作弊行为的其所报考参加考试的各阶段、各科成绩无效；情节严重的暂停参加该项考试</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年，情节特别严重的暂停参加各种国家教育考试</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年，终止其继续参加本科目考试，其当次报名参加考试的各科成绩无效；考生及其他人员的行为违反《中华人民共和国治安管理处罚法》的，由公安机关进行处理；构成犯罪的，由司法机关依法追究刑事责任。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对非法获取考试试题或者答案的处罚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（一）非法获取考试试题或者答案的；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固定证据责任：考务人员要注重证据的收集，要求违规考生书写情况说明并签名。复印违规考生身份证和准考证。拷贝该考场的视频监控录像。对考生用于作弊的材料（在材料空白处要求考生签名）、工具应予暂扣；对于手机等不易暂扣物品要拍照，并要求考生在照片打印件上签名。</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对携带或者使用考试作弊器材、资料的处罚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（二）携带或者使用考试作弊器材、资料的；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材料上报责任。考务人员收集本考点所有考场的《安徽省国家教育考试考生违规处理记录表》，由主考签字后连同证据一起逐级上交市级招生考试机构。考务人员收集本考点所有考场的《安徽省国家教育考试考生违规处理记录表》，由主考签字后连同证据一起逐级上交市级招生考试机构。市级招生考试机构汇总并核查违规材料，提出处理意见，填写《安徽省国家教育考试违规情况汇总表》，所有材料密封盖章交省教育招生考试院。</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对抄袭他人答案的处罚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（三）抄袭他人答案的；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告知阶段责任：省考试院作出违规处罚决定前，书面告知当事人作出处罚决定的事实、理由及依据，告知享有的陈述、申辩权，听取陈述申辩并复核。</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对让他人代替自己参加考试的处罚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（四）让他人代替自己参加考试的；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决定阶段责任：根据审查情况决定是否予以处罚；省考试院下达处罚决定书，有县考试中心将处罚决定书送达考生。</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对其他以不正当手</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（五）其他以不正当手段获得考试成绩的作弊行为。</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对非法颁发学位证书、学历证书或者其他学业证书行为的处罚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教育法》第八十二条第一款：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对学校以向学生推销或者变相推销商品、服务等方式谋取利益的处罚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义务教育法》第五十六条第二款：学校以向学生推销或者变相推销商品、服务等方式谋取利益的，由县级人民政府教育行政部门给予通报批评；有违法所得的，没收违法所得；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给予通报批评；有违法所得的，没收违法所得；对直接负责的主管人员和其他直接责任人员依法给予处分。</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对国家机关工作人员和教科书审查人员参与或者变相参与教科书编写的处罚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《中华人民共和国义务教育法》第五十六条第三款：国家机关工作人员和教科书审查人员参与或者变相参与教科书编</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责令限期改正，依法给予行政处分；有违法所得的，没收违法所得。</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top"/>
          </w:tcPr>
          <w:p>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top"/>
          </w:tcPr>
          <w:p>
            <w:pPr>
              <w:keepNext w:val="0"/>
              <w:keepLines w:val="0"/>
              <w:widowControl/>
              <w:suppressLineNumbers w:val="0"/>
              <w:wordWrap w:val="0"/>
              <w:spacing w:before="0" w:beforeAutospacing="0" w:after="0" w:afterAutospacing="0"/>
              <w:ind w:left="0" w:right="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对擅自分立、合并民办学校等八类情形的处罚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对擅自分立、合并民办学校的处罚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（一）擅自分立、合并民办学校的；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（二）擅自改变民办学校名称、层次、类别和举办者的；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（三）发布虚假招生简章或者广告，骗取钱财的；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（四）非法颁发或者伪造学历证书、结业证书、培训证书、职业资格证书的；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（五）管理混乱严重影响教育教学，产生恶劣社会影响的；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（六）提交虚假证明文件或者采取其他欺诈手段隐瞒重要事实骗取办学许可证的；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（七）伪造、变造、买卖、出租、出借办学许可证的；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（八）恶意终止办学、抽逃资金或者挪用办学经费的。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对擅自改变民办学校名称、层次、类别和举办者的处罚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2.</w:t>
            </w:r>
            <w:r>
              <w:rPr>
                <w:rFonts w:hint="eastAsia" w:ascii="宋体" w:hAnsi="宋体" w:eastAsia="宋体" w:cs="宋体"/>
                <w:i w:val="0"/>
                <w:iCs w:val="0"/>
                <w:color w:val="auto"/>
                <w:kern w:val="0"/>
                <w:sz w:val="18"/>
                <w:szCs w:val="18"/>
                <w:u w:val="none"/>
                <w:lang w:val="en-US" w:eastAsia="zh-CN" w:bidi="ar"/>
              </w:rPr>
              <w:t>《中华人民共和国民办教育促进法实施条例》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年内不得新成为民办学校决策机构负责人或者校长；情节特别严重、社会影响恶劣的，永久不得新成为民办学校决策机构负责人或者校长。</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对发布虚假招生简章或者广告，骗取钱财的处罚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对非法颁发或者伪造学历证书、结业证书、培训证书、职业资格证书的处罚</w:t>
            </w: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对管理混乱严重影响教育教学，产生恶劣社会影响的处罚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对提交虚假证明文件或者采取其他欺诈手段隐瞒重要事实骗取办学许可证的处罚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对伪造、变造、买卖、出租、出借办学许可证的处罚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top"/>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对恶意终止办学、抽逃资金或者挪用办学经费的处罚</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对个人在未成年人集中场所吸烟、饮酒的处罚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《未成年人保护法》第一百二十四条规定</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对个人在未成年人集中场所吸烟、饮酒的，给予警告，可以并处五百元以下罚款；场所管理者未及时制止的，给予警告，并处一万元以下罚款。</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第一百二十四条：违反本法第五十九条第二款规定，在学校、幼儿园和其他未成年人集中活动的公共场所吸烟、饮酒的，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由卫生健康、教直、市场监督管理等部门按照职责分工责令改正，给予警告，可以并处五百元以下罚款；场所管理者未及时制止的，由卫生健康、教直、市场监督管理等部门按照职责分工给予警告，并处一万元以下罚款。</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对密切接触未成年人的单位未履行查询义务，或者招用、继续聘用具有相关违法犯罪记录人员的处罚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《中华人民共和国未成年人保护法》第一百二十六条：密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受理责任：公示申请条件、法定期限、需要提供的申请书及其他资料（申请人及被申请人的基本情况，申请裁决的要求和理由，有关证据资料，申请的日期等），一次性告知补正资料。对申请人提出要求解决纠纷的请求，进行材料审查。对符合条件的依法受理、立案；对不符合条件的，不予受理并通知申请人，告知其理由。</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因不履行或不正确履行行政职责，有下列情形的，行政机关及工作人员应承担相应的责任：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调查审理责任：按法定程序调查。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对符合受理条件不予受理的；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裁决责任：对案件进行调解工作；对需要依法作出处理决定的，拟定处理意见。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对不符合受理条件予以受理的；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送达责任：将处理意见报同级人民政府作出处理决定。</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不依法履行职责而造成不良后果的；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其他责任：法律法规规章规定应履行的责任</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在受理过程中违反规定程序，对行政相对人利益造成损失的；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在受理过程中滥用职权、玩忽职守，造成不良影响的；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在受理过程中发生贪污腐败行为的；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其他违反法律法规等规定的行为。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对学校及其教职员工违反本法规定，不履行预防未成年人犯罪工作职责，或者虐待、歧视相关未成年人的处罚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《中华人民共和国预防未成年人犯罪法》第六十二条　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责令改正，通报批评；情节严重的，对直接负责的主管人员和其他直接责任人员依法给予处分。构成违反治安管理行为的，由公安机关依法予以治安管理处罚。</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教职员工教唆、胁迫、引诱未成年人实施不良行为或者严重不良行为，以及品行不良、影响恶劣的，教育行政部门、学校应当依法予以解聘或者辞退。</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教职员工教唆、胁迫、引诱未成年人实施不良行为或者严重不良行为，以及品行不良、影响恶劣的，教育行政部门、学校应当依法予以解聘或者辞退。</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5" w:hRule="atLeast"/>
          <w:jc w:val="center"/>
        </w:trPr>
        <w:tc>
          <w:tcPr>
            <w:tcW w:w="417"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616"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对职业学校、职业培训机构在职业教育活动中违反《中华人民共和国职业教育法》规定的处罚</w:t>
            </w: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《中华人民共和国职业教育法》第六十五条</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立案责任：对依据监督检查职权或者通过举报、投诉、其他部门移送、上级部门交办等途径发现的违法行为线索，决定是否立案。</w:t>
            </w: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调查责任：在调查或检查时，执法人员不得少于两人，并向当事人或有关人员出示证件，询问或检查应制作笔录。</w:t>
            </w: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审查责任：对案件的违法事实、收集的证据、办案的程序、法律适用、处罚种类和幅度等进行审查，提出处理意见。</w:t>
            </w: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告知责任：在作出处罚决定之前，应当告知当事人作出处罚决定的事由、理由及依据，并告知当事人依法享有的权利；当事人依法要求听证的，应组织听证。</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决定责任：依法应当给予行政处罚的，制作盖有行政机关印章的行政处罚决定书，载明违法事实、证据、处罚种类和依据、权利救济途径等内容。</w:t>
            </w: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送达责任：行政处罚决定书在决定后七日内依照《民事诉讼法》的有关规定送达职业学校或职业培训机构。</w:t>
            </w: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执行责任：督促学校或培训机构履行生效的行政处罚决定，对逾期不履行的，依照《行政强制法》的规定执行。</w:t>
            </w: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法律法规规章文件规定应履行的其他责任。</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w:t>
            </w:r>
          </w:p>
        </w:tc>
        <w:tc>
          <w:tcPr>
            <w:tcW w:w="945" w:type="dxa"/>
            <w:tcBorders>
              <w:top w:val="nil"/>
              <w:left w:val="nil"/>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65" w:hRule="atLeast"/>
          <w:jc w:val="center"/>
        </w:trPr>
        <w:tc>
          <w:tcPr>
            <w:tcW w:w="417"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616"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对职业学校、职业培训机构违反《中华人民共和国职业教育法》规定，通过人力资源服务机构、劳务派遣单位或者非法从事人力资源服务、劳务派遣业务的单位或个人组织、安排、管理学生实习实训的处罚</w:t>
            </w: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华人民共和国职业教育法》：第六十六条接纳职业学校和职业培训机构学生实习的单位违反本法规定，侵害学生休息休假、获得劳动安全卫生保护、参加相关保险、接受职业技能指导等权利的，依法承担相应的法律责任。</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立案责任：对依据监督检查职权或者通过举报、投诉、其他部门移送、上级部门交办等途径发现的违法行为线索，决定是否立案。</w:t>
            </w: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调查责任：在调查或检查时，执法人员不得少于两人，并向当事人或有关人员出示证件，询问或检查应制作笔录。</w:t>
            </w: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审查责任：对案件的违法事实、收集的证据、办案的程序、法律适用、处罚种类和幅度等进行审查，提出处理意见。</w:t>
            </w: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告知责任：在作出处罚决定之前，应当告知当事人作出处罚决定的事由、理由及依据，并告知当事人依法享有的权利；当事人依法要求听证的，应组织听证。</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决定责任：依法应当给予行政处罚的，制作盖有行政机关印章的行政处罚决定书，载明违法事实、证据、处罚种类和依据、权利救济途径等内容。</w:t>
            </w: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送达责任：行政处罚决定书在决定后七日内依照《民事诉讼法》的有关规定送达职业学校或职业培训机构。</w:t>
            </w: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执行责任：督促学校和培训机构履行生效的行政处罚决定，对逾期不履行的，依照《行政强制法》的规定执行。</w:t>
            </w: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法律法规规章文件规定应履行的其他责任。</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r>
              <w:rPr>
                <w:rFonts w:hint="default" w:ascii="Times New Roman" w:hAnsi="Times New Roman" w:eastAsia="宋体" w:cs="Times New Roman"/>
                <w:i w:val="0"/>
                <w:iCs w:val="0"/>
                <w:color w:val="auto"/>
                <w:kern w:val="0"/>
                <w:sz w:val="18"/>
                <w:szCs w:val="18"/>
                <w:u w:val="none"/>
                <w:lang w:val="en-US" w:eastAsia="zh-CN" w:bidi="ar"/>
              </w:rPr>
              <w:t> 1.</w:t>
            </w:r>
            <w:r>
              <w:rPr>
                <w:rFonts w:hint="eastAsia" w:ascii="宋体" w:hAnsi="宋体" w:eastAsia="宋体" w:cs="宋体"/>
                <w:i w:val="0"/>
                <w:iCs w:val="0"/>
                <w:color w:val="auto"/>
                <w:kern w:val="0"/>
                <w:sz w:val="18"/>
                <w:szCs w:val="18"/>
                <w:u w:val="none"/>
                <w:lang w:val="en-US" w:eastAsia="zh-CN" w:bidi="ar"/>
              </w:rPr>
              <w:t>没有法定依据实行行政处罚的；</w:t>
            </w:r>
            <w:r>
              <w:rPr>
                <w:rFonts w:hint="default" w:ascii="Times New Roman" w:hAnsi="Times New Roman" w:eastAsia="宋体" w:cs="Times New Roman"/>
                <w:i w:val="0"/>
                <w:iCs w:val="0"/>
                <w:color w:val="auto"/>
                <w:kern w:val="0"/>
                <w:sz w:val="18"/>
                <w:szCs w:val="18"/>
                <w:u w:val="none"/>
                <w:lang w:val="en-US" w:eastAsia="zh-CN" w:bidi="ar"/>
              </w:rPr>
              <w:t> 2.</w:t>
            </w:r>
            <w:r>
              <w:rPr>
                <w:rFonts w:hint="eastAsia" w:ascii="宋体" w:hAnsi="宋体" w:eastAsia="宋体" w:cs="宋体"/>
                <w:i w:val="0"/>
                <w:iCs w:val="0"/>
                <w:color w:val="auto"/>
                <w:kern w:val="0"/>
                <w:sz w:val="18"/>
                <w:szCs w:val="18"/>
                <w:u w:val="none"/>
                <w:lang w:val="en-US" w:eastAsia="zh-CN" w:bidi="ar"/>
              </w:rPr>
              <w:t>擅自更改行政处罚种类、幅度的；</w:t>
            </w:r>
            <w:r>
              <w:rPr>
                <w:rFonts w:hint="default" w:ascii="Times New Roman" w:hAnsi="Times New Roman" w:eastAsia="宋体" w:cs="Times New Roman"/>
                <w:i w:val="0"/>
                <w:iCs w:val="0"/>
                <w:color w:val="auto"/>
                <w:kern w:val="0"/>
                <w:sz w:val="18"/>
                <w:szCs w:val="18"/>
                <w:u w:val="none"/>
                <w:lang w:val="en-US" w:eastAsia="zh-CN" w:bidi="ar"/>
              </w:rPr>
              <w:t> 3.</w:t>
            </w:r>
            <w:r>
              <w:rPr>
                <w:rFonts w:hint="eastAsia" w:ascii="宋体" w:hAnsi="宋体" w:eastAsia="宋体" w:cs="宋体"/>
                <w:i w:val="0"/>
                <w:iCs w:val="0"/>
                <w:color w:val="auto"/>
                <w:kern w:val="0"/>
                <w:sz w:val="18"/>
                <w:szCs w:val="18"/>
                <w:u w:val="none"/>
                <w:lang w:val="en-US" w:eastAsia="zh-CN" w:bidi="ar"/>
              </w:rPr>
              <w:t>违反法定的行政处罚程序的；</w:t>
            </w:r>
            <w:r>
              <w:rPr>
                <w:rFonts w:hint="default" w:ascii="Times New Roman" w:hAnsi="Times New Roman" w:eastAsia="宋体" w:cs="Times New Roman"/>
                <w:i w:val="0"/>
                <w:iCs w:val="0"/>
                <w:color w:val="auto"/>
                <w:kern w:val="0"/>
                <w:sz w:val="18"/>
                <w:szCs w:val="18"/>
                <w:u w:val="none"/>
                <w:lang w:val="en-US" w:eastAsia="zh-CN" w:bidi="ar"/>
              </w:rPr>
              <w:t> 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r>
              <w:rPr>
                <w:rFonts w:hint="default" w:ascii="Times New Roman" w:hAnsi="Times New Roman" w:eastAsia="宋体" w:cs="Times New Roman"/>
                <w:i w:val="0"/>
                <w:iCs w:val="0"/>
                <w:color w:val="auto"/>
                <w:kern w:val="0"/>
                <w:sz w:val="18"/>
                <w:szCs w:val="18"/>
                <w:u w:val="none"/>
                <w:lang w:val="en-US" w:eastAsia="zh-CN" w:bidi="ar"/>
              </w:rPr>
              <w:t> 5.</w:t>
            </w:r>
            <w:r>
              <w:rPr>
                <w:rFonts w:hint="eastAsia" w:ascii="宋体" w:hAnsi="宋体" w:eastAsia="宋体" w:cs="宋体"/>
                <w:i w:val="0"/>
                <w:iCs w:val="0"/>
                <w:color w:val="auto"/>
                <w:kern w:val="0"/>
                <w:sz w:val="18"/>
                <w:szCs w:val="18"/>
                <w:u w:val="none"/>
                <w:lang w:val="en-US" w:eastAsia="zh-CN" w:bidi="ar"/>
              </w:rPr>
              <w:t>依法应当移送司法机关处理而不移送的；</w:t>
            </w:r>
            <w:r>
              <w:rPr>
                <w:rFonts w:hint="default" w:ascii="Times New Roman" w:hAnsi="Times New Roman" w:eastAsia="宋体" w:cs="Times New Roman"/>
                <w:i w:val="0"/>
                <w:iCs w:val="0"/>
                <w:color w:val="auto"/>
                <w:kern w:val="0"/>
                <w:sz w:val="18"/>
                <w:szCs w:val="18"/>
                <w:u w:val="none"/>
                <w:lang w:val="en-US" w:eastAsia="zh-CN" w:bidi="ar"/>
              </w:rPr>
              <w:t> 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r>
              <w:rPr>
                <w:rFonts w:hint="default" w:ascii="Times New Roman" w:hAnsi="Times New Roman" w:eastAsia="宋体" w:cs="Times New Roman"/>
                <w:i w:val="0"/>
                <w:iCs w:val="0"/>
                <w:color w:val="auto"/>
                <w:kern w:val="0"/>
                <w:sz w:val="18"/>
                <w:szCs w:val="18"/>
                <w:u w:val="none"/>
                <w:lang w:val="en-US" w:eastAsia="zh-CN" w:bidi="ar"/>
              </w:rPr>
              <w:t> 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r>
              <w:rPr>
                <w:rFonts w:hint="default" w:ascii="Times New Roman" w:hAnsi="Times New Roman" w:eastAsia="宋体" w:cs="Times New Roman"/>
                <w:i w:val="0"/>
                <w:iCs w:val="0"/>
                <w:color w:val="auto"/>
                <w:kern w:val="0"/>
                <w:sz w:val="18"/>
                <w:szCs w:val="18"/>
                <w:u w:val="none"/>
                <w:lang w:val="en-US" w:eastAsia="zh-CN" w:bidi="ar"/>
              </w:rPr>
              <w:t> 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tcBorders>
              <w:top w:val="nil"/>
              <w:left w:val="nil"/>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对民办学校举办者及实际控制人、决策机构或者监督机构组成人员利用办学非法集资，或者收取与入学关联的费用等八类情形</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对利用办学非法集</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《中华人民共和国民办教育促进法实施条例》第六十二条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（一）利用办学非法集资，或者收取与入学关联的费用的；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（二）未按时、足额履行出资义务，或者抽逃出资、挪用办学经费的；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（三）侵占学校法人财产或者非法从学校获取利益的；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（四）与实施义务教育的民办学校进行关联交易，或者与其他民办学校进行关联交易损害国家利益、学校利益和师生权益的；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对未按时、足额履</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（五）伪造、变造、买卖、出租、出借办学许可证的；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对侵占学校法人财</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对与实施义务教育的民办学校进行关联交易，或者与其他民办学校进行关联交易损害国家利益、学校利益和师生权益的处罚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（六）干扰学校办学秩序或者非法干预学校决策、管理的；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对伪造、变造、买卖、出租、出借办学许可证的处罚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（七）擅自变更学校名称、层次、类型和举办者的；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对干扰学校办学秩序或者非法干预学校决策、管理的处罚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（八）有其他危害学校稳定和安全、侵犯学校法人权利或者损害教职工、受教育者权益的行为的。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对擅自变更学校名称、层次、类型和举办者的处罚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对有其他危害学校</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对民办学校违背国家教育方针，偏离社会主义办学方向，或者未保障学校党组织履行职责等十二类情形的处罚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对民办学校违背国家教育方针，偏离社会主义办学方向，或者未保障学校党组织履行职责的处罚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《中华人民共和国民办教育促进法实施条例》第六十三条规定民办学校有下列情形之一的，依照民办教育促进法第六十二条规定给予处罚：</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（一）违背国家教育方针，偏离社会主义办学方向，或者未保障学校党组织履行职责的；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（二）违反法律、行政法规和国家有关规定开展教育教学活动的；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（三）理事会、董事会或者其他形式决策机构未依法履行职责的；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（四）教学条件明显不能满足教学要求、教育教学质量低下，未及时采取措施的；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（五）校舍、其他教育教学设施设备存在重大安全隐患，未及时采取措施的；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（六）侵犯受教育者的合法权益，产生恶劣社会影响的；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（七）违反国家规定聘任、解聘教师，或者未依法保障教职工待遇的；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（八）违反规定招生，或者在招生过程中弄虚作假的；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（九）超出办学许可范围，擅自改变办学地址或者设立分校的；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（十）未依法履行公示办学条件和教育质量有关材料、财务状况等信息披露义务，或者公示的材料不真实的；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（十一）未按照国家统一的会计制度进行会计核算、编制财务会计报告，财务、资产管理混乱，或者违反法律、法规增加收费项目、提高收费标准的；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（十二）有其他管理混乱严重影响教育教学的行为的。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对民办学校违反法律、行政法规和国家有关规定开展教育教学活动的处罚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对民办学校理事会、董事会或者其他形式决策机构未依法履行职责的处罚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对民办学校教学条件明显不能满足教学要求、教育教学质量低下，未及时采取措施的处罚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对民办学校校舍、其他教育教学设施设备存在重大安全隐患，未及时采取措施的处罚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对民办学校侵犯受教育者的合法权益，产生恶劣社会影响的处罚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对民办学校违反国家规定聘任、解聘教师，或者未依法保障教职工待遇的处罚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对民办学校违反规定招生，或者在招生过程中弄虚作假的处罚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对民办学校超出办学许可范围，擅自改变办学地址或者设立分校的处罚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对民办学校未依法履行公示办学条件和教育质量有关材料、财务状况等信息披露义务，或者公示的材料不真实的处罚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对民办学校未按照国家统一的会计制度进行会计核算、编制财务会计报告，财务、资产管理混乱，或者违反法律、法规增加收费项目、提高收费标准的处罚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对民办学校有其他管理混乱严重影响教育教学的处罚</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2.</w:t>
            </w:r>
            <w:r>
              <w:rPr>
                <w:rFonts w:hint="eastAsia" w:ascii="宋体" w:hAnsi="宋体" w:eastAsia="宋体" w:cs="宋体"/>
                <w:i w:val="0"/>
                <w:iCs w:val="0"/>
                <w:color w:val="auto"/>
                <w:kern w:val="0"/>
                <w:sz w:val="18"/>
                <w:szCs w:val="18"/>
                <w:u w:val="none"/>
                <w:lang w:val="en-US" w:eastAsia="zh-CN" w:bidi="ar"/>
              </w:rPr>
              <w:t>《中华人民共和国民办教育促进法实施条例》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年内不得新成为民办学校决策机构负责人或者校长；情节特别严重、社会影响恶劣的，永久不得新成为民办学校决策机构负责人或者校长。</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对同时举办或者实际控制多所民办学校的举办者或者实际控制人，对所举办或者实际控制的民办学校疏于管理，造成恶劣影响的处罚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《民办教育促进法实施条例》第六十四条第二款</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w:t>
            </w: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至</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年内不得举办新的民办学校，情节严重的，</w:t>
            </w:r>
            <w:r>
              <w:rPr>
                <w:rFonts w:hint="default" w:ascii="Times New Roman" w:hAnsi="Times New Roman" w:eastAsia="宋体" w:cs="Times New Roman"/>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年内不得举办新的民办学校。</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对在民办学校筹设期内招生的处罚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《中华人民共和国民办教育促进法实施条例》第六十五条：违反本条例规定举办、参与举办民办学校或者在民办学校筹设期内招生的，依照民办教育促进法第六十四条规定给予处罚。</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中华人民共和国民办教育促进法》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对幼儿园未经登记注册，擅自招收幼儿等三类情形的处罚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对未经登记注册，擅自招收幼儿的处罚</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《幼儿园管理条例》第二十七条：违反本条例，具有下列情形之一的幼儿园，由教育行政部门视情节轻重，给予限期整顿、停止招生、停止办园的行政处罚：</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（一）未经登记注册，擅自招收幼儿的；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（二）园舍、设施不符合国家卫生标准、安全标准，妨害幼儿身体健康或者威胁幼儿生命安全的；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（三）教育内容和方法违背幼儿教育规律，损害幼儿身心健康的。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对园舍、设施不符合国家卫生标准、安全标准，妨害幼儿身体健康或者威胁幼儿生命安全的处罚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对教育内容和方法违背幼儿教育规律，损害幼儿身心健康的处罚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对体罚或变相体罚幼儿等六类情形的处罚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对体罚或变相体罚幼儿的处罚</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《幼儿园管理条例》第二十八条：违反本条例，具有下列情形之一的单位或者个人，由教育行政部门对直接责任人员给予警告、罚款的行政处罚，或者由教育行政部门建议有关部门对责任人员给予行政处分：</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（一）体罚或变相体罚幼儿的；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（二）使用有毒、有害物质制作教具、玩具的；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（三）克扣、挪用幼儿园经费的；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（四）侵占、破坏幼儿园园舍、设备的；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（五）干扰幼儿园正常工作秩序的；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（六）在幼儿园周围设置有危险、有污染或者影响幼儿园采光的建筑和设施的。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前款所列情形，情节严重，构成犯罪的，由司法机关依法追究刑事责任。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对使用有毒、有害物质制作教具、玩具的处罚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对克扣、挪用幼儿园经费的处罚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对侵占、破坏幼儿园园舍、设备的处罚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对干扰幼儿园正常工作秩序的处罚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对在幼儿园周围设置有危险、有污染或者影响幼儿园采光的建筑和设施的处罚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18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对弄虚作假、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骗取教师资格</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或品行不良、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侮辱学生，影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响恶劣行为的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教师资格条例》第十九条：有下列情形之一的，由县级以上人民政府教育行政部门撤销其教师资格：（一）弄虚作假、骗取教师资格的；（二）品行不良、侮辱学生，影响恶劣的。被撤销教师资格的，自撤销之日起</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年内不得重新申请认定教师资格，其教师资格证书由县级以上人民政府教育行政部门收缴。</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立案责任：发现学校或其他教育机构涉嫌品行不良、侮辱学生，影响恶劣的行为，经初核审查，决定是否立案。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因不履行或不正确履行行政职责，有下列情形的，行政机关及相关工作人员应承担相应责任：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调查取证责任：对立案的案件，指定专人负责，及时组织调查取证。执法人员不得少于两人，与当事人有直接利害关系的应当回避。</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没有法定依据作出行政处罚的；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责任：审理案件调查报告，对案件违法事实、证据、调查取证程序、法律适用、处罚种类和幅度、当事人陈述和申辩理由等方面进行审查，提出处理意见。对教师及其他人员违反治安管理法律法规的行为，由当地公安部门处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告知责任：作出行政处罚决定前，告知当事人作出处罚决定的事实、理由和依据，并告知其享有的陈述、申辩等权利。</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执法人员玩忽职守的；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决定责任：根据审理情况决定是否予以行政处罚。依法需要给予行政处罚的，制作行政处罚决定书，载明违法事实和证据、处罚依据和内容、申请行政复议或提起行政诉讼的途径和期限等内容。</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其他违反法律法规政策规定的行为。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送达责任：在规定期限内将行政处罚决定书送达当事人。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执行责任：依照行政处罚决定，依法执行行政处罚，撤销其教师资格。</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其他法律法规政策规定应履行的责任。</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对违反《校车安全管理条例》导致发生学生伤亡事故的处罚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校车安全管理条例》第五十五条：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年内不得从事学校管理事务。</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对非宗教学校及其他教育机构进行宗教有关活动等的处罚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宗教事务条例》第七十条第二款：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责令限期改正并予以警告；有违法所得的，</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对学校未按《未成年人学校保护规定》建立学生权利保护机制，或者制定的校规违反法律法规和《未成年人学校保护规定》的行为的处罚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成年人学校保护规定》第五十九条：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限期改正、给予通报批评；情节严重、影响</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对教职工实施《未成年人学校保护规定》第二十四条第二款禁止行为的处罚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未成年人学校保护规定》第六十条第二款：教职工实施第二十四条第二款禁止行为的，应当依法予以开除或者解聘；有教师资格的，由主管教育行政部门撤销教师资格，纳入从业禁止人员名单；涉嫌犯罪的，移送有关部门依法追究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限期改正、给予通报批评；情节严重、影响</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未成年人学校保护规定》第二十四条第二款第（一）至（六）项：学校应当采取必要措施预防并制止教职工以及其他进入校园的人员实施以下行为：（一）与学生发生恋爱关系、性关系；（二）抚摸、故意触碰学生身体特定部位等猥亵行为；（三）对学生作出调戏、挑逗或者具有性暗示的言行；（四）向学生展示传播包含色情、淫秽内容的信息、书刊、影片、音像、图片或者其他淫秽物品；（五）持有包含淫秽、色情内容的视听、图文资料；（六）其他构成性骚扰、性侵害的违法犯罪行为。</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对幼儿园年检不合格或者拒不接受年检的处罚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《安徽省学前教育条例》第七条：县级以上人民政府教育行政部门主管本行政区域内学前教育工作，其他相关部门和社会组织等在各自的职责范围内做好学前教育相关工作。</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第十五条：实行幼儿园年检制度。年检应当征求家长和社会公众意见，年检结果向社会公布。</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五十一条：违反本条例第十五条规定，幼儿园年检不合格或者拒不接受年检的，由县级人民政府教育行政部门责令限期改正；逾期不改正的，责令停止招生，停止办园，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对擅自为幼儿群体性服用药品的处罚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《安徽省学前教育条例》第二十条第三款：幼儿园及其工作人员不得擅自为幼儿群体性服用药品。</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安徽省学前教育条例》第五十五条：幼儿园及其工作人员违反本条例第二十条第三款规定，擅自为幼儿群体性服用药品的，由县级以上人民政府教育、卫生行政部门责令改正，并对直接负责的主管人员和其他直接责任人员依法给予处分；情节严重的，责令停止招生、停止办园；构成犯罪的，依法追究刑事责任。</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对幼儿园及其工作人员违反《安徽省学前教育条例》的处罚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对幼儿园及其工作人员未执行安全、营养、保健、卫生等相关规定的处罚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学前教育条例》第五十条：幼儿园及其工作人员违反本条例，有下列情形之一的，由县级以上人民政府教育行政部门责令限期改正；逾期不改正的，对直接负责的主管人员和其他直接责任人员依法给予处分；情节严重的，责令停止招生、停止办园：</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因不履行或不正确履行工作职责，有下列情形的，行政机关及相关工作人员应承担相应责任：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（一）未执行安全、营养、保健、卫生等相关规定的；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（二）为幼儿配备教材、教辅材料的；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（三）组织幼儿参加礼仪性、商业性活动的；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（四）违规举办特色班、兴趣班、实验班的；</w:t>
            </w:r>
            <w:r>
              <w:rPr>
                <w:rFonts w:hint="default" w:ascii="Times New Roman" w:hAnsi="Times New Roman" w:eastAsia="宋体" w:cs="Times New Roman"/>
                <w:i w:val="0"/>
                <w:iCs w:val="0"/>
                <w:color w:val="auto"/>
                <w:kern w:val="0"/>
                <w:sz w:val="18"/>
                <w:szCs w:val="18"/>
                <w:u w:val="none"/>
                <w:lang w:val="en-US" w:eastAsia="zh-CN" w:bidi="ar"/>
              </w:rPr>
              <w:t>                                                                                                                           </w:t>
            </w:r>
            <w:r>
              <w:rPr>
                <w:rFonts w:hint="eastAsia" w:ascii="宋体" w:hAnsi="宋体" w:eastAsia="宋体" w:cs="宋体"/>
                <w:i w:val="0"/>
                <w:iCs w:val="0"/>
                <w:color w:val="auto"/>
                <w:kern w:val="0"/>
                <w:sz w:val="18"/>
                <w:szCs w:val="18"/>
                <w:u w:val="none"/>
                <w:lang w:val="en-US" w:eastAsia="zh-CN" w:bidi="ar"/>
              </w:rPr>
              <w:t>（五）违规聘用幼儿园工作人员的。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没有法定依据实行行政处罚的；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擅自更改行政处罚种类、幅度的；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违反法定的行政处罚程序的；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指派不具备法定行政执法资格的人员实施行政处罚的；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对幼儿园及其工作人员为幼儿配备教材、教辅材料的处罚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对幼儿园及其工作人员组织幼儿参加礼仪性、商业性活动的处罚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执法人员玩忽职守，对应当予以制止和处罚的违法行为不予制止、处罚，致使公民、法人或者其他组织的合法权益、公共利益和社会秩序遭受损害的；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对幼儿园及其工作人员违规举办特色班、兴趣班、实验班的处罚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在处理行政处罚的过程中发生收受他人财物等腐败行为的；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对幼儿园及其工作人员违规聘用幼儿园工作人员的处罚</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对成绩不合格者颁发学历证书、培训证书、职业资格证书等四类行为的处罚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对成绩不合格者颁发学历证书、培训证书、职业资格证书的处罚</w:t>
            </w:r>
          </w:p>
        </w:tc>
        <w:tc>
          <w:tcPr>
            <w:tcW w:w="348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职业教育条例》第四十七条：职业学校、职业培训机构违反本条例第十九条、第二十五条、第三十一条、第三十五条、第四十四条规定，有下列行为之一的，由审批机关或者其他有关行政部门责令改正，予以警告；有违法所得的，没收违法所得；情节严重的，依法吊销办学许可证；构成犯罪的，依法追究刑事责任：（一）对成绩不合格者颁发学历证书、培训证书、职业资格证书的；（二）擅自变更举办者、名称、层次、类别，或者擅自分立、合并的；（三）发布虚假招生简章或者招生广告的；（四）挪用、克扣办学经费的。</w:t>
            </w:r>
          </w:p>
        </w:tc>
        <w:tc>
          <w:tcPr>
            <w:tcW w:w="3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立案阶段：在发现或者接到举报有相关违法行为时，及时审查，决定是否立案。</w:t>
            </w:r>
            <w:r>
              <w:rPr>
                <w:rFonts w:hint="default" w:ascii="Times New Roman" w:hAnsi="Times New Roman" w:eastAsia="宋体" w:cs="Times New Roman"/>
                <w:i w:val="0"/>
                <w:iCs w:val="0"/>
                <w:color w:val="auto"/>
                <w:kern w:val="0"/>
                <w:sz w:val="18"/>
                <w:szCs w:val="18"/>
                <w:u w:val="none"/>
                <w:lang w:val="en-US" w:eastAsia="zh-CN" w:bidi="ar"/>
              </w:rPr>
              <w:t> 2.</w:t>
            </w:r>
            <w:r>
              <w:rPr>
                <w:rFonts w:hint="eastAsia" w:ascii="宋体" w:hAnsi="宋体" w:eastAsia="宋体" w:cs="宋体"/>
                <w:i w:val="0"/>
                <w:iCs w:val="0"/>
                <w:color w:val="auto"/>
                <w:kern w:val="0"/>
                <w:sz w:val="18"/>
                <w:szCs w:val="18"/>
                <w:u w:val="none"/>
                <w:lang w:val="en-US" w:eastAsia="zh-CN" w:bidi="ar"/>
              </w:rPr>
              <w:t>调查阶段：全面、客观、公正地进行调查，收集证据，制作笔录，调查时需两人以上出示执法证件，允许当事人辩解陈述，保守有关秘密。</w:t>
            </w:r>
            <w:r>
              <w:rPr>
                <w:rFonts w:hint="default" w:ascii="Times New Roman" w:hAnsi="Times New Roman" w:eastAsia="宋体" w:cs="Times New Roman"/>
                <w:i w:val="0"/>
                <w:iCs w:val="0"/>
                <w:color w:val="auto"/>
                <w:kern w:val="0"/>
                <w:sz w:val="18"/>
                <w:szCs w:val="18"/>
                <w:u w:val="none"/>
                <w:lang w:val="en-US" w:eastAsia="zh-CN" w:bidi="ar"/>
              </w:rPr>
              <w:t> 3.</w:t>
            </w:r>
            <w:r>
              <w:rPr>
                <w:rFonts w:hint="eastAsia" w:ascii="宋体" w:hAnsi="宋体" w:eastAsia="宋体" w:cs="宋体"/>
                <w:i w:val="0"/>
                <w:iCs w:val="0"/>
                <w:color w:val="auto"/>
                <w:kern w:val="0"/>
                <w:sz w:val="18"/>
                <w:szCs w:val="18"/>
                <w:u w:val="none"/>
                <w:lang w:val="en-US" w:eastAsia="zh-CN" w:bidi="ar"/>
              </w:rPr>
              <w:t>审查阶段：对案件违法事实、证据、调查取证程序、法律适用、处罚种类和幅度、当事人陈述等方面进行审查，提出处理意见（主要证据不足时，以适当的方式补充调查）。</w:t>
            </w:r>
            <w:r>
              <w:rPr>
                <w:rFonts w:hint="default" w:ascii="Times New Roman" w:hAnsi="Times New Roman" w:eastAsia="宋体" w:cs="Times New Roman"/>
                <w:i w:val="0"/>
                <w:iCs w:val="0"/>
                <w:color w:val="auto"/>
                <w:kern w:val="0"/>
                <w:sz w:val="18"/>
                <w:szCs w:val="18"/>
                <w:u w:val="none"/>
                <w:lang w:val="en-US" w:eastAsia="zh-CN" w:bidi="ar"/>
              </w:rPr>
              <w:t> 4.</w:t>
            </w:r>
            <w:r>
              <w:rPr>
                <w:rFonts w:hint="eastAsia" w:ascii="宋体" w:hAnsi="宋体" w:eastAsia="宋体" w:cs="宋体"/>
                <w:i w:val="0"/>
                <w:iCs w:val="0"/>
                <w:color w:val="auto"/>
                <w:kern w:val="0"/>
                <w:sz w:val="18"/>
                <w:szCs w:val="18"/>
                <w:u w:val="none"/>
                <w:lang w:val="en-US" w:eastAsia="zh-CN" w:bidi="ar"/>
              </w:rPr>
              <w:t>告知阶段：作出行政处罚决定前，书面告知当事人作出行政处罚决定的事实、理由及依据，告知享有的陈述、申辩权，听取陈述申辩并复核，符合听证条件的告知享有听证权利；当事人要求听证的，应当组织听证。</w:t>
            </w:r>
            <w:r>
              <w:rPr>
                <w:rFonts w:hint="default" w:ascii="Times New Roman" w:hAnsi="Times New Roman" w:eastAsia="宋体" w:cs="Times New Roman"/>
                <w:i w:val="0"/>
                <w:iCs w:val="0"/>
                <w:color w:val="auto"/>
                <w:kern w:val="0"/>
                <w:sz w:val="18"/>
                <w:szCs w:val="18"/>
                <w:u w:val="none"/>
                <w:lang w:val="en-US" w:eastAsia="zh-CN" w:bidi="ar"/>
              </w:rPr>
              <w:t> 5.</w:t>
            </w:r>
            <w:r>
              <w:rPr>
                <w:rFonts w:hint="eastAsia" w:ascii="宋体" w:hAnsi="宋体" w:eastAsia="宋体" w:cs="宋体"/>
                <w:i w:val="0"/>
                <w:iCs w:val="0"/>
                <w:color w:val="auto"/>
                <w:kern w:val="0"/>
                <w:sz w:val="18"/>
                <w:szCs w:val="18"/>
                <w:u w:val="none"/>
                <w:lang w:val="en-US" w:eastAsia="zh-CN" w:bidi="ar"/>
              </w:rPr>
              <w:t>决定阶段：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r>
              <w:rPr>
                <w:rFonts w:hint="default" w:ascii="Times New Roman" w:hAnsi="Times New Roman" w:eastAsia="宋体" w:cs="Times New Roman"/>
                <w:i w:val="0"/>
                <w:iCs w:val="0"/>
                <w:color w:val="auto"/>
                <w:kern w:val="0"/>
                <w:sz w:val="18"/>
                <w:szCs w:val="18"/>
                <w:u w:val="none"/>
                <w:lang w:val="en-US" w:eastAsia="zh-CN" w:bidi="ar"/>
              </w:rPr>
              <w:t> 6.</w:t>
            </w:r>
            <w:r>
              <w:rPr>
                <w:rFonts w:hint="eastAsia" w:ascii="宋体" w:hAnsi="宋体" w:eastAsia="宋体" w:cs="宋体"/>
                <w:i w:val="0"/>
                <w:iCs w:val="0"/>
                <w:color w:val="auto"/>
                <w:kern w:val="0"/>
                <w:sz w:val="18"/>
                <w:szCs w:val="18"/>
                <w:u w:val="none"/>
                <w:lang w:val="en-US" w:eastAsia="zh-CN" w:bidi="ar"/>
              </w:rPr>
              <w:t>送达阶段：行政处罚决定书应当在宣告后当场交付当事人；当事人不在场的，行政机关应当在七日内依照民事诉讼法的有关规定，将行政处罚决定书送达当事人。</w:t>
            </w:r>
            <w:r>
              <w:rPr>
                <w:rFonts w:hint="default" w:ascii="Times New Roman" w:hAnsi="Times New Roman" w:eastAsia="宋体" w:cs="Times New Roman"/>
                <w:i w:val="0"/>
                <w:iCs w:val="0"/>
                <w:color w:val="auto"/>
                <w:kern w:val="0"/>
                <w:sz w:val="18"/>
                <w:szCs w:val="18"/>
                <w:u w:val="none"/>
                <w:lang w:val="en-US" w:eastAsia="zh-CN" w:bidi="ar"/>
              </w:rPr>
              <w:t> 7.</w:t>
            </w:r>
            <w:r>
              <w:rPr>
                <w:rFonts w:hint="eastAsia" w:ascii="宋体" w:hAnsi="宋体" w:eastAsia="宋体" w:cs="宋体"/>
                <w:i w:val="0"/>
                <w:iCs w:val="0"/>
                <w:color w:val="auto"/>
                <w:kern w:val="0"/>
                <w:sz w:val="18"/>
                <w:szCs w:val="18"/>
                <w:u w:val="none"/>
                <w:lang w:val="en-US" w:eastAsia="zh-CN" w:bidi="ar"/>
              </w:rPr>
              <w:t>执行阶段：监督当事人在决定的期限内履行生效的处罚决定；当事人未履行处罚决定的，书面催告；拒不履行处罚决定的，依法申请人民法院强制执行。</w:t>
            </w:r>
            <w:r>
              <w:rPr>
                <w:rFonts w:hint="default" w:ascii="Times New Roman" w:hAnsi="Times New Roman" w:eastAsia="宋体" w:cs="Times New Roman"/>
                <w:i w:val="0"/>
                <w:iCs w:val="0"/>
                <w:color w:val="auto"/>
                <w:kern w:val="0"/>
                <w:sz w:val="18"/>
                <w:szCs w:val="18"/>
                <w:u w:val="none"/>
                <w:lang w:val="en-US" w:eastAsia="zh-CN" w:bidi="ar"/>
              </w:rPr>
              <w:t> 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因不履行或不正确履行行政职责，有下列情形的，行政机关及相关工作人员应承担相应责任：</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、发现违法行为不及时予以处理的；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、没有法律或者事实依据实施行政处罚的；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、未按法定程序实施行政处罚的；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、指派不具备行政执法资格的人员实施行政处罚的；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、擅自设立处罚种类或者改变处罚幅度、范围的；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、违反</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罚缴分离</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规定，擅自收取罚款的；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、对当事人进行罚款、没收财物等行政处罚不使用法定单据的；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、依法应当移送司法机关处理而不移送的；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9</w:t>
            </w:r>
            <w:r>
              <w:rPr>
                <w:rFonts w:hint="eastAsia" w:ascii="宋体" w:hAnsi="宋体" w:eastAsia="宋体" w:cs="宋体"/>
                <w:i w:val="0"/>
                <w:iCs w:val="0"/>
                <w:color w:val="auto"/>
                <w:kern w:val="0"/>
                <w:sz w:val="18"/>
                <w:szCs w:val="18"/>
                <w:u w:val="none"/>
                <w:lang w:val="en-US" w:eastAsia="zh-CN" w:bidi="ar"/>
              </w:rPr>
              <w:t>、应当依法举行听证而未举行听证或者应当履行法定告知义务而未履行的；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对擅自变更举办者、名称、层次、类别，或者擅自分立、合并的处罚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10</w:t>
            </w:r>
            <w:r>
              <w:rPr>
                <w:rFonts w:hint="eastAsia" w:ascii="宋体" w:hAnsi="宋体" w:eastAsia="宋体" w:cs="宋体"/>
                <w:i w:val="0"/>
                <w:iCs w:val="0"/>
                <w:color w:val="auto"/>
                <w:kern w:val="0"/>
                <w:sz w:val="18"/>
                <w:szCs w:val="18"/>
                <w:u w:val="none"/>
                <w:lang w:val="en-US" w:eastAsia="zh-CN" w:bidi="ar"/>
              </w:rPr>
              <w:t>、接受学校的馈赠的；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对发布虚假招生简章或者招生广告的处罚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11</w:t>
            </w:r>
            <w:r>
              <w:rPr>
                <w:rFonts w:hint="eastAsia" w:ascii="宋体" w:hAnsi="宋体" w:eastAsia="宋体" w:cs="宋体"/>
                <w:i w:val="0"/>
                <w:iCs w:val="0"/>
                <w:color w:val="auto"/>
                <w:kern w:val="0"/>
                <w:sz w:val="18"/>
                <w:szCs w:val="18"/>
                <w:u w:val="none"/>
                <w:lang w:val="en-US" w:eastAsia="zh-CN" w:bidi="ar"/>
              </w:rPr>
              <w:t>、滥用职权、玩忽职守、徇私舞弊的；</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对挪用、克扣办学经费的处罚</w:t>
            </w:r>
          </w:p>
        </w:tc>
        <w:tc>
          <w:tcPr>
            <w:tcW w:w="348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3255"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12</w:t>
            </w: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对违反《安徽省实施〈中华人民共和国义务教育法〉办法》第四十四条规定的处罚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对未组织和督促儿</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安徽省实施《中华人民共和国义务教育法》办法</w:t>
            </w:r>
            <w:r>
              <w:rPr>
                <w:rFonts w:hint="default" w:ascii="Times New Roman" w:hAnsi="Times New Roman" w:eastAsia="宋体" w:cs="Times New Roman"/>
                <w:i w:val="0"/>
                <w:iCs w:val="0"/>
                <w:color w:val="auto"/>
                <w:kern w:val="0"/>
                <w:sz w:val="18"/>
                <w:szCs w:val="18"/>
                <w:u w:val="none"/>
                <w:lang w:val="en-US" w:eastAsia="zh-CN" w:bidi="ar"/>
              </w:rPr>
              <w:t>(2017</w:t>
            </w:r>
            <w:r>
              <w:rPr>
                <w:rFonts w:hint="eastAsia" w:ascii="宋体" w:hAnsi="宋体" w:eastAsia="宋体" w:cs="宋体"/>
                <w:i w:val="0"/>
                <w:iCs w:val="0"/>
                <w:color w:val="auto"/>
                <w:kern w:val="0"/>
                <w:sz w:val="18"/>
                <w:szCs w:val="18"/>
                <w:u w:val="none"/>
                <w:lang w:val="en-US" w:eastAsia="zh-CN" w:bidi="ar"/>
              </w:rPr>
              <w:t>修正</w:t>
            </w:r>
            <w:r>
              <w:rPr>
                <w:rFonts w:hint="default" w:ascii="Times New Roman" w:hAnsi="Times New Roman" w:eastAsia="宋体" w:cs="Times New Roman"/>
                <w:i w:val="0"/>
                <w:iCs w:val="0"/>
                <w:color w:val="auto"/>
                <w:kern w:val="0"/>
                <w:sz w:val="18"/>
                <w:szCs w:val="18"/>
                <w:u w:val="none"/>
                <w:lang w:val="en-US" w:eastAsia="zh-CN" w:bidi="ar"/>
              </w:rPr>
              <w:t>)</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限期改正、通报批评；情节严重的，对直接负责的主管人员和其他直接责任人员依法给予处分。</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第四十四条　有下列情形之一的，由本级人民政府、上级人民政府或者有关部门依职责分工责令限期改正、通报批评；情节严重的，对直接负责的主管人员和其他直接责任人员依法给予处分：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（一）未组织和督促儿童、少年及时入学的；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（二）未依法维护学校周边秩序的；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（三）侵占、挪用义务教育经费的；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对未依法维护学校</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（四）向学校非法收取或者摊派费用的。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对侵占、挪用义务教育经费的处罚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对向学校非法收取</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616"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对违反《安徽省实施〈中华人民共和国义务教育法〉办法》第四十六条规定的处罚</w:t>
            </w:r>
          </w:p>
        </w:tc>
        <w:tc>
          <w:tcPr>
            <w:tcW w:w="810"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对拒绝本入学区域适龄儿童、少年入学或者跨越入学区域招生的处罚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安徽省实施《中华人民共和国义务教育法》办法</w:t>
            </w:r>
            <w:r>
              <w:rPr>
                <w:rFonts w:hint="default" w:ascii="Times New Roman" w:hAnsi="Times New Roman" w:eastAsia="宋体" w:cs="Times New Roman"/>
                <w:i w:val="0"/>
                <w:iCs w:val="0"/>
                <w:color w:val="auto"/>
                <w:kern w:val="0"/>
                <w:sz w:val="18"/>
                <w:szCs w:val="18"/>
                <w:u w:val="none"/>
                <w:lang w:val="en-US" w:eastAsia="zh-CN" w:bidi="ar"/>
              </w:rPr>
              <w:t>(2017</w:t>
            </w:r>
            <w:r>
              <w:rPr>
                <w:rFonts w:hint="eastAsia" w:ascii="宋体" w:hAnsi="宋体" w:eastAsia="宋体" w:cs="宋体"/>
                <w:i w:val="0"/>
                <w:iCs w:val="0"/>
                <w:color w:val="auto"/>
                <w:kern w:val="0"/>
                <w:sz w:val="18"/>
                <w:szCs w:val="18"/>
                <w:u w:val="none"/>
                <w:lang w:val="en-US" w:eastAsia="zh-CN" w:bidi="ar"/>
              </w:rPr>
              <w:t>修正</w:t>
            </w:r>
            <w:r>
              <w:rPr>
                <w:rFonts w:hint="default" w:ascii="Times New Roman" w:hAnsi="Times New Roman" w:eastAsia="宋体" w:cs="Times New Roman"/>
                <w:i w:val="0"/>
                <w:iCs w:val="0"/>
                <w:color w:val="auto"/>
                <w:kern w:val="0"/>
                <w:sz w:val="18"/>
                <w:szCs w:val="18"/>
                <w:u w:val="none"/>
                <w:lang w:val="en-US" w:eastAsia="zh-CN" w:bidi="ar"/>
              </w:rPr>
              <w:t>)</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立案阶段责任：在发现或者接到举报有相关违法行为时，及时审查，决定是否立案。</w:t>
            </w:r>
          </w:p>
        </w:tc>
        <w:tc>
          <w:tcPr>
            <w:tcW w:w="3255" w:type="dxa"/>
            <w:vMerge w:val="restart"/>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限期改正、通报批评；情节严重的，对直接负责的主管人员和其他直接责任人员依法给予处分：</w:t>
            </w:r>
          </w:p>
        </w:tc>
        <w:tc>
          <w:tcPr>
            <w:tcW w:w="945" w:type="dxa"/>
            <w:vMerge w:val="restart"/>
            <w:tcBorders>
              <w:top w:val="nil"/>
              <w:left w:val="single" w:color="auto" w:sz="8" w:space="0"/>
              <w:bottom w:val="single" w:color="auto" w:sz="8" w:space="0"/>
              <w:right w:val="nil"/>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第四十六条　学校有下列情形之一的，由县级以上人民政府教育行政部门责令限期改正、通报批评；情节严重的，对直接负责的主管人员和其他直接责任人员依法给予处分：</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r>
              <w:rPr>
                <w:rFonts w:hint="eastAsia" w:ascii="宋体" w:hAnsi="宋体" w:eastAsia="宋体" w:cs="宋体"/>
                <w:i w:val="0"/>
                <w:iCs w:val="0"/>
                <w:color w:val="auto"/>
                <w:kern w:val="0"/>
                <w:sz w:val="18"/>
                <w:szCs w:val="18"/>
                <w:u w:val="none"/>
                <w:lang w:val="en-US" w:eastAsia="zh-CN" w:bidi="ar"/>
              </w:rPr>
              <w:t>调查阶段责任：全面、客观、公正地进行调查，收集证据，制作笔录，调查时需两人以上出示执法证件，允许当事人辩解陈述，保守有关秘密。</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（一）拒绝本入学区域适龄儿童、少年入学或者跨越入学区域招生的；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审查阶段责任：对案件违法事实、证据、调查取证程序、法律适用、处罚种类和幅度、当事人陈述和申辩理由等方面进行审查，提出处理意见（主要证据不足时，以适当的方式补充调查）。</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对采取入学考试或者测试等形式选拔学生的处罚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（二）采取入学考试或者测试等形式选拔学生的；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告知阶段责任：作出行政处罚决定前，书面告知当事人作出行政处罚决定的事实、理由及依据，告知享有的陈述、申辩权，听取陈述申辩并复核，符合听证条件的告知享有听证权利；当事人要求听证的，应当组织听证。</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对将考级证书和竞赛成绩作为入学依据的处罚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（三）将考级证书和竞赛成绩作为入学依据的；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决定阶段责任：根据审查情况决定是否予以行政处罚；依法需要给予行政处罚的，应制作行政处罚决定书，载明违法事实和证据、处罚依据和内容、申请行政复议或提起行政诉讼的途径和期限（逾期不履行处罚决定的后果）等内容。符合集体研究情形的，由集体讨论决定，并按时办结。</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对划分重点班和非重点班，或者张榜公布学生考试成绩和按照考试成绩公布学生排名的处罚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（四）划分重点班和非重点班，或者张榜公布学生考试成绩和按照考试成绩公布学生排名的；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送达阶段责任：行政处罚决定书应当在宣告后当场交付当事人；当事人不在场的，行政机关应当在七日内依照民事诉讼法的有关规定，将行政处罚决定书送达当事人。</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（五）单纯以学科考试成绩评价或者考核教师，或者按升学率高低对教师进行排名和奖惩的；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执行阶段责任：监督当事人在决定的期限内履行生效的处罚决定；当事人未履行处罚决定的，书面催告；拒不履行处罚决定的，依法申请人民法院强制执行。</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对单纯以学科考试成绩评价或者考核教师，或者按升学率高低对教师进行排名和奖惩的处罚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（六）未履行安全管理和安全教育职责的；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（七）随意调整课程、停课或者增加、减少课时的。</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对未履行安全管理和安全教育职责的处罚</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48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nil"/>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417"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对随意调整课程、</w:t>
            </w:r>
          </w:p>
        </w:tc>
        <w:tc>
          <w:tcPr>
            <w:tcW w:w="348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w:t>
            </w:r>
          </w:p>
        </w:tc>
        <w:tc>
          <w:tcPr>
            <w:tcW w:w="3810" w:type="dxa"/>
            <w:tcBorders>
              <w:top w:val="nil"/>
              <w:left w:val="nil"/>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3255" w:type="dxa"/>
            <w:vMerge w:val="continue"/>
            <w:tcBorders>
              <w:top w:val="nil"/>
              <w:left w:val="single" w:color="auto" w:sz="8" w:space="0"/>
              <w:bottom w:val="single" w:color="auto" w:sz="8" w:space="0"/>
              <w:right w:val="single" w:color="auto" w:sz="8" w:space="0"/>
            </w:tcBorders>
            <w:shd w:val="clear" w:color="auto" w:fill="auto"/>
            <w:tcMar>
              <w:top w:w="15" w:type="dxa"/>
            </w:tcMar>
            <w:vAlign w:val="center"/>
          </w:tcPr>
          <w:p>
            <w:pPr>
              <w:jc w:val="left"/>
              <w:rPr>
                <w:rFonts w:hint="eastAsia" w:ascii="宋体" w:hAnsi="宋体" w:eastAsia="宋体" w:cs="宋体"/>
                <w:i w:val="0"/>
                <w:iCs w:val="0"/>
                <w:color w:val="auto"/>
                <w:sz w:val="18"/>
                <w:szCs w:val="18"/>
                <w:u w:val="none"/>
              </w:rPr>
            </w:pPr>
          </w:p>
        </w:tc>
        <w:tc>
          <w:tcPr>
            <w:tcW w:w="945" w:type="dxa"/>
            <w:vMerge w:val="continue"/>
            <w:tcBorders>
              <w:top w:val="nil"/>
              <w:left w:val="single" w:color="auto" w:sz="8" w:space="0"/>
              <w:bottom w:val="single" w:color="auto" w:sz="8" w:space="0"/>
              <w:right w:val="nil"/>
            </w:tcBorders>
            <w:shd w:val="clear" w:color="auto" w:fill="auto"/>
            <w:tcMar>
              <w:top w:w="15" w:type="dxa"/>
            </w:tcMar>
            <w:vAlign w:val="center"/>
          </w:tcPr>
          <w:p>
            <w:pPr>
              <w:jc w:val="left"/>
              <w:rPr>
                <w:rFonts w:hint="default" w:ascii="Times New Roman" w:hAnsi="Times New Roman" w:eastAsia="宋体" w:cs="Times New Roman"/>
                <w:i w:val="0"/>
                <w:iCs w:val="0"/>
                <w:color w:val="auto"/>
                <w:sz w:val="18"/>
                <w:szCs w:val="18"/>
                <w:u w:val="none"/>
              </w:rPr>
            </w:pPr>
          </w:p>
        </w:tc>
        <w:tc>
          <w:tcPr>
            <w:tcW w:w="1005" w:type="dxa"/>
            <w:tcBorders>
              <w:top w:val="nil"/>
              <w:left w:val="single" w:color="auto" w:sz="8" w:space="0"/>
              <w:bottom w:val="single" w:color="auto" w:sz="8" w:space="0"/>
              <w:right w:val="single" w:color="auto" w:sz="8" w:space="0"/>
            </w:tcBorders>
            <w:shd w:val="clear" w:color="auto" w:fill="auto"/>
            <w:tcMar>
              <w:top w:w="1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300" w:beforeAutospacing="0" w:after="0" w:afterAutospacing="0" w:line="450" w:lineRule="atLeast"/>
        <w:ind w:left="0" w:right="0" w:firstLine="0"/>
        <w:jc w:val="left"/>
        <w:textAlignment w:val="center"/>
        <w:rPr>
          <w:rFonts w:hint="eastAsia" w:ascii="微软雅黑" w:hAnsi="微软雅黑" w:eastAsia="微软雅黑" w:cs="微软雅黑"/>
          <w:i w:val="0"/>
          <w:iCs w:val="0"/>
          <w:caps w:val="0"/>
          <w:color w:val="666666"/>
          <w:spacing w:val="0"/>
          <w:sz w:val="21"/>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U0ZGZmMTJkNjRhMzBiNDAzZDAxODNjODYyMDMifQ=="/>
  </w:docVars>
  <w:rsids>
    <w:rsidRoot w:val="52D32092"/>
    <w:rsid w:val="52D32092"/>
    <w:rsid w:val="63CF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30840</Words>
  <Characters>31236</Characters>
  <Lines>0</Lines>
  <Paragraphs>0</Paragraphs>
  <TotalTime>18</TotalTime>
  <ScaleCrop>false</ScaleCrop>
  <LinksUpToDate>false</LinksUpToDate>
  <CharactersWithSpaces>34141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2023-06-05T07:28:00Z</dcterms:created>
  <dc:creator>言午</dc:creator>
  <cp:lastModifiedBy>言午</cp:lastModifiedBy>
  <dcterms:modified xsi:type="dcterms:W3CDTF">2023-06-13T02:10:56Z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72EBA462482D4C40A8D3AF9C42B39F43_13</vt:lpwstr>
  </property>
</Properties>
</file>