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1" w:line="224" w:lineRule="auto"/>
        <w:ind w:left="536"/>
        <w:rPr>
          <w:rFonts w:hint="eastAsia" w:ascii="宋体" w:hAnsi="宋体" w:eastAsia="宋体" w:cs="宋体"/>
          <w:sz w:val="28"/>
          <w:szCs w:val="28"/>
        </w:rPr>
      </w:pPr>
      <w:r>
        <w:rPr>
          <w:rFonts w:hint="eastAsia" w:ascii="宋体" w:hAnsi="宋体" w:eastAsia="宋体" w:cs="宋体"/>
          <w:b/>
          <w:bCs/>
          <w:spacing w:val="-15"/>
          <w:sz w:val="28"/>
          <w:szCs w:val="28"/>
        </w:rPr>
        <w:t>附</w:t>
      </w:r>
      <w:r>
        <w:rPr>
          <w:rFonts w:hint="eastAsia" w:ascii="宋体" w:hAnsi="宋体" w:eastAsia="宋体" w:cs="宋体"/>
          <w:spacing w:val="-50"/>
          <w:sz w:val="28"/>
          <w:szCs w:val="28"/>
        </w:rPr>
        <w:t xml:space="preserve"> </w:t>
      </w:r>
      <w:r>
        <w:rPr>
          <w:rFonts w:hint="eastAsia" w:ascii="宋体" w:hAnsi="宋体" w:eastAsia="宋体" w:cs="宋体"/>
          <w:b/>
          <w:bCs/>
          <w:spacing w:val="-15"/>
          <w:sz w:val="28"/>
          <w:szCs w:val="28"/>
        </w:rPr>
        <w:t>件</w:t>
      </w:r>
      <w:r>
        <w:rPr>
          <w:rFonts w:hint="eastAsia" w:ascii="宋体" w:hAnsi="宋体" w:eastAsia="宋体" w:cs="宋体"/>
          <w:spacing w:val="-48"/>
          <w:sz w:val="28"/>
          <w:szCs w:val="28"/>
        </w:rPr>
        <w:t xml:space="preserve"> </w:t>
      </w:r>
      <w:r>
        <w:rPr>
          <w:rFonts w:hint="eastAsia" w:ascii="宋体" w:hAnsi="宋体" w:eastAsia="宋体" w:cs="宋体"/>
          <w:b/>
          <w:bCs/>
          <w:spacing w:val="-15"/>
          <w:sz w:val="28"/>
          <w:szCs w:val="28"/>
        </w:rPr>
        <w:t>3</w:t>
      </w:r>
    </w:p>
    <w:p>
      <w:pPr>
        <w:spacing w:line="315" w:lineRule="auto"/>
        <w:rPr>
          <w:rFonts w:hint="eastAsia" w:ascii="宋体" w:hAnsi="宋体" w:eastAsia="宋体" w:cs="宋体"/>
          <w:sz w:val="21"/>
        </w:rPr>
      </w:pPr>
    </w:p>
    <w:p>
      <w:pPr>
        <w:spacing w:before="111" w:line="218" w:lineRule="auto"/>
        <w:jc w:val="center"/>
        <w:rPr>
          <w:rFonts w:hint="eastAsia" w:ascii="宋体" w:hAnsi="宋体" w:eastAsia="宋体" w:cs="宋体"/>
          <w:b/>
          <w:bCs/>
          <w:spacing w:val="-8"/>
          <w:sz w:val="44"/>
          <w:szCs w:val="44"/>
          <w:lang w:eastAsia="zh-CN"/>
        </w:rPr>
      </w:pPr>
      <w:r>
        <w:rPr>
          <w:rFonts w:hint="eastAsia" w:ascii="宋体" w:hAnsi="宋体" w:eastAsia="宋体" w:cs="宋体"/>
          <w:b/>
          <w:bCs/>
          <w:spacing w:val="-8"/>
          <w:sz w:val="44"/>
          <w:szCs w:val="44"/>
          <w:lang w:val="en-US" w:eastAsia="zh-CN"/>
        </w:rPr>
        <w:t>八公山区卫生防疫和食品药品安全服务中心</w:t>
      </w:r>
      <w:r>
        <w:rPr>
          <w:rFonts w:hint="eastAsia" w:ascii="宋体" w:hAnsi="宋体" w:eastAsia="宋体" w:cs="宋体"/>
          <w:b/>
          <w:bCs/>
          <w:spacing w:val="-8"/>
          <w:sz w:val="44"/>
          <w:szCs w:val="44"/>
          <w:lang w:eastAsia="zh-CN"/>
        </w:rPr>
        <w:t>转移支付2022年度绩效自评报告</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jc w:val="center"/>
        <w:textAlignment w:val="baseline"/>
        <w:rPr>
          <w:rFonts w:hint="default"/>
          <w:b/>
          <w:bCs/>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一、绩效目标分解下达情况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《淮南市财政局 淮南市卫生健康委员会关于清算下达2022年中央财政部分卫生健康专项补助资金的通知》社[2022]16号文件下达2022年中央重大传染病防控专项经费</w:t>
      </w:r>
      <w:r>
        <w:rPr>
          <w:rFonts w:hint="eastAsia" w:ascii="Times New Roman" w:hAnsi="Times New Roman" w:eastAsia="仿宋_GB2312" w:cs="Times New Roman"/>
          <w:sz w:val="32"/>
          <w:szCs w:val="32"/>
          <w:lang w:val="en-US" w:eastAsia="zh-CN"/>
        </w:rPr>
        <w:t>15.48</w:t>
      </w:r>
      <w:r>
        <w:rPr>
          <w:rFonts w:hint="default" w:ascii="Times New Roman" w:hAnsi="Times New Roman" w:eastAsia="仿宋_GB2312" w:cs="Times New Roman"/>
          <w:sz w:val="32"/>
          <w:szCs w:val="32"/>
          <w:lang w:val="en-US" w:eastAsia="zh-CN"/>
        </w:rPr>
        <w:t>万元，于2022年4月</w:t>
      </w:r>
      <w:r>
        <w:rPr>
          <w:rFonts w:hint="eastAsia" w:ascii="Times New Roman" w:hAnsi="Times New Roman" w:eastAsia="仿宋_GB2312" w:cs="Times New Roman"/>
          <w:sz w:val="32"/>
          <w:szCs w:val="32"/>
          <w:lang w:val="en-US" w:eastAsia="zh-CN"/>
        </w:rPr>
        <w:t>到达财政账户</w:t>
      </w:r>
      <w:r>
        <w:rPr>
          <w:rFonts w:hint="default" w:ascii="Times New Roman" w:hAnsi="Times New Roman" w:eastAsia="仿宋_GB2312" w:cs="Times New Roman"/>
          <w:sz w:val="32"/>
          <w:szCs w:val="32"/>
          <w:lang w:val="en-US"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sz w:val="28"/>
          <w:szCs w:val="28"/>
        </w:rPr>
      </w:pPr>
      <w:r>
        <w:rPr>
          <w:rFonts w:hint="eastAsia" w:ascii="Times New Roman" w:hAnsi="Times New Roman" w:eastAsia="仿宋_GB2312" w:cs="Times New Roman"/>
          <w:sz w:val="32"/>
          <w:szCs w:val="32"/>
          <w:lang w:val="en-US" w:eastAsia="zh-CN"/>
        </w:rPr>
        <w:t>2022</w:t>
      </w:r>
      <w:r>
        <w:rPr>
          <w:rFonts w:hint="default" w:ascii="Times New Roman" w:hAnsi="Times New Roman" w:eastAsia="仿宋_GB2312" w:cs="Times New Roman"/>
          <w:sz w:val="32"/>
          <w:szCs w:val="32"/>
          <w:lang w:val="en-US" w:eastAsia="zh-CN"/>
        </w:rPr>
        <w:t>中央重大传染病防控绩效目标</w:t>
      </w:r>
      <w:r>
        <w:rPr>
          <w:rFonts w:hint="eastAsia" w:ascii="Times New Roman" w:hAnsi="Times New Roman" w:eastAsia="仿宋_GB2312" w:cs="Times New Roman"/>
          <w:sz w:val="32"/>
          <w:szCs w:val="32"/>
          <w:lang w:val="en-US" w:eastAsia="zh-CN"/>
        </w:rPr>
        <w:t>总体</w:t>
      </w:r>
      <w:r>
        <w:rPr>
          <w:rFonts w:hint="default" w:ascii="Times New Roman" w:hAnsi="Times New Roman" w:eastAsia="仿宋_GB2312" w:cs="Times New Roman"/>
          <w:sz w:val="32"/>
          <w:szCs w:val="32"/>
          <w:lang w:val="en-US" w:eastAsia="zh-CN"/>
        </w:rPr>
        <w:t>年度</w:t>
      </w:r>
      <w:r>
        <w:rPr>
          <w:rFonts w:hint="eastAsia" w:ascii="Times New Roman" w:hAnsi="Times New Roman" w:eastAsia="仿宋_GB2312" w:cs="Times New Roman"/>
          <w:sz w:val="32"/>
          <w:szCs w:val="32"/>
          <w:lang w:val="en-US" w:eastAsia="zh-CN"/>
        </w:rPr>
        <w:t>总体目标如下:</w:t>
      </w:r>
      <w:r>
        <w:rPr>
          <w:rFonts w:hint="default" w:ascii="Times New Roman" w:hAnsi="Times New Roman" w:eastAsia="仿宋_GB2312" w:cs="Times New Roman"/>
          <w:sz w:val="32"/>
          <w:szCs w:val="32"/>
          <w:lang w:val="en-US" w:eastAsia="zh-CN"/>
        </w:rPr>
        <w:t>目标1：乡镇（街道）为单位适龄儿童免疫规划疫苗接种率大于90%</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目标2：有效控制艾滋病疫情，艾滋病疫情维持在低流行水</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目标3：加强传染病疫情监测、流行病学调查和疫情分析研判，及时处理暴发疫情，逐步降低重点传染病的危害</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目标4：开展重大慢性病早期筛查干预项目，落实慢性病及其危险因素监测，加强重症精神障碍患者筛查，登记报告和随访服务。绩效指标：共设定绩效指标2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项，其中数量指标5项，质量指标6项，时效指标</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项，成本指标2项，经济效益指标1项，社会效益指标3项，生态效益指标1项，可持续影响指标5项，服务对象满意度指标1项。</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二、绩效情况分析</w:t>
      </w:r>
    </w:p>
    <w:p>
      <w:pPr>
        <w:spacing w:before="213" w:line="221" w:lineRule="auto"/>
        <w:ind w:firstLine="659" w:firstLineChars="200"/>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rPr>
        <w:t>(一)资金投入情况分析。</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textAlignment w:val="baseline"/>
        <w:rPr>
          <w:rFonts w:hint="default" w:ascii="Times New Roman" w:hAnsi="Times New Roman" w:eastAsia="仿宋_GB2312" w:cs="Times New Roman"/>
          <w:sz w:val="32"/>
          <w:szCs w:val="32"/>
          <w:lang w:val="en-US" w:eastAsia="zh-CN"/>
        </w:rPr>
      </w:pPr>
      <w:r>
        <w:rPr>
          <w:rFonts w:hint="default"/>
          <w:sz w:val="28"/>
          <w:szCs w:val="28"/>
        </w:rPr>
        <w:t>   </w:t>
      </w:r>
      <w:r>
        <w:rPr>
          <w:rFonts w:hint="default" w:ascii="Times New Roman" w:hAnsi="Times New Roman" w:eastAsia="仿宋_GB2312" w:cs="Times New Roman"/>
          <w:sz w:val="32"/>
          <w:szCs w:val="32"/>
          <w:lang w:val="en-US" w:eastAsia="zh-CN"/>
        </w:rPr>
        <w:t> 2022年下达中央重大传染病防控经费</w:t>
      </w:r>
      <w:r>
        <w:rPr>
          <w:rFonts w:hint="eastAsia" w:ascii="Times New Roman" w:hAnsi="Times New Roman" w:eastAsia="仿宋_GB2312" w:cs="Times New Roman"/>
          <w:sz w:val="32"/>
          <w:szCs w:val="32"/>
          <w:lang w:val="en-US" w:eastAsia="zh-CN"/>
        </w:rPr>
        <w:t>15.48</w:t>
      </w:r>
      <w:r>
        <w:rPr>
          <w:rFonts w:hint="default" w:ascii="Times New Roman" w:hAnsi="Times New Roman" w:eastAsia="仿宋_GB2312" w:cs="Times New Roman"/>
          <w:sz w:val="32"/>
          <w:szCs w:val="32"/>
          <w:lang w:val="en-US" w:eastAsia="zh-CN"/>
        </w:rPr>
        <w:t>万元，2022年实际到位实际到位资金15.48万元，资金到位率100%；2022年共支出中央重大传染病防控资金21.9万元</w:t>
      </w:r>
      <w:r>
        <w:rPr>
          <w:rFonts w:hint="eastAsia" w:ascii="Times New Roman" w:hAnsi="Times New Roman" w:eastAsia="仿宋_GB2312" w:cs="Times New Roman"/>
          <w:sz w:val="32"/>
          <w:szCs w:val="32"/>
          <w:lang w:val="en-US" w:eastAsia="zh-CN"/>
        </w:rPr>
        <w:t>（含以前年度结余专项资金）</w:t>
      </w:r>
      <w:r>
        <w:rPr>
          <w:rFonts w:hint="default" w:ascii="Times New Roman" w:hAnsi="Times New Roman" w:eastAsia="仿宋_GB2312" w:cs="Times New Roman"/>
          <w:sz w:val="32"/>
          <w:szCs w:val="32"/>
          <w:lang w:val="en-US" w:eastAsia="zh-CN"/>
        </w:rPr>
        <w:t>，实际支出资金占中央重大传染病防控资金的100%。</w:t>
      </w:r>
    </w:p>
    <w:p>
      <w:pPr>
        <w:spacing w:before="213" w:line="221" w:lineRule="auto"/>
        <w:ind w:firstLine="659" w:firstLineChars="200"/>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rPr>
        <w:t>(二)资金管理情况分析。</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我单位根据专项资金管理和使用要求，中央重大传染病防控资金均拨付至区财政专户。区财政局根据本单位提出的用款申请，审核后拨付资金，做到按规定拨付使用，专款专用。</w:t>
      </w:r>
    </w:p>
    <w:p>
      <w:pPr>
        <w:spacing w:before="213" w:line="221" w:lineRule="auto"/>
        <w:ind w:firstLine="659" w:firstLineChars="200"/>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rPr>
        <w:t>(三)总体绩效目标完成情况分析。</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是加强乡镇（街道）为单位适龄儿童免疫规划疫苗接种工作检查督导，接种率已达到90%以上；二是坚持开展艾滋病疫情监测及治疗工作，有效控制艾滋病疫情，艾滋病疫情维持在低流行水平，全年艾滋病抗病毒治疗和检测工作完成率100%；三是加强传染病疫情监测、流行病学调查和疫情分析研判，及时处理暴发疫情，逐步降低重点传染病的危害，全年ＡＦＰ、麻疹、流脑、乙脑检测按时完成率达到90%以上；四是积极开展重大慢性病早期筛查干预项目，落实慢性病及其危险因素监测，加强重症精神障碍患者筛查，登记报告和随访服务。</w:t>
      </w:r>
    </w:p>
    <w:p>
      <w:pPr>
        <w:spacing w:before="213" w:line="221" w:lineRule="auto"/>
        <w:ind w:firstLine="659" w:firstLineChars="200"/>
        <w:rPr>
          <w:rFonts w:hint="default" w:ascii="仿宋_GB2312" w:hAnsi="仿宋_GB2312" w:eastAsia="仿宋_GB2312" w:cs="仿宋_GB2312"/>
          <w:b/>
          <w:bCs/>
          <w:spacing w:val="4"/>
          <w:sz w:val="32"/>
          <w:szCs w:val="32"/>
        </w:rPr>
      </w:pPr>
      <w:r>
        <w:rPr>
          <w:rFonts w:hint="default" w:ascii="仿宋_GB2312" w:hAnsi="仿宋_GB2312" w:eastAsia="仿宋_GB2312" w:cs="仿宋_GB2312"/>
          <w:b/>
          <w:bCs/>
          <w:spacing w:val="4"/>
          <w:sz w:val="32"/>
          <w:szCs w:val="32"/>
        </w:rPr>
        <w:t>（</w:t>
      </w:r>
      <w:r>
        <w:rPr>
          <w:rFonts w:hint="default" w:ascii="仿宋_GB2312" w:hAnsi="仿宋_GB2312" w:eastAsia="仿宋_GB2312" w:cs="仿宋_GB2312"/>
          <w:b/>
          <w:bCs/>
          <w:spacing w:val="4"/>
          <w:sz w:val="32"/>
          <w:szCs w:val="32"/>
          <w:lang w:eastAsia="zh-CN"/>
        </w:rPr>
        <w:t>四</w:t>
      </w:r>
      <w:r>
        <w:rPr>
          <w:rFonts w:hint="default" w:ascii="仿宋_GB2312" w:hAnsi="仿宋_GB2312" w:eastAsia="仿宋_GB2312" w:cs="仿宋_GB2312"/>
          <w:b/>
          <w:bCs/>
          <w:spacing w:val="4"/>
          <w:sz w:val="32"/>
          <w:szCs w:val="32"/>
        </w:rPr>
        <w:t>）绩效指标完成情况分析。</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textAlignment w:val="baseline"/>
        <w:rPr>
          <w:rFonts w:hint="default"/>
          <w:b/>
          <w:bCs/>
          <w:sz w:val="28"/>
          <w:szCs w:val="28"/>
        </w:rPr>
      </w:pPr>
      <w:r>
        <w:rPr>
          <w:rFonts w:hint="default"/>
          <w:b/>
          <w:bCs/>
          <w:sz w:val="28"/>
          <w:szCs w:val="28"/>
          <w:lang w:val="en-US" w:eastAsia="zh-CN"/>
        </w:rPr>
        <w:t>1</w:t>
      </w:r>
      <w:r>
        <w:rPr>
          <w:rFonts w:hint="default"/>
          <w:b/>
          <w:bCs/>
          <w:sz w:val="28"/>
          <w:szCs w:val="28"/>
        </w:rPr>
        <w:t>.产出指标</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（1）数量指标  </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适龄儿童免疫规划疫苗接种率、ＡＥＦＩ监测率90%，暗娼及男男人群的艾滋病宣传干预工作189人，艾滋病免费自愿咨询检测工作253人，艾滋病抗病毒治疗覆盖51人。</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质量指标</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ＡＦＰ、麻疹、疫苗可预防细菌性疾病（流脑）乙脑等病例监测率90%以上，ＡＦＰ、麻疹、流脑、乙脑检测按时完成率80%，艾滋病抗病毒治疗任务完成比例、艾滋病高危人群（暗娼、男男人群）检测任务完成比例、艾滋病规范化随访干预任务完成比例100%，艾滋病免费自愿咨询检测任务完成比例43%。</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时效指标</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sz w:val="28"/>
          <w:szCs w:val="28"/>
        </w:rPr>
      </w:pPr>
      <w:r>
        <w:rPr>
          <w:rFonts w:hint="default" w:ascii="Times New Roman" w:hAnsi="Times New Roman" w:eastAsia="仿宋_GB2312" w:cs="Times New Roman"/>
          <w:sz w:val="32"/>
          <w:szCs w:val="32"/>
          <w:lang w:val="en-US" w:eastAsia="zh-CN"/>
        </w:rPr>
        <w:t>按项目要求完成任务目标。</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textAlignment w:val="baseline"/>
        <w:rPr>
          <w:rFonts w:hint="default"/>
          <w:b/>
          <w:bCs/>
          <w:sz w:val="28"/>
          <w:szCs w:val="28"/>
        </w:rPr>
      </w:pPr>
      <w:r>
        <w:rPr>
          <w:rFonts w:hint="default"/>
          <w:b/>
          <w:bCs/>
          <w:sz w:val="28"/>
          <w:szCs w:val="28"/>
          <w:lang w:val="en-US" w:eastAsia="zh-CN"/>
        </w:rPr>
        <w:t>2</w:t>
      </w:r>
      <w:r>
        <w:rPr>
          <w:rFonts w:hint="default"/>
          <w:b/>
          <w:bCs/>
          <w:sz w:val="28"/>
          <w:szCs w:val="28"/>
        </w:rPr>
        <w:t>.效益指标</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（1）社会效益指标</w:t>
      </w:r>
      <w:r>
        <w:rPr>
          <w:rFonts w:hint="eastAsia" w:ascii="Times New Roman" w:hAnsi="Times New Roman" w:eastAsia="仿宋_GB2312" w:cs="Times New Roman"/>
          <w:sz w:val="32"/>
          <w:szCs w:val="32"/>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通过持续监测及时掌握疫苗针对性传染病的流行情况，能够妥善处置疫苗疑似预防接种异常反应，逐步提高了暴发处置、流行病学调查和实验室能力。</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 xml:space="preserve">生态效益指标 </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通过履行重大传染病防控职责，对生态环境所带来积极影响影响。</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（3）可持续影响指标</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居民、学生及重点人群艾滋病防治知识知晓率≥90%，逐步提高辖区内家庭发展能力和社会稳定水平，确保全区适龄儿童身体健康，规范开展疫苗疑似异常反应监测，为预防接种异常反应的处置和补偿提供支持，继续维持全区无脊灰状态，未见脊灰野病毒出现</w:t>
      </w:r>
      <w:r>
        <w:rPr>
          <w:rFonts w:hint="eastAsia" w:ascii="Times New Roman" w:hAnsi="Times New Roman" w:eastAsia="仿宋_GB2312" w:cs="Times New Roman"/>
          <w:sz w:val="32"/>
          <w:szCs w:val="32"/>
          <w:lang w:val="en-US" w:eastAsia="zh-CN"/>
        </w:rPr>
        <w:t>。</w:t>
      </w:r>
    </w:p>
    <w:p>
      <w:pPr>
        <w:keepNext w:val="0"/>
        <w:keepLines w:val="0"/>
        <w:pageBreakBefore w:val="0"/>
        <w:widowControl/>
        <w:kinsoku w:val="0"/>
        <w:wordWrap/>
        <w:overflowPunct/>
        <w:topLinePunct w:val="0"/>
        <w:autoSpaceDE w:val="0"/>
        <w:autoSpaceDN w:val="0"/>
        <w:bidi w:val="0"/>
        <w:adjustRightInd w:val="0"/>
        <w:snapToGrid w:val="0"/>
        <w:spacing w:line="540" w:lineRule="exact"/>
        <w:ind w:left="0" w:leftChars="0" w:firstLine="639" w:firstLineChars="228"/>
        <w:textAlignment w:val="baseline"/>
        <w:rPr>
          <w:rFonts w:hint="default"/>
          <w:b/>
          <w:bCs/>
          <w:sz w:val="28"/>
          <w:szCs w:val="28"/>
        </w:rPr>
      </w:pPr>
      <w:r>
        <w:rPr>
          <w:rFonts w:hint="default"/>
          <w:b/>
          <w:bCs/>
          <w:sz w:val="28"/>
          <w:szCs w:val="28"/>
          <w:lang w:val="en-US" w:eastAsia="zh-CN"/>
        </w:rPr>
        <w:t>3</w:t>
      </w:r>
      <w:r>
        <w:rPr>
          <w:rFonts w:hint="default"/>
          <w:b/>
          <w:bCs/>
          <w:sz w:val="28"/>
          <w:szCs w:val="28"/>
        </w:rPr>
        <w:t>.满意度指标</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预防接种儿童家长满意度对预防接种工作满意度≥80%。</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三、偏离绩效目标的原因和下一步改进措施</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艾滋病免费自愿咨询检测工作还不够规范，完成及时</w:t>
      </w:r>
      <w:r>
        <w:rPr>
          <w:rFonts w:hint="eastAsia" w:ascii="Times New Roman" w:hAnsi="Times New Roman" w:eastAsia="仿宋_GB2312" w:cs="Times New Roman"/>
          <w:sz w:val="32"/>
          <w:szCs w:val="32"/>
          <w:lang w:val="en-US" w:eastAsia="zh-CN"/>
        </w:rPr>
        <w:t>率有待提高</w:t>
      </w:r>
      <w:r>
        <w:rPr>
          <w:rFonts w:hint="default" w:ascii="Times New Roman" w:hAnsi="Times New Roman" w:eastAsia="仿宋_GB2312" w:cs="Times New Roman"/>
          <w:sz w:val="32"/>
          <w:szCs w:val="32"/>
          <w:lang w:val="en-US" w:eastAsia="zh-CN"/>
        </w:rPr>
        <w:t>。下一步改进措施：通过协调及督促辖区定点医疗机构在规定时间内及时完成艾滋病免费自愿咨询检测任务。</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四、绩效自评结果拟应用和公开情况</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通过绩效自评，我单位进一步掌握了中央重大传染病防控资金使用情况和取得的效果，总结了资金管理经验，为下一年提高资金的使用绩效，加强财政支出的规范管理，健全、完善支出项目和资金使用管理办法，完善预算编制和加强绩效目标管理等工作提供重要的参考依据。绩效自评结果</w:t>
      </w:r>
      <w:r>
        <w:rPr>
          <w:rFonts w:hint="eastAsia" w:ascii="Times New Roman" w:hAnsi="Times New Roman" w:eastAsia="仿宋_GB2312" w:cs="Times New Roman"/>
          <w:sz w:val="32"/>
          <w:szCs w:val="32"/>
          <w:lang w:val="en-US" w:eastAsia="zh-CN"/>
        </w:rPr>
        <w:t>暂未公开，将按文件要求在2023年5月31日之前在门户网站进行公开</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default" w:ascii="黑体" w:hAnsi="黑体" w:eastAsia="黑体" w:cs="黑体"/>
          <w:b/>
          <w:bCs/>
          <w:spacing w:val="-8"/>
          <w:sz w:val="32"/>
          <w:szCs w:val="32"/>
        </w:rPr>
      </w:pPr>
      <w:r>
        <w:rPr>
          <w:rFonts w:hint="default" w:ascii="黑体" w:hAnsi="黑体" w:eastAsia="黑体" w:cs="黑体"/>
          <w:b/>
          <w:bCs/>
          <w:spacing w:val="-8"/>
          <w:sz w:val="32"/>
          <w:szCs w:val="32"/>
        </w:rPr>
        <w:t>五、其他需要说明的问题</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无中央巡视、各级审计和财政监督中发现的问题及其所涉及的金额。</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560" w:firstLineChars="200"/>
        <w:textAlignment w:val="baseline"/>
        <w:rPr>
          <w:rFonts w:hint="default"/>
          <w:sz w:val="28"/>
          <w:szCs w:val="28"/>
        </w:rPr>
      </w:pPr>
      <w:r>
        <w:rPr>
          <w:rFonts w:hint="default"/>
          <w:sz w:val="28"/>
          <w:szCs w:val="28"/>
        </w:rPr>
        <w:t> </w:t>
      </w:r>
      <w:r>
        <w:rPr>
          <w:rFonts w:hint="default" w:ascii="黑体" w:hAnsi="黑体" w:eastAsia="黑体" w:cs="黑体"/>
          <w:b/>
          <w:bCs/>
          <w:spacing w:val="-8"/>
          <w:sz w:val="32"/>
          <w:szCs w:val="32"/>
        </w:rPr>
        <w:t>六、 附件</w:t>
      </w:r>
    </w:p>
    <w:p>
      <w:pPr>
        <w:keepNext w:val="0"/>
        <w:keepLines w:val="0"/>
        <w:pageBreakBefore w:val="0"/>
        <w:widowControl/>
        <w:kinsoku w:val="0"/>
        <w:wordWrap/>
        <w:overflowPunct/>
        <w:topLinePunct w:val="0"/>
        <w:autoSpaceDE w:val="0"/>
        <w:autoSpaceDN w:val="0"/>
        <w:bidi w:val="0"/>
        <w:adjustRightInd w:val="0"/>
        <w:snapToGrid w:val="0"/>
        <w:spacing w:line="540" w:lineRule="exact"/>
        <w:ind w:firstLine="640" w:firstLineChars="200"/>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转移支付区域(项目)绩效目标自评表</w:t>
      </w:r>
      <w:r>
        <w:rPr>
          <w:rFonts w:hint="eastAsia" w:ascii="Times New Roman" w:hAnsi="Times New Roman" w:eastAsia="仿宋_GB2312" w:cs="Times New Roman"/>
          <w:sz w:val="32"/>
          <w:szCs w:val="32"/>
          <w:lang w:val="en-US"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560" w:lineRule="atLeast"/>
        <w:ind w:left="0" w:right="0" w:firstLine="640"/>
        <w:jc w:val="both"/>
        <w:rPr>
          <w:rFonts w:hint="default" w:ascii="Arial" w:hAnsi="Arial" w:eastAsia="黑体" w:cs="Arial"/>
          <w:i w:val="0"/>
          <w:iCs w:val="0"/>
          <w:caps w:val="0"/>
          <w:color w:val="000000"/>
          <w:spacing w:val="0"/>
          <w:sz w:val="28"/>
          <w:szCs w:val="28"/>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560" w:lineRule="atLeast"/>
        <w:ind w:left="0" w:right="0" w:firstLine="640"/>
        <w:jc w:val="both"/>
        <w:rPr>
          <w:rFonts w:hint="default" w:ascii="Arial" w:hAnsi="Arial" w:eastAsia="黑体" w:cs="Arial"/>
          <w:i w:val="0"/>
          <w:iCs w:val="0"/>
          <w:caps w:val="0"/>
          <w:color w:val="000000"/>
          <w:spacing w:val="0"/>
          <w:sz w:val="28"/>
          <w:szCs w:val="28"/>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560" w:lineRule="atLeast"/>
        <w:ind w:left="0" w:right="0" w:firstLine="640"/>
        <w:jc w:val="both"/>
        <w:rPr>
          <w:rFonts w:hint="default" w:ascii="Arial" w:hAnsi="Arial" w:eastAsia="黑体" w:cs="Arial"/>
          <w:i w:val="0"/>
          <w:iCs w:val="0"/>
          <w:caps w:val="0"/>
          <w:color w:val="000000"/>
          <w:spacing w:val="0"/>
          <w:sz w:val="28"/>
          <w:szCs w:val="28"/>
          <w:shd w:val="clear" w:fill="FFFFFF"/>
        </w:rPr>
      </w:pPr>
    </w:p>
    <w:p>
      <w:pPr>
        <w:spacing w:before="200" w:line="870" w:lineRule="exact"/>
        <w:textAlignment w:val="center"/>
      </w:pP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ascii="仿宋_GB2312" w:hAnsi="仿宋_GB2312" w:eastAsia="仿宋_GB2312" w:cs="仿宋_GB2312"/>
          <w:sz w:val="32"/>
          <w:szCs w:val="32"/>
          <w:lang w:val="en-US" w:eastAsia="zh-CN"/>
        </w:rPr>
      </w:pPr>
      <w:r>
        <w:rPr>
          <w:rFonts w:hint="eastAsia" w:eastAsia="宋体"/>
          <w:lang w:val="en-US" w:eastAsia="zh-CN"/>
        </w:rPr>
        <w:t xml:space="preserve">                                                                    </w:t>
      </w:r>
      <w:r>
        <w:rPr>
          <w:rFonts w:hint="eastAsia" w:ascii="仿宋_GB2312" w:hAnsi="仿宋_GB2312" w:eastAsia="仿宋_GB2312" w:cs="仿宋_GB2312"/>
          <w:sz w:val="32"/>
          <w:szCs w:val="32"/>
          <w:lang w:val="en-US" w:eastAsia="zh-CN"/>
        </w:rPr>
        <w:t>淮南市八公山区卫生健康委员会</w:t>
      </w: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 2023年5月6日</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560" w:lineRule="atLeast"/>
        <w:ind w:left="0" w:right="0" w:firstLine="640"/>
        <w:jc w:val="both"/>
        <w:rPr>
          <w:rFonts w:hint="default" w:ascii="Arial" w:hAnsi="Arial" w:eastAsia="黑体" w:cs="Arial"/>
          <w:i w:val="0"/>
          <w:iCs w:val="0"/>
          <w:caps w:val="0"/>
          <w:color w:val="000000"/>
          <w:spacing w:val="0"/>
          <w:sz w:val="28"/>
          <w:szCs w:val="28"/>
          <w:shd w:val="clear" w:fill="FFFFFF"/>
        </w:rPr>
      </w:pPr>
    </w:p>
    <w:sectPr>
      <w:footerReference r:id="rId5" w:type="default"/>
      <w:type w:val="continuous"/>
      <w:pgSz w:w="11900" w:h="16820"/>
      <w:pgMar w:top="1429" w:right="1337" w:bottom="400" w:left="1619"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mYwOGIzNDc1NDM5MmE4N2MzMTExY2RkMjMzZGY3ZjQifQ=="/>
  </w:docVars>
  <w:rsids>
    <w:rsidRoot w:val="00000000"/>
    <w:rsid w:val="02B0537A"/>
    <w:rsid w:val="03500781"/>
    <w:rsid w:val="09124021"/>
    <w:rsid w:val="0C77233A"/>
    <w:rsid w:val="0D25682F"/>
    <w:rsid w:val="10FA71C4"/>
    <w:rsid w:val="1B3A06E3"/>
    <w:rsid w:val="1BD712B5"/>
    <w:rsid w:val="22EC1AEA"/>
    <w:rsid w:val="2BDC58E1"/>
    <w:rsid w:val="2C183950"/>
    <w:rsid w:val="2E9F5C62"/>
    <w:rsid w:val="31BE28A4"/>
    <w:rsid w:val="32677044"/>
    <w:rsid w:val="3D9D0D9E"/>
    <w:rsid w:val="42BB357B"/>
    <w:rsid w:val="42E47C90"/>
    <w:rsid w:val="4CBF0B25"/>
    <w:rsid w:val="52102850"/>
    <w:rsid w:val="5B6B7879"/>
    <w:rsid w:val="602045A6"/>
    <w:rsid w:val="643E324C"/>
    <w:rsid w:val="657276C8"/>
    <w:rsid w:val="737F2F3A"/>
    <w:rsid w:val="79AE4F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1747</Words>
  <Characters>1841</Characters>
  <TotalTime>0</TotalTime>
  <ScaleCrop>false</ScaleCrop>
  <LinksUpToDate>false</LinksUpToDate>
  <CharactersWithSpaces>1965</CharactersWithSpaces>
  <Application>WPS Office_11.1.0.14036_F1E327BC-269C-435d-A152-05C5408002CA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六六</cp:lastModifiedBy>
  <dcterms:modified xsi:type="dcterms:W3CDTF">2023-05-11T02:43:15Z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2052-11.1.0.14036</vt:lpwstr>
  </property>
  <property fmtid="{D5CDD505-2E9C-101B-9397-08002B2CF9AE}" pid="6" name="ICV">
    <vt:lpwstr>DF77C09F6F5A4EDE887D4E5E392A15D2_12</vt:lpwstr>
  </property>
</Properties>
</file>