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4" w:lineRule="auto"/>
        <w:ind w:left="536"/>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pPr>
        <w:spacing w:line="315" w:lineRule="auto"/>
        <w:rPr>
          <w:rFonts w:hint="eastAsia" w:ascii="宋体" w:hAnsi="宋体" w:eastAsia="宋体" w:cs="宋体"/>
          <w:sz w:val="21"/>
        </w:rPr>
      </w:pPr>
    </w:p>
    <w:p>
      <w:pPr>
        <w:spacing w:line="315" w:lineRule="auto"/>
        <w:rPr>
          <w:rFonts w:hint="eastAsia" w:ascii="宋体" w:hAnsi="宋体" w:eastAsia="宋体" w:cs="宋体"/>
          <w:sz w:val="21"/>
        </w:rPr>
      </w:pPr>
    </w:p>
    <w:p>
      <w:pPr>
        <w:spacing w:before="111" w:line="218" w:lineRule="auto"/>
        <w:jc w:val="center"/>
        <w:rPr>
          <w:rFonts w:hint="eastAsia" w:ascii="宋体" w:hAnsi="宋体" w:eastAsia="宋体" w:cs="宋体"/>
          <w:sz w:val="34"/>
          <w:szCs w:val="34"/>
        </w:rPr>
      </w:pPr>
      <w:r>
        <w:rPr>
          <w:rFonts w:hint="eastAsia" w:ascii="宋体" w:hAnsi="宋体" w:eastAsia="宋体" w:cs="宋体"/>
          <w:b/>
          <w:bCs/>
          <w:spacing w:val="-8"/>
          <w:sz w:val="44"/>
          <w:szCs w:val="44"/>
          <w:lang w:eastAsia="zh-CN"/>
        </w:rPr>
        <w:t>基本公共卫生服务补助资金</w:t>
      </w:r>
      <w:r>
        <w:rPr>
          <w:rFonts w:hint="eastAsia" w:ascii="宋体" w:hAnsi="宋体" w:eastAsia="宋体" w:cs="宋体"/>
          <w:b/>
          <w:bCs/>
          <w:spacing w:val="-8"/>
          <w:sz w:val="44"/>
          <w:szCs w:val="44"/>
        </w:rPr>
        <w:t>2022年度绩效</w:t>
      </w:r>
      <w:r>
        <w:rPr>
          <w:rFonts w:hint="eastAsia" w:ascii="宋体" w:hAnsi="宋体" w:eastAsia="宋体" w:cs="宋体"/>
          <w:b/>
          <w:bCs/>
          <w:spacing w:val="-8"/>
          <w:sz w:val="44"/>
          <w:szCs w:val="44"/>
          <w:lang w:val="en-US" w:eastAsia="zh-CN"/>
        </w:rPr>
        <w:t xml:space="preserve">  </w:t>
      </w:r>
      <w:r>
        <w:rPr>
          <w:rFonts w:hint="eastAsia" w:ascii="宋体" w:hAnsi="宋体" w:eastAsia="宋体" w:cs="宋体"/>
          <w:b/>
          <w:bCs/>
          <w:spacing w:val="-8"/>
          <w:sz w:val="44"/>
          <w:szCs w:val="44"/>
        </w:rPr>
        <w:t>自评报告</w:t>
      </w:r>
    </w:p>
    <w:p>
      <w:pPr>
        <w:spacing w:before="202" w:line="222" w:lineRule="auto"/>
        <w:ind w:left="3722"/>
        <w:rPr>
          <w:rFonts w:hint="eastAsia" w:ascii="宋体" w:hAnsi="宋体" w:eastAsia="宋体" w:cs="宋体"/>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一 、绩效目标分解下达情况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黑体" w:hAnsi="黑体" w:eastAsia="黑体" w:cs="黑体"/>
          <w:b/>
          <w:bCs/>
          <w:spacing w:val="-8"/>
          <w:sz w:val="32"/>
          <w:szCs w:val="32"/>
        </w:rPr>
      </w:pPr>
      <w:r>
        <w:rPr>
          <w:rFonts w:hint="eastAsia" w:ascii="Times New Roman" w:hAnsi="Times New Roman" w:eastAsia="仿宋_GB2312" w:cs="Times New Roman"/>
          <w:sz w:val="32"/>
          <w:szCs w:val="32"/>
          <w:lang w:val="en-US" w:eastAsia="zh-CN"/>
        </w:rPr>
        <w:t>根据《淮南市财政局 淮南市卫生健康委员会关于下达2022年基本公共卫生服务中央和省财政补助资金的通知》社[2022] 13号、《淮南市财政局 淮南市卫生健康委员会关于下达2022年省财政卫生健康部分补助资金的通知》社[2022] 15号、《淮南市财政局 淮南市卫生健康委员会关于下达2022年中央财政部分卫生健康专项补助资金的通知》社[2022] 16号、《淮南市财政局 淮南市卫生健康委员会关于下达2022年中央和省、市财政单独列项的基本公共卫生服务资金的通知》社[2022] 459号、《淮南市财政局 淮南市卫生健康委员会关于下达2022年中央和省、市卫生健康补助资金的通知》社[2022] 464号文件，下达我区基本公共卫生服务补助项目资金总额979.595万元。</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二、 绩效情况分析</w:t>
      </w:r>
    </w:p>
    <w:p>
      <w:pPr>
        <w:spacing w:before="213" w:line="221" w:lineRule="auto"/>
        <w:ind w:firstLine="659" w:firstLine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(一)资金投入情况分析。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2022年度基本公共卫生服务补助项目资金合计979.595万元，其中：中央财政资金586.58万元、地方财政资金393.015万元，截至目前，基本公共卫生服务补助项目资金979.595万元已经全部执行完毕，资金使用率100%。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基本公共卫生服务补助</w:t>
      </w:r>
      <w:r>
        <w:rPr>
          <w:rFonts w:hint="default" w:ascii="Times New Roman" w:hAnsi="Times New Roman" w:eastAsia="仿宋_GB2312" w:cs="Times New Roman"/>
          <w:sz w:val="32"/>
          <w:szCs w:val="32"/>
          <w:lang w:val="en-US" w:eastAsia="zh-CN"/>
        </w:rPr>
        <w:t>项目资金严格按照《</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财政厅</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省卫生健康委</w:t>
      </w:r>
      <w:r>
        <w:rPr>
          <w:rFonts w:hint="eastAsia" w:ascii="Times New Roman" w:hAnsi="Times New Roman" w:eastAsia="仿宋_GB2312" w:cs="Times New Roman"/>
          <w:sz w:val="32"/>
          <w:szCs w:val="32"/>
          <w:lang w:val="en-US" w:eastAsia="zh-CN"/>
        </w:rPr>
        <w:t>员会 安徽</w:t>
      </w:r>
      <w:r>
        <w:rPr>
          <w:rFonts w:hint="default" w:ascii="Times New Roman" w:hAnsi="Times New Roman" w:eastAsia="仿宋_GB2312" w:cs="Times New Roman"/>
          <w:sz w:val="32"/>
          <w:szCs w:val="32"/>
          <w:lang w:val="en-US" w:eastAsia="zh-CN"/>
        </w:rPr>
        <w:t>省医疗保障局关于印发</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公共卫生服务等4项</w:t>
      </w:r>
      <w:r>
        <w:rPr>
          <w:rFonts w:hint="eastAsia" w:ascii="Times New Roman" w:hAnsi="Times New Roman" w:eastAsia="仿宋_GB2312" w:cs="Times New Roman"/>
          <w:sz w:val="32"/>
          <w:szCs w:val="32"/>
          <w:lang w:val="en-US" w:eastAsia="zh-CN"/>
        </w:rPr>
        <w:t>卫生健康</w:t>
      </w:r>
      <w:r>
        <w:rPr>
          <w:rFonts w:hint="default" w:ascii="Times New Roman" w:hAnsi="Times New Roman" w:eastAsia="仿宋_GB2312" w:cs="Times New Roman"/>
          <w:sz w:val="32"/>
          <w:szCs w:val="32"/>
          <w:lang w:val="en-US" w:eastAsia="zh-CN"/>
        </w:rPr>
        <w:t>补助资金管理</w:t>
      </w:r>
      <w:r>
        <w:rPr>
          <w:rFonts w:hint="eastAsia" w:ascii="Times New Roman" w:hAnsi="Times New Roman" w:eastAsia="仿宋_GB2312" w:cs="Times New Roman"/>
          <w:sz w:val="32"/>
          <w:szCs w:val="32"/>
          <w:lang w:val="en-US" w:eastAsia="zh-CN"/>
        </w:rPr>
        <w:t>实施</w:t>
      </w:r>
      <w:r>
        <w:rPr>
          <w:rFonts w:hint="default" w:ascii="Times New Roman" w:hAnsi="Times New Roman" w:eastAsia="仿宋_GB2312" w:cs="Times New Roman"/>
          <w:sz w:val="32"/>
          <w:szCs w:val="32"/>
          <w:lang w:val="en-US" w:eastAsia="zh-CN"/>
        </w:rPr>
        <w:t>办法的通知》(</w:t>
      </w:r>
      <w:r>
        <w:rPr>
          <w:rFonts w:hint="eastAsia" w:ascii="Times New Roman" w:hAnsi="Times New Roman" w:eastAsia="仿宋_GB2312" w:cs="Times New Roman"/>
          <w:sz w:val="32"/>
          <w:szCs w:val="32"/>
          <w:lang w:val="en-US" w:eastAsia="zh-CN"/>
        </w:rPr>
        <w:t>皖</w:t>
      </w:r>
      <w:r>
        <w:rPr>
          <w:rFonts w:hint="default" w:ascii="Times New Roman" w:hAnsi="Times New Roman" w:eastAsia="仿宋_GB2312" w:cs="Times New Roman"/>
          <w:sz w:val="32"/>
          <w:szCs w:val="32"/>
          <w:lang w:val="en-US" w:eastAsia="zh-CN"/>
        </w:rPr>
        <w:t>财社[20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455</w:t>
      </w:r>
      <w:r>
        <w:rPr>
          <w:rFonts w:hint="default" w:ascii="Times New Roman" w:hAnsi="Times New Roman" w:eastAsia="仿宋_GB2312" w:cs="Times New Roman"/>
          <w:sz w:val="32"/>
          <w:szCs w:val="32"/>
          <w:lang w:val="en-US" w:eastAsia="zh-CN"/>
        </w:rPr>
        <w:t>号)文件精神执行，注重资金使用效益，严格执行财经纪律，加强专项资金的使用、管理和监督，</w:t>
      </w:r>
      <w:r>
        <w:rPr>
          <w:rFonts w:hint="eastAsia" w:ascii="Times New Roman" w:hAnsi="Times New Roman" w:eastAsia="仿宋_GB2312" w:cs="Times New Roman"/>
          <w:sz w:val="32"/>
          <w:szCs w:val="32"/>
          <w:lang w:val="en-US" w:eastAsia="zh-CN"/>
        </w:rPr>
        <w:t>保</w:t>
      </w:r>
      <w:r>
        <w:rPr>
          <w:rFonts w:hint="default" w:ascii="Times New Roman" w:hAnsi="Times New Roman" w:eastAsia="仿宋_GB2312" w:cs="Times New Roman"/>
          <w:sz w:val="32"/>
          <w:szCs w:val="32"/>
          <w:lang w:val="en-US" w:eastAsia="zh-CN"/>
        </w:rPr>
        <w:t>证项目资金专款专用，无挪用或改变专项资金的性质和用途的情况发生。</w:t>
      </w:r>
    </w:p>
    <w:p>
      <w:pPr>
        <w:spacing w:before="215" w:line="553" w:lineRule="exact"/>
        <w:ind w:firstLine="659" w:firstLineChars="200"/>
        <w:rPr>
          <w:rFonts w:hint="eastAsia" w:ascii="宋体" w:hAnsi="宋体" w:eastAsia="宋体" w:cs="宋体"/>
          <w:sz w:val="28"/>
          <w:szCs w:val="28"/>
        </w:rPr>
      </w:pPr>
      <w:r>
        <w:rPr>
          <w:rFonts w:hint="eastAsia" w:ascii="仿宋_GB2312" w:hAnsi="仿宋_GB2312" w:eastAsia="仿宋_GB2312" w:cs="仿宋_GB2312"/>
          <w:b/>
          <w:bCs/>
          <w:spacing w:val="4"/>
          <w:sz w:val="32"/>
          <w:szCs w:val="32"/>
        </w:rPr>
        <w:t xml:space="preserve">(二)资金管理情况分析。 </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资金分配科学性。严格按照转移支付管理制度以及资金管理办法规定的范围和标准分配资金。</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资金下达及时性。严格按照预算法及其实施条例、转移支付管理制度规定以及资金管理办法规定的时限要求分解下达。</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资金拨付合规性。严格按照国库集中支付制度有关规定支付资金，未出现违规将资金从国库转入财政专户或支付到预算单位实有资金账户等问题。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资金使用规范性。严格按照下达预算的科目和项目执行，未出现截留、挤占、挪用或擅自调整等问题。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资金执行准确性。按照上级下达和本级预算安排的金额执行，不存在执行数偏离预算数较多的问题。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预算绩效管理情况。在细化下达预算时同步下达绩效目标，将有关资金纳入本级预算或对下转移支付绩效管理，开展绩效监控和绩效评价。</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支出责任履行情况。对共同财政事权转移支付，按照财政事权和支出责任划分有关规定,足额安排资金履行本级支出责任。</w:t>
      </w:r>
    </w:p>
    <w:p>
      <w:pPr>
        <w:spacing w:before="212" w:line="555" w:lineRule="exact"/>
        <w:ind w:firstLine="659" w:firstLineChars="200"/>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b/>
          <w:bCs/>
          <w:spacing w:val="4"/>
          <w:sz w:val="32"/>
          <w:szCs w:val="32"/>
        </w:rPr>
        <w:t xml:space="preserve">(三)总体绩效目标完成情况分析。 </w:t>
      </w:r>
    </w:p>
    <w:p>
      <w:pPr>
        <w:pStyle w:val="5"/>
        <w:keepNext w:val="0"/>
        <w:keepLines w:val="0"/>
        <w:pageBreakBefore w:val="0"/>
        <w:widowControl/>
        <w:wordWrap/>
        <w:overflowPunct/>
        <w:topLinePunct w:val="0"/>
        <w:bidi w:val="0"/>
        <w:spacing w:line="560" w:lineRule="exact"/>
        <w:ind w:firstLine="640" w:firstLineChars="200"/>
        <w:rPr>
          <w:rFonts w:hint="eastAsia" w:ascii="Times New Roman" w:hAnsi="Times New Roman" w:eastAsia="仿宋_GB2312" w:cs="Times New Roman"/>
          <w:snapToGrid w:val="0"/>
          <w:color w:val="000000"/>
          <w:kern w:val="0"/>
          <w:sz w:val="32"/>
          <w:szCs w:val="32"/>
          <w:lang w:val="en-US" w:eastAsia="zh-CN"/>
        </w:rPr>
      </w:pPr>
      <w:r>
        <w:rPr>
          <w:rFonts w:hint="eastAsia" w:ascii="Times New Roman" w:hAnsi="Times New Roman" w:eastAsia="仿宋_GB2312" w:cs="Times New Roman"/>
          <w:snapToGrid w:val="0"/>
          <w:color w:val="000000"/>
          <w:kern w:val="0"/>
          <w:sz w:val="32"/>
          <w:szCs w:val="32"/>
          <w:lang w:val="en-US" w:eastAsia="zh-CN"/>
        </w:rPr>
        <w:t>按照《国家基本公共卫生服务规范（第三版）》要求,在全区乡镇卫生院、村卫生室、社区卫生服务中心和社区卫生服务站开展了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和协管等12类项目。单独列项的基本公共卫生服：地方病防治、免费孕前优生健康检查、补服叶酸、妇女健康水平提升（婚检）、妇女健康水平提升（计划免疫）、健康素养促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通过实施基本公共卫生服务12类项目及</w:t>
      </w:r>
      <w:r>
        <w:rPr>
          <w:rFonts w:hint="eastAsia" w:ascii="Times New Roman" w:hAnsi="Times New Roman" w:eastAsia="仿宋_GB2312" w:cs="Times New Roman"/>
          <w:snapToGrid w:val="0"/>
          <w:color w:val="000000"/>
          <w:kern w:val="0"/>
          <w:sz w:val="32"/>
          <w:szCs w:val="32"/>
          <w:lang w:val="en-US" w:eastAsia="zh-CN"/>
        </w:rPr>
        <w:t>单独列项的基本公共卫生服</w:t>
      </w:r>
      <w:r>
        <w:rPr>
          <w:rFonts w:hint="eastAsia" w:ascii="Times New Roman" w:hAnsi="Times New Roman" w:eastAsia="仿宋_GB2312" w:cs="Times New Roman"/>
          <w:sz w:val="32"/>
          <w:szCs w:val="32"/>
          <w:lang w:val="en-US" w:eastAsia="zh-CN"/>
        </w:rPr>
        <w:t>，对影响居民健康的主要卫生问题实施干预，减少主要健康危险因素，有效预防和控制主要传染病及慢性病，使城乡居民逐步享有均等化的公共卫生服务。</w:t>
      </w:r>
    </w:p>
    <w:p>
      <w:pPr>
        <w:numPr>
          <w:ilvl w:val="0"/>
          <w:numId w:val="2"/>
        </w:numPr>
        <w:spacing w:before="208" w:line="554" w:lineRule="exact"/>
        <w:ind w:firstLine="659" w:firstLineChars="200"/>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 xml:space="preserve">绩效指标完成情况分析。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适龄儿童国家免疫规划疫苗接种率大于等于90%，7岁以下儿童健康管理率大于等于85%，孕产妇系统管理率大于等于90%，3岁以下儿童系统管理率大于等于80%，高血压患者管理人数11633人，2型糖尿病患者管理人数4019人，肺结核核患者管理率大于等于90%，社区在册居家严重精神障碍患者健康管理率大于等于80%，老年人中医药健康管理率大于等于70%，儿童中医药健康管理率大于等于77%，卫生监督协管各专业每年巡查（访）2次完成率大于等于90%，均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居民规范化电子健康档案覆盖率大于等于61%，高血压患者基层规范管理服务率大于等于61%，2型糖尿病患者基层规范管理服务率大于等于61%，65岁及以上老年人城乡社区规范健康管理服务率大于等于61%，传染病和突发公共卫生事件报告率大于等于95%，均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3.时效指标：项目完成时效率达到100%，已完成。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4.成本指标：基本公共卫生服务补助资金979.595万元，其中：基本公共卫生服务补助资金939.1万元，单独列项的基本公共卫生服补助资金40.495万元均已支付完成。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5.社会效益指标：城乡居民公共卫生差距不断缩小，居民健康素养水平不断提高。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6.可持续影响指标：基本公共卫生服务水平不断提高。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w:t>
      </w:r>
      <w:bookmarkStart w:id="0" w:name="_GoBack"/>
      <w:bookmarkEnd w:id="0"/>
      <w:r>
        <w:rPr>
          <w:rFonts w:hint="eastAsia" w:ascii="Times New Roman" w:hAnsi="Times New Roman" w:eastAsia="仿宋_GB2312" w:cs="Times New Roman"/>
          <w:sz w:val="32"/>
          <w:szCs w:val="32"/>
          <w:lang w:val="en-US" w:eastAsia="zh-CN"/>
        </w:rPr>
        <w:t>.服务对象满意度指标：对基本公共卫生服务对象满意度较上年提高，已完成。</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三、 偏离绩效目标的原因和下一步改进措施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按照项目绩效指标要求，项目全面完成，未偏离预期目标，资金使用规范。下一步将继续加强资金管理，专款专用，提高资金使用效率。</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绩效自评结果拟应用和公开情况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财政资金平台系统中录入的医疗服务与保障</w:t>
      </w:r>
      <w:r>
        <w:rPr>
          <w:rFonts w:hint="default" w:ascii="Times New Roman" w:hAnsi="Times New Roman" w:eastAsia="仿宋_GB2312" w:cs="Times New Roman"/>
          <w:sz w:val="32"/>
          <w:szCs w:val="32"/>
          <w:lang w:val="en-US" w:eastAsia="zh-CN"/>
        </w:rPr>
        <w:t>能力提升</w:t>
      </w:r>
      <w:r>
        <w:rPr>
          <w:rFonts w:hint="eastAsia" w:ascii="Times New Roman" w:hAnsi="Times New Roman" w:eastAsia="仿宋_GB2312" w:cs="Times New Roman"/>
          <w:sz w:val="32"/>
          <w:szCs w:val="32"/>
          <w:lang w:val="en-US" w:eastAsia="zh-CN"/>
        </w:rPr>
        <w:t>补助资金支出数据及时准确、真实可靠。资金对应安排项目形成实物工作量情况、项目推进及管理情况，跟踪掌握项目绩效目标执行情况，已经达到预期效果。绩效自评结果暂未公开，将按文件要求在2023年5月31日之前在门户网站进行公开。</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五、 其他需要说明的问题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无中央巡视、各级审计和财政监督中发现的问题及其所涉及的金额。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lang w:eastAsia="zh-CN"/>
        </w:rPr>
        <w:t>六、</w:t>
      </w:r>
      <w:r>
        <w:rPr>
          <w:rFonts w:hint="eastAsia" w:ascii="黑体" w:hAnsi="黑体" w:eastAsia="黑体" w:cs="黑体"/>
          <w:b/>
          <w:bCs/>
          <w:spacing w:val="-8"/>
          <w:sz w:val="32"/>
          <w:szCs w:val="32"/>
        </w:rPr>
        <w:t>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转移支付区域(项目)绩效目标自评表</w:t>
      </w:r>
      <w:r>
        <w:rPr>
          <w:rFonts w:hint="eastAsia" w:ascii="Times New Roman" w:hAnsi="Times New Roman" w:eastAsia="仿宋_GB2312" w:cs="Times New Roman"/>
          <w:sz w:val="32"/>
          <w:szCs w:val="32"/>
          <w:lang w:val="en-US" w:eastAsia="zh-CN"/>
        </w:rPr>
        <w:t>。</w:t>
      </w:r>
    </w:p>
    <w:p>
      <w:pPr>
        <w:spacing w:before="200" w:line="870" w:lineRule="exact"/>
        <w:textAlignment w:val="center"/>
      </w:pP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2023年5月6日</w:t>
      </w:r>
    </w:p>
    <w:sectPr>
      <w:footerReference r:id="rId5" w:type="default"/>
      <w:type w:val="continuous"/>
      <w:pgSz w:w="11900" w:h="16820"/>
      <w:pgMar w:top="1429" w:right="1785"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AA5DE"/>
    <w:multiLevelType w:val="singleLevel"/>
    <w:tmpl w:val="93DAA5DE"/>
    <w:lvl w:ilvl="0" w:tentative="0">
      <w:start w:val="4"/>
      <w:numFmt w:val="chineseCounting"/>
      <w:suff w:val="space"/>
      <w:lvlText w:val="%1、"/>
      <w:lvlJc w:val="left"/>
      <w:rPr>
        <w:rFonts w:hint="eastAsia"/>
      </w:rPr>
    </w:lvl>
  </w:abstractNum>
  <w:abstractNum w:abstractNumId="1">
    <w:nsid w:val="95FA3C83"/>
    <w:multiLevelType w:val="singleLevel"/>
    <w:tmpl w:val="95FA3C83"/>
    <w:lvl w:ilvl="0" w:tentative="0">
      <w:start w:val="1"/>
      <w:numFmt w:val="decimal"/>
      <w:lvlText w:val="%1."/>
      <w:lvlJc w:val="left"/>
      <w:pPr>
        <w:tabs>
          <w:tab w:val="left" w:pos="312"/>
        </w:tabs>
      </w:pPr>
    </w:lvl>
  </w:abstractNum>
  <w:abstractNum w:abstractNumId="2">
    <w:nsid w:val="2A1928E3"/>
    <w:multiLevelType w:val="singleLevel"/>
    <w:tmpl w:val="2A1928E3"/>
    <w:lvl w:ilvl="0" w:tentative="0">
      <w:start w:val="4"/>
      <w:numFmt w:val="chineseCounting"/>
      <w:lvlText w:val="(%1)"/>
      <w:lvlJc w:val="left"/>
      <w:pPr>
        <w:tabs>
          <w:tab w:val="left" w:pos="312"/>
        </w:tabs>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YwOGIzNDc1NDM5MmE4N2MzMTExY2RkMjMzZGY3ZjQifQ=="/>
  </w:docVars>
  <w:rsids>
    <w:rsidRoot w:val="00000000"/>
    <w:rsid w:val="02B0537A"/>
    <w:rsid w:val="03500781"/>
    <w:rsid w:val="0C77233A"/>
    <w:rsid w:val="10FA71C4"/>
    <w:rsid w:val="13DC4A04"/>
    <w:rsid w:val="17D2722C"/>
    <w:rsid w:val="1AC27A2C"/>
    <w:rsid w:val="22EC1AEA"/>
    <w:rsid w:val="28E55011"/>
    <w:rsid w:val="2ABD2F35"/>
    <w:rsid w:val="2C183950"/>
    <w:rsid w:val="2E9F5C62"/>
    <w:rsid w:val="32677044"/>
    <w:rsid w:val="33AB4E22"/>
    <w:rsid w:val="364A5DE1"/>
    <w:rsid w:val="3A117DCC"/>
    <w:rsid w:val="3B8D2412"/>
    <w:rsid w:val="42BB357B"/>
    <w:rsid w:val="42E47C90"/>
    <w:rsid w:val="4CBF0B25"/>
    <w:rsid w:val="52102850"/>
    <w:rsid w:val="5FB17A7C"/>
    <w:rsid w:val="602045A6"/>
    <w:rsid w:val="643E324C"/>
    <w:rsid w:val="657276C8"/>
    <w:rsid w:val="718B3849"/>
    <w:rsid w:val="737F2F3A"/>
    <w:rsid w:val="76134C16"/>
    <w:rsid w:val="783D32DC"/>
    <w:rsid w:val="7DB83C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Normal"/>
    <w:qFormat/>
    <w:uiPriority w:val="0"/>
    <w:pPr>
      <w:jc w:val="both"/>
    </w:pPr>
    <w:rPr>
      <w:rFonts w:ascii="Times New Roman" w:hAnsi="Times New Roman" w:eastAsia="宋体" w:cs="Times New Roman"/>
      <w:kern w:val="2"/>
      <w:sz w:val="21"/>
      <w:szCs w:val="21"/>
      <w:lang w:val="en-US" w:eastAsia="zh-CN" w:bidi="ar-SA"/>
    </w:rPr>
  </w:style>
  <w:style w:type="character" w:customStyle="1" w:styleId="6">
    <w:name w:val="font121"/>
    <w:basedOn w:val="3"/>
    <w:qFormat/>
    <w:uiPriority w:val="0"/>
    <w:rPr>
      <w:rFonts w:hint="eastAsia" w:ascii="宋体" w:hAnsi="宋体" w:eastAsia="宋体" w:cs="宋体"/>
      <w:color w:val="000000"/>
      <w:sz w:val="32"/>
      <w:szCs w:val="32"/>
      <w:u w:val="none"/>
    </w:rPr>
  </w:style>
  <w:style w:type="character" w:customStyle="1" w:styleId="7">
    <w:name w:val="font131"/>
    <w:basedOn w:val="3"/>
    <w:qFormat/>
    <w:uiPriority w:val="0"/>
    <w:rPr>
      <w:rFonts w:ascii="Arial" w:hAnsi="Arial" w:cs="Arial"/>
      <w:color w:val="000000"/>
      <w:sz w:val="20"/>
      <w:szCs w:val="20"/>
      <w:u w:val="none"/>
    </w:rPr>
  </w:style>
  <w:style w:type="character" w:customStyle="1" w:styleId="8">
    <w:name w:val="font11"/>
    <w:basedOn w:val="3"/>
    <w:qFormat/>
    <w:uiPriority w:val="0"/>
    <w:rPr>
      <w:rFonts w:hint="eastAsia" w:ascii="宋体" w:hAnsi="宋体" w:eastAsia="宋体" w:cs="宋体"/>
      <w:color w:val="000000"/>
      <w:sz w:val="20"/>
      <w:szCs w:val="20"/>
      <w:u w:val="none"/>
    </w:rPr>
  </w:style>
  <w:style w:type="character" w:customStyle="1" w:styleId="9">
    <w:name w:val="font112"/>
    <w:basedOn w:val="3"/>
    <w:qFormat/>
    <w:uiPriority w:val="0"/>
    <w:rPr>
      <w:rFonts w:hint="eastAsia" w:ascii="宋体" w:hAnsi="宋体" w:eastAsia="宋体" w:cs="宋体"/>
      <w:color w:val="000000"/>
      <w:sz w:val="18"/>
      <w:szCs w:val="18"/>
      <w:u w:val="none"/>
    </w:rPr>
  </w:style>
  <w:style w:type="character" w:customStyle="1" w:styleId="10">
    <w:name w:val="font51"/>
    <w:basedOn w:val="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2110</Words>
  <Characters>2269</Characters>
  <TotalTime>47</TotalTime>
  <ScaleCrop>false</ScaleCrop>
  <LinksUpToDate>false</LinksUpToDate>
  <CharactersWithSpaces>2399</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2023-05-17T00:58:43Z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2052-11.1.0.14309</vt:lpwstr>
  </property>
  <property fmtid="{D5CDD505-2E9C-101B-9397-08002B2CF9AE}" pid="6" name="ICV">
    <vt:lpwstr>DF77C09F6F5A4EDE887D4E5E392A15D2_12</vt:lpwstr>
  </property>
</Properties>
</file>