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392" w:leftChars="250" w:hanging="882" w:hangingChars="249"/>
        <w:jc w:val="center"/>
        <w:rPr>
          <w:rFonts w:ascii="宋体" w:hAnsi="宋体" w:eastAsia="仿宋_GB2312" w:cs="宋体"/>
          <w:b/>
          <w:sz w:val="36"/>
          <w:szCs w:val="36"/>
        </w:rPr>
      </w:pPr>
      <w:r>
        <w:rPr>
          <w:rFonts w:hint="eastAsia" w:ascii="宋体" w:hAnsi="宋体" w:eastAsia="仿宋_GB2312" w:cs="宋体"/>
          <w:b/>
          <w:sz w:val="36"/>
          <w:szCs w:val="36"/>
        </w:rPr>
        <w:t>八公山区民政局2019年度一般公共预算财政</w:t>
      </w:r>
    </w:p>
    <w:p>
      <w:pPr>
        <w:ind w:left="1392" w:leftChars="250" w:hanging="882" w:hangingChars="249"/>
        <w:jc w:val="center"/>
        <w:rPr>
          <w:rFonts w:ascii="宋体" w:hAnsi="宋体" w:eastAsia="仿宋_GB2312" w:cs="宋体"/>
          <w:b/>
          <w:sz w:val="36"/>
          <w:szCs w:val="36"/>
        </w:rPr>
      </w:pPr>
      <w:r>
        <w:rPr>
          <w:rFonts w:hint="eastAsia" w:ascii="宋体" w:hAnsi="宋体" w:eastAsia="仿宋_GB2312" w:cs="宋体"/>
          <w:b/>
          <w:sz w:val="36"/>
          <w:szCs w:val="36"/>
        </w:rPr>
        <w:t>拨款“三公”经费支出决算情况说明</w:t>
      </w:r>
    </w:p>
    <w:p>
      <w:pPr>
        <w:jc w:val="center"/>
        <w:rPr>
          <w:rFonts w:ascii="楷体_GB2312" w:hAnsi="Times New Roman" w:eastAsia="楷体_GB2312" w:cs="Times New Roman"/>
          <w:sz w:val="32"/>
          <w:szCs w:val="32"/>
        </w:rPr>
      </w:pPr>
    </w:p>
    <w:p>
      <w:pPr>
        <w:adjustRightInd w:val="0"/>
        <w:snapToGrid w:val="0"/>
        <w:spacing w:line="360" w:lineRule="auto"/>
        <w:jc w:val="center"/>
        <w:rPr>
          <w:rFonts w:ascii="宋体" w:hAnsi="宋体" w:eastAsia="仿宋_GB2312" w:cs="Times New Roman"/>
          <w:sz w:val="6"/>
          <w:szCs w:val="32"/>
        </w:rPr>
      </w:pPr>
    </w:p>
    <w:p>
      <w:pPr>
        <w:ind w:firstLine="628" w:firstLineChars="200"/>
        <w:rPr>
          <w:rFonts w:ascii="黑体" w:hAnsi="黑体" w:eastAsia="黑体" w:cs="Times New Roman"/>
          <w:sz w:val="32"/>
          <w:szCs w:val="32"/>
        </w:rPr>
      </w:pPr>
      <w:r>
        <w:rPr>
          <w:rFonts w:hint="eastAsia" w:ascii="黑体" w:hAnsi="黑体" w:eastAsia="黑体" w:cs="Times New Roman"/>
          <w:sz w:val="32"/>
          <w:szCs w:val="32"/>
        </w:rPr>
        <w:t>一、2019年度一般公共预算财政拨款“三公”经费支出决算表</w:t>
      </w:r>
    </w:p>
    <w:p>
      <w:pPr>
        <w:ind w:firstLine="7216" w:firstLineChars="2298"/>
        <w:rPr>
          <w:rFonts w:ascii="黑体" w:hAnsi="黑体" w:eastAsia="黑体" w:cs="Times New Roman"/>
          <w:sz w:val="32"/>
          <w:szCs w:val="32"/>
        </w:rPr>
      </w:pPr>
      <w:r>
        <w:rPr>
          <w:rFonts w:hint="eastAsia" w:ascii="仿宋_GB2312" w:hAnsi="仿宋_GB2312" w:eastAsia="仿宋_GB2312" w:cs="仿宋_GB2312"/>
          <w:sz w:val="32"/>
          <w:szCs w:val="32"/>
        </w:rPr>
        <w:t>单位：万元</w:t>
      </w:r>
    </w:p>
    <w:tbl>
      <w:tblPr>
        <w:tblStyle w:val="4"/>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项  目</w:t>
            </w:r>
          </w:p>
        </w:tc>
        <w:tc>
          <w:tcPr>
            <w:tcW w:w="21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预 算 数</w:t>
            </w:r>
          </w:p>
        </w:tc>
        <w:tc>
          <w:tcPr>
            <w:tcW w:w="22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决 算 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合  计</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0.53　</w:t>
            </w:r>
          </w:p>
        </w:tc>
        <w:tc>
          <w:tcPr>
            <w:tcW w:w="2220" w:type="dxa"/>
            <w:tcBorders>
              <w:top w:val="nil"/>
              <w:left w:val="nil"/>
              <w:bottom w:val="single" w:color="auto" w:sz="4" w:space="0"/>
              <w:right w:val="single" w:color="auto" w:sz="4" w:space="0"/>
            </w:tcBorders>
            <w:vAlign w:val="center"/>
          </w:tcPr>
          <w:p>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　0.53</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因公出国（境）费</w:t>
            </w:r>
          </w:p>
        </w:tc>
        <w:tc>
          <w:tcPr>
            <w:tcW w:w="2157"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0</w:t>
            </w:r>
          </w:p>
        </w:tc>
        <w:tc>
          <w:tcPr>
            <w:tcW w:w="2220"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公务接待费</w:t>
            </w:r>
          </w:p>
        </w:tc>
        <w:tc>
          <w:tcPr>
            <w:tcW w:w="2157"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0.53</w:t>
            </w:r>
          </w:p>
        </w:tc>
        <w:tc>
          <w:tcPr>
            <w:tcW w:w="2220"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0.53</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公务用车购置及运行费</w:t>
            </w:r>
          </w:p>
        </w:tc>
        <w:tc>
          <w:tcPr>
            <w:tcW w:w="2157"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0</w:t>
            </w:r>
          </w:p>
        </w:tc>
        <w:tc>
          <w:tcPr>
            <w:tcW w:w="2220"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xml:space="preserve">  其中：公务用车运行维护费</w:t>
            </w:r>
          </w:p>
        </w:tc>
        <w:tc>
          <w:tcPr>
            <w:tcW w:w="2157"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0</w:t>
            </w:r>
          </w:p>
        </w:tc>
        <w:tc>
          <w:tcPr>
            <w:tcW w:w="2220"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xml:space="preserve">       公务用车购置 </w:t>
            </w:r>
          </w:p>
        </w:tc>
        <w:tc>
          <w:tcPr>
            <w:tcW w:w="2157"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0</w:t>
            </w:r>
          </w:p>
        </w:tc>
        <w:tc>
          <w:tcPr>
            <w:tcW w:w="2220"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0</w:t>
            </w:r>
          </w:p>
        </w:tc>
      </w:tr>
    </w:tbl>
    <w:p>
      <w:pPr>
        <w:ind w:firstLine="628" w:firstLineChars="200"/>
        <w:rPr>
          <w:rFonts w:ascii="黑体" w:hAnsi="黑体" w:eastAsia="黑体" w:cs="Times New Roman"/>
          <w:color w:val="FF0000"/>
          <w:sz w:val="32"/>
          <w:szCs w:val="32"/>
        </w:rPr>
      </w:pPr>
      <w:r>
        <w:rPr>
          <w:rFonts w:hint="eastAsia" w:ascii="黑体" w:hAnsi="黑体" w:eastAsia="黑体" w:cs="Times New Roman"/>
          <w:sz w:val="32"/>
          <w:szCs w:val="32"/>
        </w:rPr>
        <w:t xml:space="preserve">                                      </w:t>
      </w:r>
    </w:p>
    <w:p>
      <w:pPr>
        <w:ind w:firstLine="428" w:firstLineChars="200"/>
        <w:rPr>
          <w:rFonts w:ascii="黑体" w:hAnsi="黑体" w:eastAsia="黑体" w:cs="Times New Roman"/>
          <w:sz w:val="32"/>
          <w:szCs w:val="32"/>
        </w:rPr>
      </w:pPr>
      <w:r>
        <w:rPr>
          <w:rFonts w:hint="eastAsia" w:ascii="宋体" w:hAnsi="宋体" w:eastAsia="仿宋_GB2312" w:cs="宋体"/>
          <w:color w:val="000000"/>
          <w:kern w:val="0"/>
          <w:sz w:val="22"/>
          <w:szCs w:val="20"/>
          <w:lang w:bidi="zh-CN"/>
        </w:rPr>
        <w:t>注：本表反映部门本年度“三公”经费支出预决算情况。其中，预算数为“三公”经费年初预算数，决算数是包括当年一般公共预算财政拨款和以前年度结转资金安排的实际支出；本表金额转换成万元时，因四舍五入可能存在尾差。</w:t>
      </w:r>
      <w:r>
        <w:rPr>
          <w:rFonts w:hint="eastAsia" w:ascii="宋体" w:hAnsi="宋体" w:eastAsia="仿宋_GB2312" w:cs="宋体"/>
          <w:color w:val="000000"/>
          <w:kern w:val="0"/>
          <w:sz w:val="22"/>
          <w:szCs w:val="20"/>
          <w:lang w:bidi="zh-CN"/>
        </w:rPr>
        <w:tab/>
      </w:r>
    </w:p>
    <w:p>
      <w:pPr>
        <w:ind w:firstLine="628" w:firstLineChars="200"/>
        <w:rPr>
          <w:rFonts w:ascii="黑体" w:hAnsi="黑体" w:eastAsia="黑体" w:cs="Times New Roman"/>
          <w:sz w:val="32"/>
          <w:szCs w:val="32"/>
        </w:rPr>
      </w:pPr>
      <w:r>
        <w:rPr>
          <w:rFonts w:hint="eastAsia" w:ascii="黑体" w:hAnsi="黑体" w:eastAsia="黑体" w:cs="Times New Roman"/>
          <w:sz w:val="32"/>
          <w:szCs w:val="32"/>
        </w:rPr>
        <w:t>二、2019年度一般公共预算财政拨款“三公”经费支出情况说明</w:t>
      </w:r>
    </w:p>
    <w:p>
      <w:pPr>
        <w:ind w:firstLine="628" w:firstLineChars="200"/>
        <w:rPr>
          <w:rFonts w:ascii="仿宋_GB2312" w:hAnsi="仿宋" w:eastAsia="仿宋_GB2312" w:cs="Times New Roman"/>
          <w:b/>
          <w:sz w:val="32"/>
          <w:szCs w:val="32"/>
        </w:rPr>
      </w:pPr>
      <w:r>
        <w:rPr>
          <w:rFonts w:hint="eastAsia" w:ascii="仿宋_GB2312" w:hAnsi="黑体" w:eastAsia="仿宋_GB2312" w:cs="宋体"/>
          <w:b/>
          <w:kern w:val="0"/>
          <w:sz w:val="32"/>
          <w:szCs w:val="32"/>
        </w:rPr>
        <w:t>（一）一般公共预算财政拨款“三公”经费支出决算总体情况说明</w:t>
      </w:r>
    </w:p>
    <w:p>
      <w:pPr>
        <w:ind w:firstLine="628" w:firstLineChars="200"/>
        <w:rPr>
          <w:rFonts w:ascii="仿宋_GB2312" w:hAnsi="Times New Roman" w:eastAsia="仿宋_GB2312" w:cs="宋体"/>
          <w:sz w:val="32"/>
          <w:szCs w:val="32"/>
        </w:rPr>
      </w:pPr>
      <w:r>
        <w:rPr>
          <w:rFonts w:hint="eastAsia" w:ascii="仿宋_GB2312" w:hAnsi="Times New Roman" w:eastAsia="仿宋_GB2312" w:cs="宋体"/>
          <w:sz w:val="32"/>
          <w:szCs w:val="32"/>
        </w:rPr>
        <w:t>八公山区民政局2019年度一般公共预算财政拨款“三公”经费支出预算为0.53万元，支出决算为0.53万元，完成预算的100%，为全面反映“三公”经费支出，本次公布的“三公”经费决算为部门汇总数，包含局本级和二级机构低保中心。。</w:t>
      </w:r>
    </w:p>
    <w:p>
      <w:pPr>
        <w:ind w:firstLine="628"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（二）一般公共预算财政拨款“三公”经费支出决算具体情况说明</w:t>
      </w:r>
    </w:p>
    <w:p>
      <w:pPr>
        <w:ind w:firstLine="628" w:firstLineChars="200"/>
        <w:rPr>
          <w:rFonts w:ascii="仿宋_GB2312" w:hAnsi="Times New Roman" w:eastAsia="仿宋_GB2312" w:cs="宋体"/>
          <w:sz w:val="32"/>
          <w:szCs w:val="32"/>
        </w:rPr>
      </w:pPr>
      <w:r>
        <w:rPr>
          <w:rFonts w:hint="eastAsia" w:ascii="仿宋_GB2312" w:hAnsi="Times New Roman" w:eastAsia="仿宋_GB2312" w:cs="宋体"/>
          <w:sz w:val="32"/>
          <w:szCs w:val="32"/>
        </w:rPr>
        <w:t>八公山区民政局2019年度一般公共预算财政拨款“三公”经费支出决算中，因公出国（境）费支出决算0万元，占0%;公务接待费支出决算0.53万元，占0%；公务用车购置及运行费支出决算0万元，占0%。具体情况如下：</w:t>
      </w:r>
    </w:p>
    <w:p>
      <w:pPr>
        <w:ind w:firstLine="628" w:firstLineChars="200"/>
        <w:rPr>
          <w:rFonts w:ascii="仿宋_GB2312" w:hAnsi="Times New Roman" w:eastAsia="仿宋_GB2312" w:cs="宋体"/>
          <w:sz w:val="32"/>
          <w:szCs w:val="32"/>
        </w:rPr>
      </w:pPr>
      <w:r>
        <w:rPr>
          <w:rFonts w:hint="eastAsia" w:ascii="仿宋_GB2312" w:hAnsi="Times New Roman" w:eastAsia="仿宋_GB2312" w:cs="宋体"/>
          <w:sz w:val="32"/>
          <w:szCs w:val="32"/>
        </w:rPr>
        <w:t xml:space="preserve"> 1.因公出国（境）费支出0万元，年初预算为0万元，完成年初预算的0%，原因是2019年度未安排因公出国（境）相关预算；与2018年决算相比，增加0万元，增长0%，原因是2018年度、2019年度均未安排因公出国（境）。故2019年八公山区民政局因公出国（境）团组0次，累计出国（境）0人次。</w:t>
      </w:r>
    </w:p>
    <w:p>
      <w:pPr>
        <w:ind w:firstLine="628" w:firstLineChars="200"/>
        <w:rPr>
          <w:rFonts w:ascii="仿宋_GB2312" w:hAnsi="Times New Roman" w:eastAsia="仿宋_GB2312" w:cs="宋体"/>
          <w:sz w:val="32"/>
          <w:szCs w:val="32"/>
        </w:rPr>
      </w:pPr>
      <w:r>
        <w:rPr>
          <w:rFonts w:hint="eastAsia" w:ascii="仿宋_GB2312" w:hAnsi="Times New Roman" w:eastAsia="仿宋_GB2312" w:cs="宋体"/>
          <w:sz w:val="32"/>
          <w:szCs w:val="32"/>
        </w:rPr>
        <w:t>2.公务接待费支出0.46万元,年初预算为0.46万元，完成年初预算的100%。2019年八公山区民政局国内公务接待共55批次（其中外事接待0批次），178人次（其中外事接待0人次）。经费使用贯彻</w:t>
      </w:r>
      <w:bookmarkStart w:id="0" w:name="_GoBack"/>
      <w:bookmarkEnd w:id="0"/>
      <w:r>
        <w:rPr>
          <w:rFonts w:hint="eastAsia" w:ascii="仿宋_GB2312" w:hAnsi="Times New Roman" w:eastAsia="仿宋_GB2312" w:cs="宋体"/>
          <w:sz w:val="32"/>
          <w:szCs w:val="32"/>
        </w:rPr>
        <w:t>中央八项规定、《党政机关厉行节约反对浪费条例》、区委区政府有关具体要求，严格执行《淮南市市直机关公务接待费管理暂行办法》（淮财行政〔2014〕581号）相关规定。</w:t>
      </w:r>
    </w:p>
    <w:p>
      <w:pPr>
        <w:ind w:firstLine="628" w:firstLineChars="200"/>
        <w:rPr>
          <w:rFonts w:ascii="仿宋_GB2312" w:hAnsi="Times New Roman" w:eastAsia="仿宋_GB2312" w:cs="宋体"/>
          <w:sz w:val="32"/>
          <w:szCs w:val="32"/>
        </w:rPr>
      </w:pPr>
      <w:r>
        <w:rPr>
          <w:rFonts w:hint="eastAsia" w:ascii="仿宋_GB2312" w:hAnsi="Times New Roman" w:eastAsia="仿宋_GB2312" w:cs="宋体"/>
          <w:sz w:val="32"/>
          <w:szCs w:val="32"/>
        </w:rPr>
        <w:t>3.公务用车购置及运行费支出0万元，年初预算为0万元，完成年初预算的0%，其中公务用车购置费年初预算为0万元，完成年初预算的0%；公务用车运行维护费年初预算为0万元，完成年初预算的0%。2019年没有安排公务用车购置费，全部为公务用车运行维护费，包括车辆燃料费、维修费、过路过桥费、保险费等支出。2019年底，八公山区民政局本级机关及所属单位开支财政拨款的公务用车保有量为0辆。</w:t>
      </w:r>
    </w:p>
    <w:p>
      <w:pPr>
        <w:ind w:firstLine="628" w:firstLineChars="200"/>
        <w:rPr>
          <w:rFonts w:ascii="仿宋_GB2312" w:hAnsi="Times New Roman" w:eastAsia="仿宋_GB2312" w:cs="宋体"/>
          <w:sz w:val="32"/>
          <w:szCs w:val="32"/>
        </w:rPr>
      </w:pPr>
    </w:p>
    <w:p>
      <w:pPr>
        <w:rPr>
          <w:rFonts w:ascii="Times New Roman" w:hAnsi="Times New Roman" w:eastAsia="仿宋_GB2312" w:cs="Times New Roman"/>
          <w:sz w:val="32"/>
          <w:szCs w:val="20"/>
        </w:rPr>
      </w:pPr>
      <w:r>
        <w:rPr>
          <w:rFonts w:hint="eastAsia" w:ascii="仿宋_GB2312" w:hAnsi="Times New Roman" w:eastAsia="仿宋_GB2312" w:cs="宋体"/>
          <w:sz w:val="32"/>
          <w:szCs w:val="32"/>
        </w:rPr>
        <w:t>联系方式：八公山区民政局本级    政务公开电话：5622565</w:t>
      </w:r>
    </w:p>
    <w:p>
      <w:pPr>
        <w:ind w:firstLine="5338" w:firstLineChars="1700"/>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 xml:space="preserve">  2020年9月30日</w:t>
      </w:r>
    </w:p>
    <w:p/>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Fonts w:ascii="仿宋_GB2312"/>
        <w:sz w:val="28"/>
      </w:rPr>
    </w:pPr>
    <w:r>
      <w:rPr>
        <w:rStyle w:val="6"/>
        <w:rFonts w:hint="eastAsia" w:ascii="仿宋_GB2312"/>
        <w:sz w:val="28"/>
      </w:rPr>
      <w:t>-</w:t>
    </w:r>
    <w:r>
      <w:rPr>
        <w:rFonts w:hint="eastAsia" w:ascii="仿宋_GB2312"/>
        <w:sz w:val="28"/>
        <w:szCs w:val="28"/>
      </w:rPr>
      <w:fldChar w:fldCharType="begin"/>
    </w:r>
    <w:r>
      <w:rPr>
        <w:rStyle w:val="6"/>
        <w:rFonts w:hint="eastAsia" w:ascii="仿宋_GB2312"/>
        <w:sz w:val="28"/>
        <w:szCs w:val="28"/>
      </w:rPr>
      <w:instrText xml:space="preserve"> PAGE </w:instrText>
    </w:r>
    <w:r>
      <w:rPr>
        <w:rFonts w:hint="eastAsia" w:ascii="仿宋_GB2312"/>
        <w:sz w:val="28"/>
        <w:szCs w:val="28"/>
      </w:rPr>
      <w:fldChar w:fldCharType="separate"/>
    </w:r>
    <w:r>
      <w:rPr>
        <w:rStyle w:val="6"/>
        <w:rFonts w:ascii="仿宋_GB2312"/>
        <w:sz w:val="28"/>
        <w:szCs w:val="28"/>
      </w:rPr>
      <w:t>3</w:t>
    </w:r>
    <w:r>
      <w:rPr>
        <w:rFonts w:hint="eastAsia" w:ascii="仿宋_GB2312"/>
        <w:sz w:val="28"/>
        <w:szCs w:val="28"/>
      </w:rPr>
      <w:fldChar w:fldCharType="end"/>
    </w:r>
    <w:r>
      <w:rPr>
        <w:rStyle w:val="6"/>
        <w:rFonts w:hint="eastAsia" w:ascii="仿宋_GB2312"/>
        <w:sz w:val="28"/>
        <w:szCs w:val="28"/>
      </w:rPr>
      <w:t>-</w:t>
    </w:r>
  </w:p>
  <w:p>
    <w:pPr>
      <w:pStyle w:val="2"/>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lkYjA5MjMzOGQ2ZDI4YzA5NGE0Nzk3NzQ1OWQ2YzMifQ=="/>
  </w:docVars>
  <w:rsids>
    <w:rsidRoot w:val="008B1EEB"/>
    <w:rsid w:val="001503F2"/>
    <w:rsid w:val="008B1EEB"/>
    <w:rsid w:val="4A0F3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Pages>
  <Words>1002</Words>
  <Characters>1104</Characters>
  <Lines>8</Lines>
  <Paragraphs>2</Paragraphs>
  <TotalTime>0</TotalTime>
  <ScaleCrop>false</ScaleCrop>
  <LinksUpToDate>false</LinksUpToDate>
  <CharactersWithSpaces>1179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2021-05-21T01:09:00Z</dcterms:created>
  <dc:creator>崔爱民</dc:creator>
  <cp:lastModifiedBy>熊贰</cp:lastModifiedBy>
  <dcterms:modified xsi:type="dcterms:W3CDTF">2023-04-13T06:28:21Z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06B0076D5CCD438CAB017D537AD0AB6C_12</vt:lpwstr>
  </property>
</Properties>
</file>