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八公山区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</w:rPr>
        <w:t>国民经济和社会发展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</w:rPr>
        <w:t>统计公报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</w:rPr>
        <w:t>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全区上下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坚持以习近平新时代中国特色社会主义思想为指导，认真贯彻党的二十大精神，统筹疫情防控和经济社会发展，坚持稳中求进工作总基调，完整、准确、全面贯彻新发展理念，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全区经济保持增长，发展质量稳步提升，创新驱动深入推进，经济社会大局保持稳定。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一、经济发展稳中有进。《统计公报》显示，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初步核算，全年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生产总值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39.9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亿元，按可比价格计算，比上年增长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%。其中，第一产业增加值0.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%；第二产业增加值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12.9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增长1.6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%；第三产业增加值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26.1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%。三次产业结构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调整为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2.3:32.4:65.3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二、 农业生产总体平稳。《统计公报》显示，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全年全区粮食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面积1.85万亩，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比上年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增长0.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%。蔬菜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面积1.2万亩，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比上年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增长2.9%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园林水果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面积3660亩，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比上年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增长2.5%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全年粮食总产量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6355.1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，比上年增长0.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蔬菜产量2.98万吨，增产3.7%。园林水果产量3458.5吨，增产2.8%。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肉类总产量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1770吨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，比上年增长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9.9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禽蛋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3275吨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，比上年增长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水产品产量982吨，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上年增长2.4%。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三、 工业生产小幅增长。《统计公报》显示，全年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全区规模以上工业增加值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增长1.3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。规模以上工业企业主营业务收入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18.3亿元，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下降15.3%；利润总额-0.5亿元，下降157.4%；营业收入利润率-2.8%，下降7.1个百分点。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 固定资产投资稳定增长。《统计公报》显示，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全年固定资产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（不含农户）比上年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增长6.6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其中，工业投资增长17.1%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技改投资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24.7%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民间投资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0.4%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基础设施投资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五、 消费市场持续活跃。《统计公报》显示，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全区社会消费品零售总额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19.9亿元，比上年增长4.7%。按消费类型统计，批发行业销售额增长16.8%；零售业销售额下降2%；住宿业营业额增长5.9%；餐饮业营业额增长3.2%。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限额以上消费品零售额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4.6亿元，比上年增长9.9%。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六、财政运行保持稳定。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全区一般公共预算收入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2.7亿元，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比上年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增长9.8%。全年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一般公共预算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支出5.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比上年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增长9.6%。重点支出项目中，教育支出增长8%；社会保障和就业支出增长39%；节能环保支出增长36%；城乡社区支出增长3%；农林水支出增长10%；文化旅游体育与传媒支出增长12%；灾害防治及应急管理支出增长68%。全年民生类支出4.64亿元，增长9.4%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七、 民生事业稳步发展。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居民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收入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差距缩小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《统计公报》显示，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全区居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民人均可支配收入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40900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元，比上年增长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5.4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城镇居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民人均可支配收入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167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元，增长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5.3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%；农村居民人均可支配收入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21265元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，增长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6.6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，城乡收入差距进一步缩小。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就业服务有力有效。《统计公报》显示，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全年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全区新增就业人员3124人，城镇失业人员再就业1926人,城镇登记失业率控制在4.5%以下。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社会保障能力提升。《统计公报》显示，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年末全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参加城乡居民养老保险人数2.1万人，参加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城乡居民基本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医疗保险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人数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6.6万人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1906人享受城市居民最低生活保障，420人享受农村居民最低生活保障。特困人员供养累计保障1119人次。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教育事业有序发展。《统计公报》显示，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年末区属义务教育中小学学校13所（不含3所市属中学），其中初级中学2所，城市九年一贯制学校1所，小学10所。普通中学在校学生715人，小学4543人。小学学龄儿童入学率和初中阶段适龄人口入学率分别为100%和99.5%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研发创新不断增强。《统计公报》显示，年末全区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发明专利有效数45件，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每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 w:bidi="ar-SA"/>
        </w:rPr>
        <w:t>万人发明专利拥有量3.81件，比上年增长18.7%。6户企业入库安徽省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bidi="ar"/>
        </w:rPr>
        <w:t>科技型中小企业名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 w:bidi="ar-SA"/>
        </w:rPr>
        <w:t>单，东华欧科获评2022年度绿色工厂、省级企业技术中心。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文化事业健康发展。《统计公报》显示，年末全区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文化馆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eastAsia="zh-CN"/>
        </w:rPr>
        <w:t>（图书馆）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1个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文化站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个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公共电子阅览室3个，农家书屋21个，社区书屋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个，美好乡村文化广场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个，文化信息共享工程村级服务点21个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/>
        </w:rPr>
        <w:t>村级综合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文化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eastAsia="zh-CN"/>
        </w:rPr>
        <w:t>服务中心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/>
        </w:rPr>
        <w:t>42个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医疗条件继续改善。《统计公报》显示，年末全区拥有各类卫生机构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个，其中二级医院2个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。卫生技术人员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人，其中执业（助理）医师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/>
        </w:rPr>
        <w:t>290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人，注册护士3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3人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医疗卫生机构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eastAsia="zh-CN"/>
        </w:rPr>
        <w:t>总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床位5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8张，其中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eastAsia="zh-CN"/>
        </w:rPr>
        <w:t>二级以上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医院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eastAsia="zh-CN"/>
        </w:rPr>
        <w:t>床位数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/>
        </w:rPr>
        <w:t>480张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、卫生院床位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eastAsia="zh-CN"/>
        </w:rPr>
        <w:t>数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1"/>
          <w:sz w:val="32"/>
          <w:szCs w:val="32"/>
          <w:highlight w:val="none"/>
        </w:rPr>
        <w:t>8张。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空气质量进一步提高。《统计公报》显示，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全区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PM2.5年均浓度为40.216微克/立方米，比上年下降5.1%；PM10年均浓度为59.22微克/立方米，比上年下降1.6%；优良天数比率为80.4%，比上年上升6个百分点。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8E8E4"/>
    <w:multiLevelType w:val="singleLevel"/>
    <w:tmpl w:val="AB58E8E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TlkMjZjMGJlZjVmODNkMTY5ZWY1ZTA4Njk5YTIifQ=="/>
  </w:docVars>
  <w:rsids>
    <w:rsidRoot w:val="07AA4D59"/>
    <w:rsid w:val="017971C9"/>
    <w:rsid w:val="02BB214E"/>
    <w:rsid w:val="02D758FD"/>
    <w:rsid w:val="049E46C9"/>
    <w:rsid w:val="06B10EED"/>
    <w:rsid w:val="0721324E"/>
    <w:rsid w:val="07AA4D59"/>
    <w:rsid w:val="088B4837"/>
    <w:rsid w:val="09894489"/>
    <w:rsid w:val="0B520663"/>
    <w:rsid w:val="0B7008A8"/>
    <w:rsid w:val="0D00004D"/>
    <w:rsid w:val="12F861B9"/>
    <w:rsid w:val="15147AEC"/>
    <w:rsid w:val="154046AE"/>
    <w:rsid w:val="15DE094C"/>
    <w:rsid w:val="181B0BD3"/>
    <w:rsid w:val="18286790"/>
    <w:rsid w:val="19243969"/>
    <w:rsid w:val="1A8D0BDE"/>
    <w:rsid w:val="1E471936"/>
    <w:rsid w:val="20EC3ACA"/>
    <w:rsid w:val="21BE7461"/>
    <w:rsid w:val="227162A6"/>
    <w:rsid w:val="22854115"/>
    <w:rsid w:val="228E33F8"/>
    <w:rsid w:val="2356124A"/>
    <w:rsid w:val="255870C9"/>
    <w:rsid w:val="25BD49ED"/>
    <w:rsid w:val="274859C2"/>
    <w:rsid w:val="27C505AB"/>
    <w:rsid w:val="2A0C52AE"/>
    <w:rsid w:val="2A5D22F3"/>
    <w:rsid w:val="2AD71DA7"/>
    <w:rsid w:val="2ADE7B6E"/>
    <w:rsid w:val="2BD97176"/>
    <w:rsid w:val="2D7D696F"/>
    <w:rsid w:val="3324115E"/>
    <w:rsid w:val="34E77B0C"/>
    <w:rsid w:val="36133CD7"/>
    <w:rsid w:val="361C7207"/>
    <w:rsid w:val="37F0613A"/>
    <w:rsid w:val="396C0E37"/>
    <w:rsid w:val="397D3EE4"/>
    <w:rsid w:val="3B69753C"/>
    <w:rsid w:val="3DEA0F63"/>
    <w:rsid w:val="3EA6174E"/>
    <w:rsid w:val="41052F82"/>
    <w:rsid w:val="44277A41"/>
    <w:rsid w:val="454964D0"/>
    <w:rsid w:val="45923C3C"/>
    <w:rsid w:val="48C043DC"/>
    <w:rsid w:val="49537ECE"/>
    <w:rsid w:val="49C05CC1"/>
    <w:rsid w:val="4AFE2B8B"/>
    <w:rsid w:val="4BFE0AB3"/>
    <w:rsid w:val="4C874308"/>
    <w:rsid w:val="4D83222C"/>
    <w:rsid w:val="4F32539B"/>
    <w:rsid w:val="4F4835AA"/>
    <w:rsid w:val="508D3B29"/>
    <w:rsid w:val="51884414"/>
    <w:rsid w:val="51A2532B"/>
    <w:rsid w:val="52AE7F17"/>
    <w:rsid w:val="52C9712D"/>
    <w:rsid w:val="551C333C"/>
    <w:rsid w:val="55DF0E82"/>
    <w:rsid w:val="589E1C68"/>
    <w:rsid w:val="5999544A"/>
    <w:rsid w:val="5B851D6E"/>
    <w:rsid w:val="5C5E7BF0"/>
    <w:rsid w:val="5D5A52DA"/>
    <w:rsid w:val="5D873027"/>
    <w:rsid w:val="5E565FCA"/>
    <w:rsid w:val="631F1DFE"/>
    <w:rsid w:val="63A55B70"/>
    <w:rsid w:val="65917739"/>
    <w:rsid w:val="66793587"/>
    <w:rsid w:val="67834704"/>
    <w:rsid w:val="69F376C9"/>
    <w:rsid w:val="6D301846"/>
    <w:rsid w:val="70BC506F"/>
    <w:rsid w:val="78D3594E"/>
    <w:rsid w:val="7A1A5255"/>
    <w:rsid w:val="7ACB29E4"/>
    <w:rsid w:val="7E1272CD"/>
    <w:rsid w:val="7ECA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eastAsia="方正仿宋_GBK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引文目录标题1"/>
    <w:basedOn w:val="1"/>
    <w:next w:val="1"/>
    <w:qFormat/>
    <w:uiPriority w:val="0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1628</Words>
  <Characters>1942</Characters>
  <Lines>0</Lines>
  <Paragraphs>0</Paragraphs>
  <TotalTime>0</TotalTime>
  <ScaleCrop>false</ScaleCrop>
  <LinksUpToDate>false</LinksUpToDate>
  <CharactersWithSpaces>1947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2021-10-18T00:43:00Z</dcterms:created>
  <dc:creator>没遮拦</dc:creator>
  <cp:lastModifiedBy>没遮拦</cp:lastModifiedBy>
  <dcterms:modified xsi:type="dcterms:W3CDTF">2023-04-06T02:31:03Z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8D5BF3C5202946479085718E5113C255</vt:lpwstr>
  </property>
</Properties>
</file>