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0"/>
          <w:sz w:val="44"/>
          <w:szCs w:val="44"/>
          <w:lang w:bidi="ar"/>
        </w:rPr>
      </w:pPr>
      <w:bookmarkStart w:id="0" w:name="_GoBack"/>
      <w:bookmarkEnd w:id="0"/>
      <w:r>
        <w:rPr>
          <w:rFonts w:hint="eastAsia" w:ascii="方正小标宋_GBK" w:hAnsi="方正小标宋_GBK" w:eastAsia="方正小标宋_GBK" w:cs="方正小标宋_GBK"/>
          <w:kern w:val="0"/>
          <w:sz w:val="44"/>
          <w:szCs w:val="44"/>
          <w:lang w:bidi="ar"/>
        </w:rPr>
        <w:t>八公山区民政局2022年政府信息公开工作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年度报告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pPr>
    </w:p>
    <w:p>
      <w:pPr>
        <w:pStyle w:val="5"/>
        <w:widowControl/>
        <w:spacing w:line="560" w:lineRule="exact"/>
        <w:ind w:firstLine="640" w:firstLineChars="200"/>
        <w:rPr>
          <w:rFonts w:hint="default" w:ascii="仿宋_GB2312" w:hAnsi="仿宋_GB2312" w:eastAsia="仿宋_GB2312" w:cs="仿宋_GB2312"/>
          <w:color w:val="000000"/>
          <w:sz w:val="32"/>
          <w:szCs w:val="32"/>
        </w:rPr>
      </w:pPr>
      <w:r>
        <w:rPr>
          <w:rFonts w:hint="eastAsia" w:ascii="Times New Roman" w:hAnsi="Times New Roman" w:eastAsia="方正仿宋_GBK" w:cs="Times New Roman"/>
          <w:kern w:val="2"/>
          <w:sz w:val="32"/>
          <w:szCs w:val="32"/>
          <w:lang w:val="en-US" w:eastAsia="zh-CN" w:bidi="ar-SA"/>
        </w:rPr>
        <w:t>本报告依据《中华人民共和国政府信息公开条例》（国务院令第711号，以下简称《条例》）、《国务院办公厅政府信息与政务公开办公室关于印发〈中华人民共和国政府信息公开工作年度报告格式〉的通知》（国办公开办函〔2021〕30号）及《安徽省政务公开办公室关于做好2022年度政府信息公开工作年度报告编制和数据报送工作的通知》（皖政务办秘〔2023〕1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2022年1月1日至12月31日。报告的电子版可在淮南市八公山区政府信息公开网“政府信息公开年报”栏目中下载（http://www.bagongshan.gov.cn）。如对本报告有任何疑问，请与淮南市八公山区民政局办公室联系（地址：淮南市八公山区民政局办公楼305房间，电话：0554-2385275，邮编：232072）。</w:t>
      </w:r>
    </w:p>
    <w:p>
      <w:pPr>
        <w:autoSpaceDE/>
        <w:autoSpaceDN/>
        <w:spacing w:line="590" w:lineRule="exact"/>
        <w:ind w:firstLine="640" w:firstLineChars="200"/>
        <w:jc w:val="both"/>
        <w:rPr>
          <w:rFonts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eastAsia="zh-CN"/>
        </w:rPr>
        <w:t>一、总体情况</w:t>
      </w:r>
    </w:p>
    <w:p>
      <w:pPr>
        <w:pStyle w:val="6"/>
        <w:widowControl/>
        <w:shd w:val="clear" w:color="auto" w:fill="FFFFFF"/>
        <w:autoSpaceDE/>
        <w:autoSpaceDN/>
        <w:spacing w:beforeAutospacing="0" w:afterAutospacing="0" w:line="590" w:lineRule="exact"/>
        <w:ind w:firstLine="640" w:firstLineChars="200"/>
        <w:jc w:val="both"/>
        <w:rPr>
          <w:rFonts w:hint="eastAsia" w:ascii="Times New Roman" w:hAnsi="Times New Roman" w:eastAsia="方正仿宋_GBK"/>
          <w:kern w:val="2"/>
          <w:sz w:val="32"/>
          <w:szCs w:val="32"/>
        </w:rPr>
      </w:pPr>
      <w:r>
        <w:rPr>
          <w:rFonts w:hint="eastAsia" w:ascii="Times New Roman" w:hAnsi="Times New Roman" w:eastAsia="方正仿宋_GBK"/>
          <w:kern w:val="2"/>
          <w:sz w:val="32"/>
          <w:szCs w:val="32"/>
        </w:rPr>
        <w:t>2022年，我局认真贯彻落实</w:t>
      </w:r>
      <w:r>
        <w:rPr>
          <w:rFonts w:hint="eastAsia" w:eastAsia="方正仿宋_GBK"/>
          <w:kern w:val="2"/>
          <w:sz w:val="32"/>
          <w:szCs w:val="32"/>
        </w:rPr>
        <w:t>《中华人民共和国政府信息公开条例》</w:t>
      </w:r>
      <w:r>
        <w:rPr>
          <w:rFonts w:hint="eastAsia" w:eastAsia="方正仿宋_GBK"/>
          <w:kern w:val="2"/>
          <w:sz w:val="32"/>
          <w:szCs w:val="32"/>
          <w:lang w:eastAsia="zh-CN"/>
        </w:rPr>
        <w:t>、</w:t>
      </w:r>
      <w:r>
        <w:rPr>
          <w:rFonts w:hint="eastAsia" w:ascii="Times New Roman" w:hAnsi="Times New Roman" w:eastAsia="方正仿宋_GBK"/>
          <w:kern w:val="2"/>
          <w:sz w:val="32"/>
          <w:szCs w:val="32"/>
        </w:rPr>
        <w:t>《淮南市人民政府办公室2022年政务公开重点工作任务分工》</w:t>
      </w:r>
      <w:r>
        <w:rPr>
          <w:rFonts w:hint="eastAsia" w:ascii="Times New Roman" w:hAnsi="Times New Roman" w:eastAsia="方正仿宋_GBK"/>
          <w:kern w:val="2"/>
          <w:sz w:val="32"/>
          <w:szCs w:val="32"/>
          <w:lang w:val="en-US" w:eastAsia="zh-CN"/>
        </w:rPr>
        <w:t>及</w:t>
      </w:r>
      <w:r>
        <w:rPr>
          <w:rFonts w:hint="eastAsia" w:ascii="Times New Roman" w:hAnsi="Times New Roman" w:eastAsia="方正仿宋_GBK"/>
          <w:kern w:val="2"/>
          <w:sz w:val="32"/>
          <w:szCs w:val="32"/>
        </w:rPr>
        <w:t>《八公山区人民政府办公室2022年政务公开重点工作任务分工》深化公开内容，优化公开形式，强化公开实效，稳步推进政府信息公开工作，最大限度保障公众知情权、参与权和监督权。</w:t>
      </w:r>
    </w:p>
    <w:p>
      <w:pPr>
        <w:spacing w:line="560" w:lineRule="exact"/>
        <w:ind w:firstLine="640" w:firstLineChars="200"/>
        <w:rPr>
          <w:rFonts w:ascii="方正楷体_GBK" w:hAnsi="方正楷体_GBK" w:eastAsia="方正楷体_GBK" w:cs="方正楷体_GBK"/>
          <w:kern w:val="2"/>
          <w:sz w:val="32"/>
          <w:szCs w:val="32"/>
          <w:lang w:eastAsia="zh-CN"/>
        </w:rPr>
      </w:pPr>
      <w:r>
        <w:rPr>
          <w:rFonts w:hint="eastAsia" w:ascii="方正楷体_GBK" w:hAnsi="方正楷体_GBK" w:eastAsia="方正楷体_GBK" w:cs="方正楷体_GBK"/>
          <w:kern w:val="2"/>
          <w:sz w:val="32"/>
          <w:szCs w:val="32"/>
          <w:lang w:eastAsia="zh-CN"/>
        </w:rPr>
        <w:t>（一）主动公开</w:t>
      </w:r>
    </w:p>
    <w:p>
      <w:pPr>
        <w:spacing w:line="560" w:lineRule="exact"/>
        <w:ind w:firstLine="640" w:firstLineChars="200"/>
        <w:rPr>
          <w:rFonts w:ascii="仿宋_GB2312" w:hAnsi="仿宋_GB2312" w:eastAsia="仿宋_GB2312" w:cs="仿宋_GB2312"/>
          <w:sz w:val="32"/>
          <w:szCs w:val="32"/>
          <w:lang w:eastAsia="zh-CN"/>
        </w:rPr>
      </w:pPr>
      <w:r>
        <w:rPr>
          <w:rFonts w:hint="eastAsia" w:ascii="Times New Roman" w:hAnsi="Times New Roman" w:eastAsia="方正仿宋_GBK" w:cs="Times New Roman"/>
          <w:kern w:val="2"/>
          <w:sz w:val="32"/>
          <w:szCs w:val="32"/>
          <w:lang w:eastAsia="zh-CN"/>
        </w:rPr>
        <w:t>信息公开情况。</w:t>
      </w:r>
      <w:r>
        <w:rPr>
          <w:rFonts w:hint="eastAsia" w:ascii="Times New Roman" w:hAnsi="Times New Roman" w:eastAsia="方正仿宋_GBK" w:cs="Times New Roman"/>
          <w:kern w:val="2"/>
          <w:sz w:val="32"/>
          <w:szCs w:val="32"/>
          <w:lang w:val="en-US" w:eastAsia="zh-CN" w:bidi="ar-SA"/>
        </w:rPr>
        <w:t>根据《淮南市人民政府办公室关于印发全市基层政务公开提升行动实施方案的通知》要求及《八公山区基层政务公开提升行动实施方案》结合我局实际情况开展提升行动。2022年年底，区民政局对重点工作任务完成情况开展评估，形成评估报告，反馈存在的问题，及时做好整改、提升工作。建立“城乡居民最低生活保障补助资金管理和使用情况”，“社会救助和社会福利”专题栏目，主动</w:t>
      </w:r>
      <w:r>
        <w:rPr>
          <w:rFonts w:hint="eastAsia" w:ascii="Times New Roman" w:hAnsi="Times New Roman" w:eastAsia="方正仿宋_GBK" w:cs="Times New Roman"/>
          <w:kern w:val="2"/>
          <w:sz w:val="32"/>
          <w:szCs w:val="32"/>
          <w:lang w:eastAsia="zh-CN"/>
        </w:rPr>
        <w:t>公开信息数量达</w:t>
      </w:r>
      <w:r>
        <w:rPr>
          <w:rFonts w:hint="eastAsia" w:ascii="Times New Roman" w:hAnsi="Times New Roman" w:eastAsia="方正仿宋_GBK" w:cs="Times New Roman"/>
          <w:kern w:val="2"/>
          <w:sz w:val="32"/>
          <w:szCs w:val="32"/>
          <w:lang w:val="en-US" w:eastAsia="zh-CN"/>
        </w:rPr>
        <w:t>178</w:t>
      </w:r>
      <w:r>
        <w:rPr>
          <w:rFonts w:hint="eastAsia" w:ascii="Times New Roman" w:hAnsi="Times New Roman" w:eastAsia="方正仿宋_GBK" w:cs="Times New Roman"/>
          <w:kern w:val="2"/>
          <w:sz w:val="32"/>
          <w:szCs w:val="32"/>
          <w:lang w:eastAsia="zh-CN"/>
        </w:rPr>
        <w:t>条，其中包括民政相关工作救助情况，部门预算、部门决算、“三公经费情况”，对于城乡低保、五保、孤儿残疾等按照每月或每季度及时进行公示，上级政策解读3条，本级政策解读3条。</w:t>
      </w:r>
    </w:p>
    <w:p>
      <w:pPr>
        <w:spacing w:line="560" w:lineRule="exact"/>
        <w:ind w:firstLine="640" w:firstLineChars="200"/>
        <w:rPr>
          <w:rFonts w:ascii="方正楷体_GBK" w:hAnsi="方正楷体_GBK" w:eastAsia="方正楷体_GBK" w:cs="方正楷体_GBK"/>
          <w:kern w:val="2"/>
          <w:sz w:val="32"/>
          <w:szCs w:val="32"/>
          <w:lang w:eastAsia="zh-CN"/>
        </w:rPr>
      </w:pPr>
      <w:r>
        <w:rPr>
          <w:rFonts w:hint="eastAsia" w:ascii="方正楷体_GBK" w:hAnsi="方正楷体_GBK" w:eastAsia="方正楷体_GBK" w:cs="方正楷体_GBK"/>
          <w:kern w:val="2"/>
          <w:sz w:val="32"/>
          <w:szCs w:val="32"/>
          <w:lang w:eastAsia="zh-CN"/>
        </w:rPr>
        <w:t>（二）依申请公开</w:t>
      </w:r>
    </w:p>
    <w:p>
      <w:pPr>
        <w:spacing w:line="560" w:lineRule="exact"/>
        <w:ind w:firstLine="640" w:firstLineChars="200"/>
        <w:rPr>
          <w:rFonts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2022年</w:t>
      </w:r>
      <w:r>
        <w:rPr>
          <w:rFonts w:hint="eastAsia" w:ascii="Times New Roman" w:hAnsi="Times New Roman" w:eastAsia="方正仿宋_GBK" w:cs="Times New Roman"/>
          <w:kern w:val="2"/>
          <w:sz w:val="32"/>
          <w:szCs w:val="32"/>
          <w:lang w:val="en-US" w:eastAsia="zh-CN"/>
        </w:rPr>
        <w:t>度</w:t>
      </w:r>
      <w:r>
        <w:rPr>
          <w:rFonts w:hint="eastAsia"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我单位</w:t>
      </w:r>
      <w:r>
        <w:rPr>
          <w:rFonts w:hint="eastAsia" w:ascii="Times New Roman" w:hAnsi="Times New Roman" w:eastAsia="方正仿宋_GBK" w:cs="Times New Roman"/>
          <w:kern w:val="2"/>
          <w:sz w:val="32"/>
          <w:szCs w:val="32"/>
          <w:lang w:eastAsia="zh-CN"/>
        </w:rPr>
        <w:t>收到政府信息依申请公开0件，予以公开0件，部分公开0件，不予公开0件，无法提供0件，不予处理0件，其他处理0件，总计按时办结0件，结转下一年办理0件。</w:t>
      </w:r>
    </w:p>
    <w:p>
      <w:pPr>
        <w:spacing w:line="560" w:lineRule="exact"/>
        <w:ind w:firstLine="640" w:firstLineChars="200"/>
        <w:rPr>
          <w:rFonts w:ascii="方正楷体_GBK" w:hAnsi="方正楷体_GBK" w:eastAsia="方正楷体_GBK" w:cs="方正楷体_GBK"/>
          <w:kern w:val="2"/>
          <w:sz w:val="32"/>
          <w:szCs w:val="32"/>
          <w:lang w:eastAsia="zh-CN"/>
        </w:rPr>
      </w:pPr>
      <w:r>
        <w:rPr>
          <w:rFonts w:hint="eastAsia" w:ascii="方正楷体_GBK" w:hAnsi="方正楷体_GBK" w:eastAsia="方正楷体_GBK" w:cs="方正楷体_GBK"/>
          <w:kern w:val="2"/>
          <w:sz w:val="32"/>
          <w:szCs w:val="32"/>
          <w:lang w:eastAsia="zh-CN"/>
        </w:rPr>
        <w:t>（三）政府信息公开</w:t>
      </w:r>
    </w:p>
    <w:p>
      <w:pPr>
        <w:spacing w:line="560" w:lineRule="exact"/>
        <w:ind w:firstLine="640" w:firstLineChars="200"/>
        <w:rPr>
          <w:rFonts w:ascii="仿宋_GB2312" w:hAnsi="仿宋_GB2312" w:eastAsia="仿宋_GB2312" w:cs="仿宋_GB2312"/>
          <w:sz w:val="32"/>
          <w:szCs w:val="32"/>
          <w:lang w:eastAsia="zh-CN"/>
        </w:rPr>
      </w:pPr>
      <w:r>
        <w:rPr>
          <w:rFonts w:hint="eastAsia" w:eastAsia="方正仿宋_GBK"/>
          <w:kern w:val="2"/>
          <w:sz w:val="32"/>
          <w:szCs w:val="32"/>
        </w:rPr>
        <w:t>一是严格落实保密审查机制，遵守国家秘密法、信息公开条例以及其他法律法规和国家有关规定，确保公开信息依法、及时、全面、准确和合理。</w:t>
      </w:r>
      <w:r>
        <w:rPr>
          <w:rFonts w:hint="eastAsia" w:eastAsia="方正仿宋_GBK"/>
          <w:kern w:val="2"/>
          <w:sz w:val="32"/>
          <w:szCs w:val="32"/>
          <w:lang w:val="en-US" w:eastAsia="zh-CN"/>
        </w:rPr>
        <w:t>二</w:t>
      </w:r>
      <w:r>
        <w:rPr>
          <w:rFonts w:hint="eastAsia" w:ascii="Times New Roman" w:hAnsi="Times New Roman" w:eastAsia="方正仿宋_GBK" w:cs="Times New Roman"/>
          <w:kern w:val="2"/>
          <w:sz w:val="32"/>
          <w:szCs w:val="32"/>
          <w:lang w:eastAsia="zh-CN"/>
        </w:rPr>
        <w:t>是继续扩大政府信息公开范围，规范发布政府部门信息；</w:t>
      </w:r>
      <w:r>
        <w:rPr>
          <w:rFonts w:hint="eastAsia" w:ascii="Times New Roman" w:hAnsi="Times New Roman" w:eastAsia="方正仿宋_GBK" w:cs="Times New Roman"/>
          <w:kern w:val="2"/>
          <w:sz w:val="32"/>
          <w:szCs w:val="32"/>
          <w:lang w:val="en-US" w:eastAsia="zh-CN"/>
        </w:rPr>
        <w:t>三</w:t>
      </w:r>
      <w:r>
        <w:rPr>
          <w:rFonts w:hint="eastAsia" w:ascii="Times New Roman" w:hAnsi="Times New Roman" w:eastAsia="方正仿宋_GBK" w:cs="Times New Roman"/>
          <w:kern w:val="2"/>
          <w:sz w:val="32"/>
          <w:szCs w:val="32"/>
          <w:lang w:eastAsia="zh-CN"/>
        </w:rPr>
        <w:t>是及时进行政府信息舆情回应，保证公开及时；</w:t>
      </w:r>
      <w:r>
        <w:rPr>
          <w:rFonts w:hint="eastAsia" w:ascii="Times New Roman" w:hAnsi="Times New Roman" w:eastAsia="方正仿宋_GBK" w:cs="Times New Roman"/>
          <w:kern w:val="2"/>
          <w:sz w:val="32"/>
          <w:szCs w:val="32"/>
          <w:lang w:val="en-US" w:eastAsia="zh-CN"/>
        </w:rPr>
        <w:t>四</w:t>
      </w:r>
      <w:r>
        <w:rPr>
          <w:rFonts w:hint="eastAsia" w:ascii="Times New Roman" w:hAnsi="Times New Roman" w:eastAsia="方正仿宋_GBK" w:cs="Times New Roman"/>
          <w:kern w:val="2"/>
          <w:sz w:val="32"/>
          <w:szCs w:val="32"/>
          <w:lang w:eastAsia="zh-CN"/>
        </w:rPr>
        <w:t>是继续扩大养老服务、社会救助等领域信息公开。</w:t>
      </w:r>
    </w:p>
    <w:p>
      <w:pPr>
        <w:spacing w:line="560" w:lineRule="exact"/>
        <w:ind w:firstLine="640" w:firstLineChars="200"/>
        <w:rPr>
          <w:rFonts w:ascii="方正楷体_GBK" w:hAnsi="方正楷体_GBK" w:eastAsia="方正楷体_GBK" w:cs="方正楷体_GBK"/>
          <w:kern w:val="2"/>
          <w:sz w:val="32"/>
          <w:szCs w:val="32"/>
          <w:lang w:eastAsia="zh-CN"/>
        </w:rPr>
      </w:pPr>
      <w:r>
        <w:rPr>
          <w:rFonts w:hint="eastAsia" w:ascii="方正楷体_GBK" w:hAnsi="方正楷体_GBK" w:eastAsia="方正楷体_GBK" w:cs="方正楷体_GBK"/>
          <w:kern w:val="2"/>
          <w:sz w:val="32"/>
          <w:szCs w:val="32"/>
          <w:lang w:eastAsia="zh-CN"/>
        </w:rPr>
        <w:t>（四）政府信息公开平台建设</w:t>
      </w:r>
    </w:p>
    <w:p>
      <w:pPr>
        <w:spacing w:line="560" w:lineRule="exact"/>
        <w:ind w:firstLine="640" w:firstLineChars="200"/>
        <w:rPr>
          <w:rFonts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及时调整政务公开目录。按照区政务公开要求，对照《县（市、区）部门政府信息主动公开目录规范》内容，及时升级信息平台功能，调整公开目录，优化展现方式，丰富公开内容。</w:t>
      </w:r>
    </w:p>
    <w:p>
      <w:pPr>
        <w:autoSpaceDE/>
        <w:autoSpaceDN/>
        <w:spacing w:line="590" w:lineRule="exact"/>
        <w:ind w:firstLine="640" w:firstLineChars="200"/>
        <w:jc w:val="both"/>
        <w:rPr>
          <w:rFonts w:ascii="方正楷体_GBK" w:hAnsi="方正楷体_GBK" w:eastAsia="方正楷体_GBK" w:cs="方正楷体_GBK"/>
          <w:kern w:val="2"/>
          <w:sz w:val="32"/>
          <w:szCs w:val="32"/>
          <w:lang w:eastAsia="zh-CN"/>
        </w:rPr>
      </w:pPr>
      <w:r>
        <w:rPr>
          <w:rFonts w:hint="eastAsia" w:ascii="方正楷体_GBK" w:hAnsi="方正楷体_GBK" w:eastAsia="方正楷体_GBK" w:cs="方正楷体_GBK"/>
          <w:kern w:val="2"/>
          <w:sz w:val="32"/>
          <w:szCs w:val="32"/>
          <w:lang w:eastAsia="zh-CN"/>
        </w:rPr>
        <w:t>（五）监督保障</w:t>
      </w:r>
    </w:p>
    <w:p>
      <w:pPr>
        <w:spacing w:line="560" w:lineRule="exact"/>
        <w:ind w:firstLine="640" w:firstLineChars="200"/>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bidi="ar-SA"/>
        </w:rPr>
        <w:t>一是坚持政务公开工作自查。及时对每月发布的报表中存在的隐私泄露及敏感词汇进行处理。二是完善社会评议制度。</w:t>
      </w:r>
      <w:r>
        <w:rPr>
          <w:rFonts w:hint="eastAsia" w:ascii="Times New Roman" w:hAnsi="Times New Roman" w:eastAsia="方正仿宋_GBK" w:cs="Times New Roman"/>
          <w:kern w:val="2"/>
          <w:sz w:val="32"/>
          <w:szCs w:val="32"/>
          <w:lang w:eastAsia="zh-CN"/>
        </w:rPr>
        <w:t>建立健全政务公开主动公开、责任追究、社会评议、投诉举报、舆情回应、保密审查等多种制度。</w:t>
      </w:r>
      <w:r>
        <w:rPr>
          <w:rFonts w:hint="eastAsia" w:ascii="Times New Roman" w:hAnsi="Times New Roman" w:eastAsia="方正仿宋_GBK" w:cs="Times New Roman"/>
          <w:kern w:val="2"/>
          <w:sz w:val="32"/>
          <w:szCs w:val="32"/>
          <w:lang w:val="en-US" w:eastAsia="zh-CN"/>
        </w:rPr>
        <w:t>三</w:t>
      </w:r>
      <w:r>
        <w:rPr>
          <w:rFonts w:hint="eastAsia" w:ascii="Times New Roman" w:hAnsi="Times New Roman" w:eastAsia="方正仿宋_GBK" w:cs="Times New Roman"/>
          <w:kern w:val="2"/>
          <w:sz w:val="32"/>
          <w:szCs w:val="32"/>
          <w:lang w:eastAsia="zh-CN"/>
        </w:rPr>
        <w:t>是责任追究结果情况。对于政务公开考核出现的问题责任到人，</w:t>
      </w:r>
      <w:r>
        <w:rPr>
          <w:rFonts w:hint="default" w:ascii="Times New Roman" w:hAnsi="Times New Roman" w:eastAsia="方正仿宋_GBK" w:cs="Times New Roman"/>
          <w:kern w:val="2"/>
          <w:sz w:val="32"/>
          <w:szCs w:val="32"/>
          <w:lang w:val="en-US" w:eastAsia="zh-CN"/>
        </w:rPr>
        <w:t>2022</w:t>
      </w:r>
      <w:r>
        <w:rPr>
          <w:rFonts w:hint="eastAsia" w:ascii="Times New Roman" w:hAnsi="Times New Roman" w:eastAsia="方正仿宋_GBK" w:cs="Times New Roman"/>
          <w:kern w:val="2"/>
          <w:sz w:val="32"/>
          <w:szCs w:val="32"/>
          <w:lang w:val="en-US" w:eastAsia="zh-CN"/>
        </w:rPr>
        <w:t>年，未发生因不履行政务公开义务而发生的责任追究情况。四</w:t>
      </w:r>
      <w:r>
        <w:rPr>
          <w:rFonts w:hint="eastAsia" w:ascii="Times New Roman" w:hAnsi="Times New Roman" w:eastAsia="方正仿宋_GBK" w:cs="Times New Roman"/>
          <w:kern w:val="2"/>
          <w:sz w:val="32"/>
          <w:szCs w:val="32"/>
          <w:lang w:eastAsia="zh-CN"/>
        </w:rPr>
        <w:t>是多渠道监督。坚持内部监督和社会监督相结合体系，对外公布投诉举报电话，推进人民群众监督和舆论监督，及时反馈群众呼声，</w:t>
      </w:r>
      <w:r>
        <w:rPr>
          <w:rFonts w:hint="eastAsia" w:ascii="Times New Roman" w:hAnsi="Times New Roman" w:eastAsia="方正仿宋_GBK" w:cs="Times New Roman"/>
          <w:kern w:val="2"/>
          <w:sz w:val="32"/>
          <w:szCs w:val="32"/>
          <w:lang w:val="en-US" w:eastAsia="zh-CN"/>
        </w:rPr>
        <w:t>调查群众满意度。五是参加政府工作系统培训。</w:t>
      </w:r>
    </w:p>
    <w:p>
      <w:pPr>
        <w:pStyle w:val="6"/>
        <w:widowControl/>
        <w:shd w:val="clear" w:color="auto" w:fill="FFFFFF"/>
        <w:autoSpaceDE/>
        <w:autoSpaceDN/>
        <w:spacing w:beforeAutospacing="0" w:afterAutospacing="0" w:line="590" w:lineRule="exact"/>
        <w:ind w:firstLine="320" w:firstLineChars="1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二、主动公开政府信息情况</w:t>
      </w:r>
    </w:p>
    <w:tbl>
      <w:tblPr>
        <w:tblStyle w:val="7"/>
        <w:tblW w:w="8100" w:type="dxa"/>
        <w:tblInd w:w="4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25"/>
        <w:gridCol w:w="2025"/>
        <w:gridCol w:w="2025"/>
        <w:gridCol w:w="20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10"/>
              <w:spacing w:before="58" w:line="560" w:lineRule="exact"/>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一）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60" w:line="560" w:lineRule="exact"/>
              <w:ind w:right="592"/>
              <w:jc w:val="right"/>
              <w:rPr>
                <w:sz w:val="20"/>
              </w:rPr>
            </w:pPr>
            <w:r>
              <w:rPr>
                <w:w w:val="95"/>
                <w:sz w:val="20"/>
              </w:rPr>
              <w:t>信息内容</w:t>
            </w:r>
          </w:p>
        </w:tc>
        <w:tc>
          <w:tcPr>
            <w:tcW w:w="2025" w:type="dxa"/>
          </w:tcPr>
          <w:p>
            <w:pPr>
              <w:pStyle w:val="10"/>
              <w:spacing w:before="60" w:line="560" w:lineRule="exact"/>
              <w:ind w:left="410"/>
              <w:rPr>
                <w:sz w:val="20"/>
              </w:rPr>
            </w:pPr>
            <w:r>
              <w:rPr>
                <w:sz w:val="20"/>
              </w:rPr>
              <w:t>本年制发件数</w:t>
            </w:r>
          </w:p>
        </w:tc>
        <w:tc>
          <w:tcPr>
            <w:tcW w:w="2025" w:type="dxa"/>
          </w:tcPr>
          <w:p>
            <w:pPr>
              <w:pStyle w:val="10"/>
              <w:spacing w:before="60" w:line="560" w:lineRule="exact"/>
              <w:ind w:left="411"/>
              <w:rPr>
                <w:sz w:val="20"/>
              </w:rPr>
            </w:pPr>
            <w:r>
              <w:rPr>
                <w:sz w:val="20"/>
              </w:rPr>
              <w:t>本年废止件数</w:t>
            </w:r>
          </w:p>
        </w:tc>
        <w:tc>
          <w:tcPr>
            <w:tcW w:w="2025" w:type="dxa"/>
          </w:tcPr>
          <w:p>
            <w:pPr>
              <w:pStyle w:val="10"/>
              <w:spacing w:before="60" w:line="560" w:lineRule="exact"/>
              <w:ind w:left="412"/>
              <w:rPr>
                <w:sz w:val="20"/>
              </w:rPr>
            </w:pPr>
            <w:r>
              <w:rPr>
                <w:sz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9" w:line="560" w:lineRule="exact"/>
              <w:ind w:left="57"/>
              <w:rPr>
                <w:sz w:val="20"/>
              </w:rPr>
            </w:pPr>
            <w:r>
              <w:rPr>
                <w:sz w:val="20"/>
              </w:rPr>
              <w:t>规章</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8" w:line="560" w:lineRule="exact"/>
              <w:ind w:left="57"/>
              <w:rPr>
                <w:sz w:val="20"/>
              </w:rPr>
            </w:pPr>
            <w:r>
              <w:rPr>
                <w:sz w:val="20"/>
              </w:rPr>
              <w:t>行政规范性文件</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20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10"/>
              <w:spacing w:before="59" w:line="560" w:lineRule="exact"/>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五）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8" w:line="560" w:lineRule="exact"/>
              <w:ind w:right="592"/>
              <w:jc w:val="right"/>
              <w:rPr>
                <w:sz w:val="20"/>
              </w:rPr>
            </w:pPr>
            <w:r>
              <w:rPr>
                <w:w w:val="95"/>
                <w:sz w:val="20"/>
              </w:rPr>
              <w:t>信息内容</w:t>
            </w:r>
          </w:p>
        </w:tc>
        <w:tc>
          <w:tcPr>
            <w:tcW w:w="6075" w:type="dxa"/>
            <w:gridSpan w:val="3"/>
          </w:tcPr>
          <w:p>
            <w:pPr>
              <w:pStyle w:val="10"/>
              <w:spacing w:before="58" w:line="560" w:lineRule="exact"/>
              <w:ind w:left="2216" w:right="2199"/>
              <w:jc w:val="center"/>
              <w:rPr>
                <w:sz w:val="20"/>
              </w:rPr>
            </w:pPr>
            <w:r>
              <w:rPr>
                <w:sz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60" w:line="560" w:lineRule="exact"/>
              <w:ind w:left="57"/>
              <w:rPr>
                <w:sz w:val="20"/>
              </w:rPr>
            </w:pPr>
            <w:r>
              <w:rPr>
                <w:sz w:val="20"/>
              </w:rPr>
              <w:t>行政许可</w:t>
            </w:r>
          </w:p>
        </w:tc>
        <w:tc>
          <w:tcPr>
            <w:tcW w:w="6075" w:type="dxa"/>
            <w:gridSpan w:val="3"/>
          </w:tcPr>
          <w:p>
            <w:pPr>
              <w:pStyle w:val="10"/>
              <w:spacing w:line="560" w:lineRule="exact"/>
              <w:jc w:val="center"/>
              <w:rPr>
                <w:rFonts w:ascii="Times New Roman"/>
                <w:sz w:val="24"/>
                <w:lang w:eastAsia="zh-CN"/>
              </w:rPr>
            </w:pPr>
            <w:r>
              <w:rPr>
                <w:rFonts w:hint="eastAsia" w:ascii="宋体" w:hAnsi="宋体" w:eastAsia="宋体" w:cs="宋体"/>
                <w:sz w:val="24"/>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10"/>
              <w:spacing w:before="59" w:line="560" w:lineRule="exact"/>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六）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60" w:line="560" w:lineRule="exact"/>
              <w:ind w:right="592"/>
              <w:jc w:val="right"/>
              <w:rPr>
                <w:sz w:val="20"/>
              </w:rPr>
            </w:pPr>
            <w:r>
              <w:rPr>
                <w:w w:val="95"/>
                <w:sz w:val="20"/>
              </w:rPr>
              <w:t>信息内容</w:t>
            </w:r>
          </w:p>
        </w:tc>
        <w:tc>
          <w:tcPr>
            <w:tcW w:w="6075" w:type="dxa"/>
            <w:gridSpan w:val="3"/>
          </w:tcPr>
          <w:p>
            <w:pPr>
              <w:pStyle w:val="10"/>
              <w:spacing w:before="60" w:line="560" w:lineRule="exact"/>
              <w:ind w:left="2216" w:right="2199"/>
              <w:jc w:val="center"/>
              <w:rPr>
                <w:sz w:val="20"/>
              </w:rPr>
            </w:pPr>
            <w:r>
              <w:rPr>
                <w:sz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9" w:line="560" w:lineRule="exact"/>
              <w:ind w:left="57"/>
              <w:rPr>
                <w:sz w:val="20"/>
              </w:rPr>
            </w:pPr>
            <w:r>
              <w:rPr>
                <w:sz w:val="20"/>
              </w:rPr>
              <w:t>行政处罚</w:t>
            </w:r>
          </w:p>
        </w:tc>
        <w:tc>
          <w:tcPr>
            <w:tcW w:w="6075" w:type="dxa"/>
            <w:gridSpan w:val="3"/>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8" w:line="560" w:lineRule="exact"/>
              <w:ind w:left="57"/>
              <w:rPr>
                <w:sz w:val="20"/>
              </w:rPr>
            </w:pPr>
            <w:r>
              <w:rPr>
                <w:sz w:val="20"/>
              </w:rPr>
              <w:t>行政强制</w:t>
            </w:r>
          </w:p>
        </w:tc>
        <w:tc>
          <w:tcPr>
            <w:tcW w:w="6075" w:type="dxa"/>
            <w:gridSpan w:val="3"/>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10"/>
              <w:spacing w:before="59" w:line="560" w:lineRule="exact"/>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八）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10"/>
              <w:spacing w:before="58" w:line="560" w:lineRule="exact"/>
              <w:ind w:right="592"/>
              <w:jc w:val="right"/>
              <w:rPr>
                <w:sz w:val="20"/>
              </w:rPr>
            </w:pPr>
            <w:r>
              <w:rPr>
                <w:w w:val="95"/>
                <w:sz w:val="20"/>
              </w:rPr>
              <w:t>信息内容</w:t>
            </w:r>
          </w:p>
        </w:tc>
        <w:tc>
          <w:tcPr>
            <w:tcW w:w="6075" w:type="dxa"/>
            <w:gridSpan w:val="3"/>
          </w:tcPr>
          <w:p>
            <w:pPr>
              <w:pStyle w:val="10"/>
              <w:spacing w:before="58" w:line="560" w:lineRule="exact"/>
              <w:ind w:left="1735"/>
              <w:rPr>
                <w:sz w:val="20"/>
                <w:lang w:eastAsia="zh-CN"/>
              </w:rPr>
            </w:pPr>
            <w:r>
              <w:rPr>
                <w:w w:val="95"/>
                <w:sz w:val="20"/>
                <w:lang w:eastAsia="zh-CN"/>
              </w:rPr>
              <w:t>本年收费金额（ 单位： 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025" w:type="dxa"/>
          </w:tcPr>
          <w:p>
            <w:pPr>
              <w:pStyle w:val="10"/>
              <w:spacing w:before="79" w:line="560" w:lineRule="exact"/>
              <w:ind w:left="57"/>
              <w:rPr>
                <w:sz w:val="20"/>
              </w:rPr>
            </w:pPr>
            <w:r>
              <w:rPr>
                <w:sz w:val="20"/>
              </w:rPr>
              <w:t>行政事业性收费</w:t>
            </w:r>
          </w:p>
        </w:tc>
        <w:tc>
          <w:tcPr>
            <w:tcW w:w="6075" w:type="dxa"/>
            <w:gridSpan w:val="3"/>
          </w:tcPr>
          <w:p>
            <w:pPr>
              <w:pStyle w:val="10"/>
              <w:spacing w:line="560" w:lineRule="exact"/>
              <w:ind w:firstLine="2880" w:firstLineChars="1200"/>
              <w:jc w:val="both"/>
              <w:rPr>
                <w:rFonts w:ascii="Times New Roman"/>
                <w:sz w:val="24"/>
                <w:lang w:eastAsia="zh-CN"/>
              </w:rPr>
            </w:pPr>
            <w:r>
              <w:rPr>
                <w:rFonts w:hint="eastAsia" w:ascii="宋体" w:hAnsi="宋体" w:eastAsia="宋体" w:cs="宋体"/>
                <w:sz w:val="24"/>
                <w:lang w:eastAsia="zh-CN"/>
              </w:rPr>
              <w:t>0</w:t>
            </w:r>
          </w:p>
        </w:tc>
      </w:tr>
    </w:tbl>
    <w:p>
      <w:pPr>
        <w:rPr>
          <w:rFonts w:ascii="Times New Roman"/>
          <w:sz w:val="24"/>
        </w:rPr>
        <w:sectPr>
          <w:pgSz w:w="11910" w:h="16840"/>
          <w:pgMar w:top="2098" w:right="1474" w:bottom="1984" w:left="1587" w:header="720" w:footer="720" w:gutter="0"/>
          <w:cols w:space="720" w:num="1"/>
        </w:sectPr>
      </w:pPr>
    </w:p>
    <w:p>
      <w:pPr>
        <w:pStyle w:val="4"/>
        <w:spacing w:before="168" w:line="560" w:lineRule="exact"/>
        <w:ind w:left="0" w:leftChars="0" w:firstLine="0" w:firstLineChars="0"/>
        <w:rPr>
          <w:rFonts w:hint="eastAsia" w:ascii="方正黑体_GBK" w:hAnsi="方正黑体_GBK" w:eastAsia="方正黑体_GBK" w:cs="方正黑体_GBK"/>
          <w:shd w:val="clear" w:color="auto" w:fill="FFFFFF"/>
          <w:lang w:eastAsia="zh-CN"/>
        </w:rPr>
      </w:pPr>
    </w:p>
    <w:p>
      <w:pPr>
        <w:pStyle w:val="4"/>
        <w:spacing w:before="168" w:line="560" w:lineRule="exact"/>
        <w:ind w:left="0" w:leftChars="0" w:firstLine="0" w:firstLineChars="0"/>
        <w:rPr>
          <w:rFonts w:ascii="黑体" w:eastAsia="黑体"/>
          <w:color w:val="333333"/>
          <w:lang w:eastAsia="zh-CN"/>
        </w:rPr>
      </w:pPr>
      <w:r>
        <w:rPr>
          <w:rFonts w:hint="eastAsia" w:ascii="方正黑体_GBK" w:hAnsi="方正黑体_GBK" w:eastAsia="方正黑体_GBK" w:cs="方正黑体_GBK"/>
          <w:shd w:val="clear" w:color="auto" w:fill="FFFFFF"/>
          <w:lang w:eastAsia="zh-CN"/>
        </w:rPr>
        <w:t>三、收到和处理政府信息公开申请情况</w:t>
      </w:r>
    </w:p>
    <w:tbl>
      <w:tblPr>
        <w:tblStyle w:val="7"/>
        <w:tblW w:w="8379"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vMerge w:val="restart"/>
          </w:tcPr>
          <w:p>
            <w:pPr>
              <w:pStyle w:val="10"/>
              <w:spacing w:line="560" w:lineRule="exact"/>
              <w:rPr>
                <w:rFonts w:ascii="黑体"/>
                <w:sz w:val="20"/>
                <w:lang w:eastAsia="zh-CN"/>
              </w:rPr>
            </w:pPr>
          </w:p>
          <w:p>
            <w:pPr>
              <w:pStyle w:val="10"/>
              <w:spacing w:before="5" w:line="560" w:lineRule="exact"/>
              <w:rPr>
                <w:rFonts w:ascii="黑体"/>
                <w:lang w:eastAsia="zh-CN"/>
              </w:rPr>
            </w:pPr>
          </w:p>
          <w:p>
            <w:pPr>
              <w:pStyle w:val="10"/>
              <w:spacing w:before="1" w:line="560" w:lineRule="exact"/>
              <w:ind w:left="108" w:right="111"/>
              <w:rPr>
                <w:rFonts w:ascii="楷体" w:eastAsia="楷体"/>
                <w:sz w:val="20"/>
                <w:lang w:eastAsia="zh-CN"/>
              </w:rPr>
            </w:pPr>
            <w:r>
              <w:rPr>
                <w:rFonts w:hint="eastAsia" w:ascii="楷体" w:eastAsia="楷体"/>
                <w:sz w:val="20"/>
                <w:lang w:eastAsia="zh-CN"/>
              </w:rPr>
              <w:t>（本列数据的勾稽关系为：第一项加第二项之和，等于第三项加第四项之和）</w:t>
            </w:r>
          </w:p>
        </w:tc>
        <w:tc>
          <w:tcPr>
            <w:tcW w:w="4140" w:type="dxa"/>
            <w:gridSpan w:val="7"/>
          </w:tcPr>
          <w:p>
            <w:pPr>
              <w:pStyle w:val="10"/>
              <w:spacing w:before="37" w:line="560" w:lineRule="exact"/>
              <w:ind w:left="1548" w:right="1532"/>
              <w:jc w:val="center"/>
              <w:rPr>
                <w:sz w:val="20"/>
              </w:rPr>
            </w:pPr>
            <w:r>
              <w:rPr>
                <w:sz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vMerge w:val="continue"/>
            <w:tcBorders>
              <w:top w:val="nil"/>
            </w:tcBorders>
          </w:tcPr>
          <w:p>
            <w:pPr>
              <w:spacing w:line="560" w:lineRule="exact"/>
              <w:rPr>
                <w:sz w:val="2"/>
                <w:szCs w:val="2"/>
              </w:rPr>
            </w:pPr>
          </w:p>
        </w:tc>
        <w:tc>
          <w:tcPr>
            <w:tcW w:w="591" w:type="dxa"/>
            <w:vMerge w:val="restart"/>
          </w:tcPr>
          <w:p>
            <w:pPr>
              <w:pStyle w:val="10"/>
              <w:spacing w:before="8" w:line="560" w:lineRule="exact"/>
              <w:rPr>
                <w:rFonts w:ascii="黑体"/>
                <w:sz w:val="28"/>
              </w:rPr>
            </w:pPr>
          </w:p>
          <w:p>
            <w:pPr>
              <w:pStyle w:val="10"/>
              <w:spacing w:line="560" w:lineRule="exact"/>
              <w:ind w:left="194" w:right="77" w:hanging="101"/>
              <w:rPr>
                <w:sz w:val="20"/>
              </w:rPr>
            </w:pPr>
            <w:r>
              <w:rPr>
                <w:sz w:val="20"/>
              </w:rPr>
              <w:t>自然人</w:t>
            </w:r>
          </w:p>
        </w:tc>
        <w:tc>
          <w:tcPr>
            <w:tcW w:w="2957" w:type="dxa"/>
            <w:gridSpan w:val="5"/>
          </w:tcPr>
          <w:p>
            <w:pPr>
              <w:pStyle w:val="10"/>
              <w:spacing w:before="38" w:line="560" w:lineRule="exact"/>
              <w:ind w:left="776"/>
              <w:rPr>
                <w:sz w:val="20"/>
              </w:rPr>
            </w:pPr>
            <w:r>
              <w:rPr>
                <w:sz w:val="20"/>
              </w:rPr>
              <w:t>法人或其他组织</w:t>
            </w:r>
          </w:p>
        </w:tc>
        <w:tc>
          <w:tcPr>
            <w:tcW w:w="592" w:type="dxa"/>
            <w:vMerge w:val="restart"/>
          </w:tcPr>
          <w:p>
            <w:pPr>
              <w:pStyle w:val="10"/>
              <w:spacing w:line="560" w:lineRule="exact"/>
              <w:rPr>
                <w:rFonts w:ascii="黑体"/>
                <w:sz w:val="20"/>
              </w:rPr>
            </w:pPr>
          </w:p>
          <w:p>
            <w:pPr>
              <w:pStyle w:val="10"/>
              <w:spacing w:before="10" w:line="560" w:lineRule="exact"/>
              <w:rPr>
                <w:rFonts w:ascii="黑体"/>
                <w:sz w:val="20"/>
              </w:rPr>
            </w:pPr>
          </w:p>
          <w:p>
            <w:pPr>
              <w:pStyle w:val="10"/>
              <w:spacing w:line="560" w:lineRule="exact"/>
              <w:ind w:left="95"/>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4239" w:type="dxa"/>
            <w:gridSpan w:val="3"/>
            <w:vMerge w:val="continue"/>
            <w:tcBorders>
              <w:top w:val="nil"/>
            </w:tcBorders>
          </w:tcPr>
          <w:p>
            <w:pPr>
              <w:spacing w:line="560" w:lineRule="exact"/>
              <w:rPr>
                <w:sz w:val="2"/>
                <w:szCs w:val="2"/>
              </w:rPr>
            </w:pPr>
          </w:p>
        </w:tc>
        <w:tc>
          <w:tcPr>
            <w:tcW w:w="591" w:type="dxa"/>
            <w:vMerge w:val="continue"/>
            <w:tcBorders>
              <w:top w:val="nil"/>
            </w:tcBorders>
          </w:tcPr>
          <w:p>
            <w:pPr>
              <w:spacing w:line="560" w:lineRule="exact"/>
              <w:rPr>
                <w:sz w:val="2"/>
                <w:szCs w:val="2"/>
              </w:rPr>
            </w:pPr>
          </w:p>
        </w:tc>
        <w:tc>
          <w:tcPr>
            <w:tcW w:w="591" w:type="dxa"/>
          </w:tcPr>
          <w:p>
            <w:pPr>
              <w:pStyle w:val="10"/>
              <w:spacing w:line="560" w:lineRule="exact"/>
              <w:rPr>
                <w:rFonts w:ascii="黑体"/>
                <w:sz w:val="15"/>
              </w:rPr>
            </w:pPr>
          </w:p>
          <w:p>
            <w:pPr>
              <w:pStyle w:val="10"/>
              <w:spacing w:line="560" w:lineRule="exact"/>
              <w:ind w:left="95" w:right="75"/>
              <w:rPr>
                <w:sz w:val="20"/>
              </w:rPr>
            </w:pPr>
            <w:r>
              <w:rPr>
                <w:sz w:val="20"/>
              </w:rPr>
              <w:t>商业企业</w:t>
            </w:r>
          </w:p>
        </w:tc>
        <w:tc>
          <w:tcPr>
            <w:tcW w:w="591" w:type="dxa"/>
          </w:tcPr>
          <w:p>
            <w:pPr>
              <w:pStyle w:val="10"/>
              <w:spacing w:line="560" w:lineRule="exact"/>
              <w:rPr>
                <w:rFonts w:ascii="黑体"/>
                <w:sz w:val="15"/>
              </w:rPr>
            </w:pPr>
          </w:p>
          <w:p>
            <w:pPr>
              <w:pStyle w:val="10"/>
              <w:spacing w:line="560" w:lineRule="exact"/>
              <w:ind w:left="94" w:right="76"/>
              <w:rPr>
                <w:sz w:val="20"/>
              </w:rPr>
            </w:pPr>
            <w:r>
              <w:rPr>
                <w:sz w:val="20"/>
              </w:rPr>
              <w:t>科研机构</w:t>
            </w:r>
          </w:p>
        </w:tc>
        <w:tc>
          <w:tcPr>
            <w:tcW w:w="591" w:type="dxa"/>
          </w:tcPr>
          <w:p>
            <w:pPr>
              <w:pStyle w:val="10"/>
              <w:spacing w:before="36" w:line="560" w:lineRule="exact"/>
              <w:ind w:left="94" w:right="76"/>
              <w:rPr>
                <w:sz w:val="20"/>
              </w:rPr>
            </w:pPr>
            <w:r>
              <w:rPr>
                <w:spacing w:val="-9"/>
                <w:sz w:val="20"/>
              </w:rPr>
              <w:t>社会</w:t>
            </w:r>
            <w:r>
              <w:rPr>
                <w:spacing w:val="-9"/>
                <w:w w:val="95"/>
                <w:sz w:val="20"/>
              </w:rPr>
              <w:t>公益</w:t>
            </w:r>
          </w:p>
          <w:p>
            <w:pPr>
              <w:pStyle w:val="10"/>
              <w:spacing w:line="560" w:lineRule="exact"/>
              <w:ind w:left="94"/>
              <w:rPr>
                <w:sz w:val="20"/>
              </w:rPr>
            </w:pPr>
            <w:r>
              <w:rPr>
                <w:w w:val="95"/>
                <w:sz w:val="20"/>
              </w:rPr>
              <w:t>组织</w:t>
            </w:r>
          </w:p>
        </w:tc>
        <w:tc>
          <w:tcPr>
            <w:tcW w:w="591" w:type="dxa"/>
          </w:tcPr>
          <w:p>
            <w:pPr>
              <w:pStyle w:val="10"/>
              <w:spacing w:before="36" w:line="560" w:lineRule="exact"/>
              <w:ind w:left="93" w:right="77"/>
              <w:rPr>
                <w:sz w:val="20"/>
              </w:rPr>
            </w:pPr>
            <w:r>
              <w:rPr>
                <w:spacing w:val="-9"/>
                <w:sz w:val="20"/>
              </w:rPr>
              <w:t>法律</w:t>
            </w:r>
            <w:r>
              <w:rPr>
                <w:spacing w:val="-9"/>
                <w:w w:val="95"/>
                <w:sz w:val="20"/>
              </w:rPr>
              <w:t>服务</w:t>
            </w:r>
          </w:p>
          <w:p>
            <w:pPr>
              <w:pStyle w:val="10"/>
              <w:spacing w:line="560" w:lineRule="exact"/>
              <w:ind w:left="93"/>
              <w:rPr>
                <w:sz w:val="20"/>
              </w:rPr>
            </w:pPr>
            <w:r>
              <w:rPr>
                <w:w w:val="95"/>
                <w:sz w:val="20"/>
              </w:rPr>
              <w:t>机构</w:t>
            </w:r>
          </w:p>
        </w:tc>
        <w:tc>
          <w:tcPr>
            <w:tcW w:w="593" w:type="dxa"/>
          </w:tcPr>
          <w:p>
            <w:pPr>
              <w:pStyle w:val="10"/>
              <w:spacing w:before="2" w:line="560" w:lineRule="exact"/>
              <w:rPr>
                <w:rFonts w:ascii="黑体"/>
                <w:sz w:val="27"/>
              </w:rPr>
            </w:pPr>
          </w:p>
          <w:p>
            <w:pPr>
              <w:pStyle w:val="10"/>
              <w:spacing w:before="1" w:line="560" w:lineRule="exact"/>
              <w:ind w:left="95"/>
              <w:rPr>
                <w:sz w:val="20"/>
              </w:rPr>
            </w:pPr>
            <w:r>
              <w:rPr>
                <w:sz w:val="20"/>
              </w:rPr>
              <w:t>其他</w:t>
            </w:r>
          </w:p>
        </w:tc>
        <w:tc>
          <w:tcPr>
            <w:tcW w:w="592" w:type="dxa"/>
            <w:vMerge w:val="continue"/>
            <w:tcBorders>
              <w:top w:val="nil"/>
            </w:tcBorders>
          </w:tcPr>
          <w:p>
            <w:pPr>
              <w:spacing w:line="560" w:lineRule="exact"/>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tcPr>
          <w:p>
            <w:pPr>
              <w:pStyle w:val="10"/>
              <w:spacing w:before="36" w:line="560" w:lineRule="exact"/>
              <w:ind w:left="55"/>
              <w:rPr>
                <w:sz w:val="20"/>
                <w:lang w:eastAsia="zh-CN"/>
              </w:rPr>
            </w:pPr>
            <w:r>
              <w:rPr>
                <w:sz w:val="20"/>
                <w:lang w:eastAsia="zh-CN"/>
              </w:rPr>
              <w:t>一、本年新收政府信息公开申请数量</w:t>
            </w:r>
          </w:p>
        </w:tc>
        <w:tc>
          <w:tcPr>
            <w:tcW w:w="591" w:type="dxa"/>
            <w:vAlign w:val="center"/>
          </w:tcPr>
          <w:p>
            <w:pPr>
              <w:widowControl/>
              <w:spacing w:line="560" w:lineRule="exact"/>
              <w:jc w:val="center"/>
              <w:rPr>
                <w:rFonts w:ascii="Times New Roman"/>
                <w:sz w:val="20"/>
                <w:lang w:eastAsia="zh-CN"/>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tcPr>
          <w:p>
            <w:pPr>
              <w:pStyle w:val="10"/>
              <w:spacing w:before="37" w:line="560" w:lineRule="exact"/>
              <w:ind w:left="55"/>
              <w:rPr>
                <w:sz w:val="20"/>
                <w:lang w:eastAsia="zh-CN"/>
              </w:rPr>
            </w:pPr>
            <w:r>
              <w:rPr>
                <w:sz w:val="20"/>
                <w:lang w:eastAsia="zh-CN"/>
              </w:rPr>
              <w:t>二、上年结转政府信息公开申请数量</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restart"/>
          </w:tcPr>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before="176" w:line="560" w:lineRule="exact"/>
              <w:ind w:left="55" w:right="37"/>
              <w:rPr>
                <w:sz w:val="20"/>
              </w:rPr>
            </w:pPr>
            <w:r>
              <w:rPr>
                <w:spacing w:val="-24"/>
                <w:sz w:val="20"/>
              </w:rPr>
              <w:t>三、本</w:t>
            </w:r>
            <w:r>
              <w:rPr>
                <w:sz w:val="20"/>
              </w:rPr>
              <w:t>年度办理结果</w:t>
            </w:r>
          </w:p>
        </w:tc>
        <w:tc>
          <w:tcPr>
            <w:tcW w:w="3579" w:type="dxa"/>
            <w:gridSpan w:val="2"/>
          </w:tcPr>
          <w:p>
            <w:pPr>
              <w:pStyle w:val="10"/>
              <w:spacing w:before="37" w:line="560" w:lineRule="exact"/>
              <w:ind w:left="55"/>
              <w:rPr>
                <w:sz w:val="20"/>
              </w:rPr>
            </w:pPr>
            <w:r>
              <w:rPr>
                <w:w w:val="65"/>
                <w:sz w:val="20"/>
              </w:rPr>
              <w:t>（</w:t>
            </w:r>
            <w:r>
              <w:rPr>
                <w:spacing w:val="58"/>
                <w:w w:val="65"/>
                <w:sz w:val="20"/>
              </w:rPr>
              <w:t xml:space="preserve"> </w:t>
            </w:r>
            <w:r>
              <w:rPr>
                <w:sz w:val="20"/>
              </w:rPr>
              <w:t>一</w:t>
            </w:r>
            <w:r>
              <w:rPr>
                <w:w w:val="65"/>
                <w:sz w:val="20"/>
              </w:rPr>
              <w:t>）</w:t>
            </w:r>
            <w:r>
              <w:rPr>
                <w:spacing w:val="58"/>
                <w:w w:val="65"/>
                <w:sz w:val="20"/>
              </w:rPr>
              <w:t xml:space="preserve"> </w:t>
            </w:r>
            <w:r>
              <w:rPr>
                <w:sz w:val="20"/>
              </w:rPr>
              <w:t>予以公开</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3" w:hRule="atLeast"/>
        </w:trPr>
        <w:tc>
          <w:tcPr>
            <w:tcW w:w="660" w:type="dxa"/>
            <w:vMerge w:val="continue"/>
            <w:tcBorders>
              <w:top w:val="nil"/>
            </w:tcBorders>
          </w:tcPr>
          <w:p>
            <w:pPr>
              <w:spacing w:line="560" w:lineRule="exact"/>
              <w:rPr>
                <w:sz w:val="2"/>
                <w:szCs w:val="2"/>
              </w:rPr>
            </w:pPr>
          </w:p>
        </w:tc>
        <w:tc>
          <w:tcPr>
            <w:tcW w:w="3579" w:type="dxa"/>
            <w:gridSpan w:val="2"/>
          </w:tcPr>
          <w:p>
            <w:pPr>
              <w:pStyle w:val="10"/>
              <w:spacing w:before="36" w:line="560" w:lineRule="exact"/>
              <w:ind w:left="55"/>
              <w:rPr>
                <w:rFonts w:ascii="楷体" w:eastAsia="楷体"/>
                <w:sz w:val="20"/>
                <w:lang w:eastAsia="zh-CN"/>
              </w:rPr>
            </w:pPr>
            <w:r>
              <w:rPr>
                <w:w w:val="65"/>
                <w:sz w:val="20"/>
                <w:lang w:eastAsia="zh-CN"/>
              </w:rPr>
              <w:t xml:space="preserve">（ </w:t>
            </w:r>
            <w:r>
              <w:rPr>
                <w:sz w:val="20"/>
                <w:lang w:eastAsia="zh-CN"/>
              </w:rPr>
              <w:t>二</w:t>
            </w:r>
            <w:r>
              <w:rPr>
                <w:w w:val="65"/>
                <w:sz w:val="20"/>
                <w:lang w:eastAsia="zh-CN"/>
              </w:rPr>
              <w:t xml:space="preserve">） </w:t>
            </w:r>
            <w:r>
              <w:rPr>
                <w:sz w:val="20"/>
                <w:lang w:eastAsia="zh-CN"/>
              </w:rPr>
              <w:t>部分公开</w:t>
            </w:r>
            <w:r>
              <w:rPr>
                <w:rFonts w:hint="eastAsia" w:ascii="楷体" w:eastAsia="楷体"/>
                <w:sz w:val="20"/>
                <w:lang w:eastAsia="zh-CN"/>
              </w:rPr>
              <w:t>（区分处理的，只计这</w:t>
            </w:r>
          </w:p>
          <w:p>
            <w:pPr>
              <w:pStyle w:val="10"/>
              <w:spacing w:before="56" w:line="560" w:lineRule="exact"/>
              <w:ind w:left="55"/>
              <w:rPr>
                <w:rFonts w:ascii="楷体" w:eastAsia="楷体"/>
                <w:sz w:val="20"/>
                <w:lang w:eastAsia="zh-CN"/>
              </w:rPr>
            </w:pPr>
            <w:r>
              <w:rPr>
                <w:rFonts w:hint="eastAsia" w:ascii="楷体" w:eastAsia="楷体"/>
                <w:sz w:val="20"/>
                <w:lang w:eastAsia="zh-CN"/>
              </w:rPr>
              <w:t>一情形，不计其他情形）</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restart"/>
          </w:tcPr>
          <w:p>
            <w:pPr>
              <w:pStyle w:val="10"/>
              <w:spacing w:line="560" w:lineRule="exact"/>
              <w:rPr>
                <w:rFonts w:ascii="黑体"/>
                <w:sz w:val="20"/>
              </w:rPr>
            </w:pPr>
          </w:p>
          <w:p>
            <w:pPr>
              <w:pStyle w:val="10"/>
              <w:spacing w:line="560" w:lineRule="exact"/>
              <w:rPr>
                <w:rFonts w:ascii="黑体"/>
                <w:sz w:val="20"/>
              </w:rPr>
            </w:pPr>
          </w:p>
          <w:p>
            <w:pPr>
              <w:pStyle w:val="10"/>
              <w:spacing w:line="560" w:lineRule="exact"/>
              <w:rPr>
                <w:rFonts w:ascii="黑体"/>
                <w:sz w:val="20"/>
              </w:rPr>
            </w:pPr>
          </w:p>
          <w:p>
            <w:pPr>
              <w:pStyle w:val="10"/>
              <w:spacing w:before="8" w:line="560" w:lineRule="exact"/>
              <w:rPr>
                <w:rFonts w:ascii="黑体"/>
                <w:sz w:val="14"/>
              </w:rPr>
            </w:pPr>
          </w:p>
          <w:p>
            <w:pPr>
              <w:pStyle w:val="10"/>
              <w:spacing w:line="560" w:lineRule="exact"/>
              <w:ind w:left="55" w:right="132"/>
              <w:rPr>
                <w:sz w:val="20"/>
              </w:rPr>
            </w:pPr>
            <w:r>
              <w:rPr>
                <w:w w:val="65"/>
                <w:sz w:val="20"/>
              </w:rPr>
              <w:t xml:space="preserve">（ </w:t>
            </w:r>
            <w:r>
              <w:rPr>
                <w:sz w:val="20"/>
              </w:rPr>
              <w:t>三</w:t>
            </w:r>
            <w:r>
              <w:rPr>
                <w:w w:val="65"/>
                <w:sz w:val="20"/>
              </w:rPr>
              <w:t xml:space="preserve">） </w:t>
            </w:r>
            <w:r>
              <w:rPr>
                <w:sz w:val="20"/>
              </w:rPr>
              <w:t>不予公开</w:t>
            </w:r>
          </w:p>
        </w:tc>
        <w:tc>
          <w:tcPr>
            <w:tcW w:w="2769" w:type="dxa"/>
          </w:tcPr>
          <w:p>
            <w:pPr>
              <w:pStyle w:val="10"/>
              <w:spacing w:before="27" w:line="560" w:lineRule="exact"/>
              <w:ind w:left="56"/>
              <w:rPr>
                <w:sz w:val="20"/>
              </w:rPr>
            </w:pPr>
            <w:r>
              <w:rPr>
                <w:sz w:val="20"/>
              </w:rPr>
              <w:t>1.属于国家秘密</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8" w:line="560" w:lineRule="exact"/>
              <w:ind w:left="56"/>
              <w:rPr>
                <w:sz w:val="20"/>
                <w:lang w:eastAsia="zh-CN"/>
              </w:rPr>
            </w:pPr>
            <w:r>
              <w:rPr>
                <w:sz w:val="20"/>
                <w:lang w:eastAsia="zh-CN"/>
              </w:rPr>
              <w:t>2.其他法律行政法规禁止公开</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6" w:line="560" w:lineRule="exact"/>
              <w:ind w:left="56"/>
              <w:rPr>
                <w:sz w:val="20"/>
                <w:lang w:eastAsia="zh-CN"/>
              </w:rPr>
            </w:pPr>
            <w:r>
              <w:rPr>
                <w:sz w:val="20"/>
                <w:lang w:eastAsia="zh-CN"/>
              </w:rPr>
              <w:t>3.危及“三安全一稳定”</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7" w:line="560" w:lineRule="exact"/>
              <w:ind w:left="56"/>
              <w:rPr>
                <w:sz w:val="20"/>
              </w:rPr>
            </w:pPr>
            <w:r>
              <w:rPr>
                <w:sz w:val="20"/>
              </w:rPr>
              <w:t>4.保护第三方合法权益</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8" w:line="560" w:lineRule="exact"/>
              <w:ind w:left="56"/>
              <w:rPr>
                <w:sz w:val="20"/>
                <w:lang w:eastAsia="zh-CN"/>
              </w:rPr>
            </w:pPr>
            <w:r>
              <w:rPr>
                <w:sz w:val="20"/>
                <w:lang w:eastAsia="zh-CN"/>
              </w:rPr>
              <w:t>5.属于三类内部事务信息</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6" w:line="560" w:lineRule="exact"/>
              <w:ind w:left="56"/>
              <w:rPr>
                <w:sz w:val="20"/>
              </w:rPr>
            </w:pPr>
            <w:r>
              <w:rPr>
                <w:sz w:val="20"/>
              </w:rPr>
              <w:t>6.属于四类过程性信息</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7" w:line="560" w:lineRule="exact"/>
              <w:ind w:left="56"/>
              <w:rPr>
                <w:sz w:val="20"/>
              </w:rPr>
            </w:pPr>
            <w:r>
              <w:rPr>
                <w:sz w:val="20"/>
              </w:rPr>
              <w:t>7.属于行政执法案卷</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8" w:line="560" w:lineRule="exact"/>
              <w:ind w:left="56"/>
              <w:rPr>
                <w:sz w:val="20"/>
              </w:rPr>
            </w:pPr>
            <w:r>
              <w:rPr>
                <w:sz w:val="20"/>
              </w:rPr>
              <w:t>8.属于行政查询事项</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restart"/>
          </w:tcPr>
          <w:p>
            <w:pPr>
              <w:pStyle w:val="10"/>
              <w:spacing w:before="77" w:line="560" w:lineRule="exact"/>
              <w:ind w:left="55" w:right="132"/>
              <w:rPr>
                <w:sz w:val="20"/>
              </w:rPr>
            </w:pPr>
            <w:r>
              <w:rPr>
                <w:w w:val="65"/>
                <w:sz w:val="20"/>
              </w:rPr>
              <w:t xml:space="preserve">（ </w:t>
            </w:r>
            <w:r>
              <w:rPr>
                <w:sz w:val="20"/>
              </w:rPr>
              <w:t>四</w:t>
            </w:r>
            <w:r>
              <w:rPr>
                <w:w w:val="65"/>
                <w:sz w:val="20"/>
              </w:rPr>
              <w:t xml:space="preserve">） </w:t>
            </w:r>
            <w:r>
              <w:rPr>
                <w:sz w:val="20"/>
              </w:rPr>
              <w:t>无法提供</w:t>
            </w:r>
          </w:p>
        </w:tc>
        <w:tc>
          <w:tcPr>
            <w:tcW w:w="2769" w:type="dxa"/>
          </w:tcPr>
          <w:p>
            <w:pPr>
              <w:pStyle w:val="10"/>
              <w:spacing w:before="26" w:line="560" w:lineRule="exact"/>
              <w:ind w:left="56"/>
              <w:rPr>
                <w:sz w:val="20"/>
                <w:lang w:eastAsia="zh-CN"/>
              </w:rPr>
            </w:pPr>
            <w:r>
              <w:rPr>
                <w:sz w:val="20"/>
                <w:lang w:eastAsia="zh-CN"/>
              </w:rPr>
              <w:t>1.本机关不掌握相关政府信息</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7" w:line="560" w:lineRule="exact"/>
              <w:ind w:left="56"/>
              <w:rPr>
                <w:sz w:val="20"/>
                <w:lang w:eastAsia="zh-CN"/>
              </w:rPr>
            </w:pPr>
            <w:r>
              <w:rPr>
                <w:sz w:val="20"/>
                <w:lang w:eastAsia="zh-CN"/>
              </w:rPr>
              <w:t>2.没有现成信息需要另行制作</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8" w:line="560" w:lineRule="exact"/>
              <w:ind w:left="56"/>
              <w:rPr>
                <w:sz w:val="20"/>
                <w:lang w:eastAsia="zh-CN"/>
              </w:rPr>
            </w:pPr>
            <w:r>
              <w:rPr>
                <w:sz w:val="20"/>
                <w:lang w:eastAsia="zh-CN"/>
              </w:rPr>
              <w:t>3.补正后申请内容仍不明确</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restart"/>
          </w:tcPr>
          <w:p>
            <w:pPr>
              <w:pStyle w:val="10"/>
              <w:spacing w:line="560" w:lineRule="exact"/>
              <w:rPr>
                <w:rFonts w:ascii="黑体"/>
                <w:sz w:val="20"/>
              </w:rPr>
            </w:pPr>
          </w:p>
          <w:p>
            <w:pPr>
              <w:pStyle w:val="10"/>
              <w:spacing w:line="560" w:lineRule="exact"/>
              <w:rPr>
                <w:rFonts w:ascii="黑体"/>
                <w:sz w:val="20"/>
              </w:rPr>
            </w:pPr>
          </w:p>
          <w:p>
            <w:pPr>
              <w:pStyle w:val="10"/>
              <w:spacing w:before="150" w:line="560" w:lineRule="exact"/>
              <w:ind w:left="55" w:right="132"/>
              <w:rPr>
                <w:sz w:val="20"/>
              </w:rPr>
            </w:pPr>
            <w:r>
              <w:rPr>
                <w:w w:val="65"/>
                <w:sz w:val="20"/>
              </w:rPr>
              <w:t xml:space="preserve">（ </w:t>
            </w:r>
            <w:r>
              <w:rPr>
                <w:sz w:val="20"/>
              </w:rPr>
              <w:t>五</w:t>
            </w:r>
            <w:r>
              <w:rPr>
                <w:w w:val="65"/>
                <w:sz w:val="20"/>
              </w:rPr>
              <w:t xml:space="preserve">） </w:t>
            </w:r>
            <w:r>
              <w:rPr>
                <w:sz w:val="20"/>
              </w:rPr>
              <w:t>不予处理</w:t>
            </w:r>
          </w:p>
        </w:tc>
        <w:tc>
          <w:tcPr>
            <w:tcW w:w="2769" w:type="dxa"/>
          </w:tcPr>
          <w:p>
            <w:pPr>
              <w:pStyle w:val="10"/>
              <w:spacing w:before="26" w:line="560" w:lineRule="exact"/>
              <w:ind w:left="56"/>
              <w:rPr>
                <w:sz w:val="20"/>
              </w:rPr>
            </w:pPr>
            <w:r>
              <w:rPr>
                <w:sz w:val="20"/>
              </w:rPr>
              <w:t>1.信访举报投诉类申请</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7" w:line="560" w:lineRule="exact"/>
              <w:ind w:left="56"/>
              <w:rPr>
                <w:sz w:val="20"/>
              </w:rPr>
            </w:pPr>
            <w:r>
              <w:rPr>
                <w:sz w:val="20"/>
              </w:rPr>
              <w:t>2.重复申请</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8" w:line="560" w:lineRule="exact"/>
              <w:ind w:left="56"/>
              <w:rPr>
                <w:sz w:val="20"/>
              </w:rPr>
            </w:pPr>
            <w:r>
              <w:rPr>
                <w:sz w:val="20"/>
              </w:rPr>
              <w:t>3.要求提供公开出版物</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26" w:line="560" w:lineRule="exact"/>
              <w:ind w:left="56"/>
              <w:rPr>
                <w:sz w:val="20"/>
                <w:lang w:eastAsia="zh-CN"/>
              </w:rPr>
            </w:pPr>
            <w:r>
              <w:rPr>
                <w:sz w:val="20"/>
                <w:lang w:eastAsia="zh-CN"/>
              </w:rPr>
              <w:t>4.无正当理由大量反复申请</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113" w:line="560" w:lineRule="exact"/>
              <w:ind w:left="56" w:right="34"/>
              <w:rPr>
                <w:sz w:val="20"/>
                <w:lang w:eastAsia="zh-CN"/>
              </w:rPr>
            </w:pPr>
            <w:r>
              <w:rPr>
                <w:sz w:val="20"/>
                <w:lang w:eastAsia="zh-CN"/>
              </w:rPr>
              <w:t>5.要求行政机关确认或重新出具已获取信息</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660" w:type="dxa"/>
            <w:vMerge w:val="continue"/>
            <w:tcBorders>
              <w:top w:val="nil"/>
            </w:tcBorders>
          </w:tcPr>
          <w:p>
            <w:pPr>
              <w:spacing w:line="560" w:lineRule="exact"/>
              <w:rPr>
                <w:sz w:val="2"/>
                <w:szCs w:val="2"/>
              </w:rPr>
            </w:pPr>
          </w:p>
        </w:tc>
        <w:tc>
          <w:tcPr>
            <w:tcW w:w="810" w:type="dxa"/>
            <w:vMerge w:val="restart"/>
          </w:tcPr>
          <w:p>
            <w:pPr>
              <w:pStyle w:val="10"/>
              <w:spacing w:line="560" w:lineRule="exact"/>
              <w:rPr>
                <w:rFonts w:ascii="黑体"/>
                <w:sz w:val="20"/>
              </w:rPr>
            </w:pPr>
          </w:p>
          <w:p>
            <w:pPr>
              <w:pStyle w:val="10"/>
              <w:spacing w:line="560" w:lineRule="exact"/>
              <w:rPr>
                <w:rFonts w:ascii="黑体"/>
                <w:sz w:val="20"/>
              </w:rPr>
            </w:pPr>
          </w:p>
          <w:p>
            <w:pPr>
              <w:pStyle w:val="10"/>
              <w:spacing w:before="9" w:line="560" w:lineRule="exact"/>
              <w:rPr>
                <w:rFonts w:ascii="黑体"/>
                <w:sz w:val="14"/>
              </w:rPr>
            </w:pPr>
          </w:p>
          <w:p>
            <w:pPr>
              <w:pStyle w:val="10"/>
              <w:spacing w:line="560" w:lineRule="exact"/>
              <w:ind w:left="55" w:right="132"/>
              <w:rPr>
                <w:sz w:val="20"/>
              </w:rPr>
            </w:pPr>
            <w:r>
              <w:rPr>
                <w:w w:val="65"/>
                <w:sz w:val="20"/>
              </w:rPr>
              <w:t xml:space="preserve">（ </w:t>
            </w:r>
            <w:r>
              <w:rPr>
                <w:sz w:val="20"/>
              </w:rPr>
              <w:t>六</w:t>
            </w:r>
            <w:r>
              <w:rPr>
                <w:w w:val="65"/>
                <w:sz w:val="20"/>
              </w:rPr>
              <w:t xml:space="preserve">） </w:t>
            </w:r>
            <w:r>
              <w:rPr>
                <w:sz w:val="20"/>
              </w:rPr>
              <w:t>其他处理</w:t>
            </w:r>
          </w:p>
        </w:tc>
        <w:tc>
          <w:tcPr>
            <w:tcW w:w="2769" w:type="dxa"/>
          </w:tcPr>
          <w:p>
            <w:pPr>
              <w:pStyle w:val="10"/>
              <w:spacing w:before="36" w:line="560" w:lineRule="exact"/>
              <w:ind w:left="56" w:right="33"/>
              <w:rPr>
                <w:sz w:val="20"/>
                <w:lang w:eastAsia="zh-CN"/>
              </w:rPr>
            </w:pPr>
            <w:r>
              <w:rPr>
                <w:sz w:val="20"/>
                <w:lang w:eastAsia="zh-CN"/>
              </w:rPr>
              <w:t>1.申请人无正当理由逾期不补正、行政机关不再处理其政府</w:t>
            </w:r>
          </w:p>
          <w:p>
            <w:pPr>
              <w:pStyle w:val="10"/>
              <w:spacing w:line="560" w:lineRule="exact"/>
              <w:ind w:left="56"/>
              <w:rPr>
                <w:sz w:val="20"/>
              </w:rPr>
            </w:pPr>
            <w:r>
              <w:rPr>
                <w:sz w:val="20"/>
              </w:rPr>
              <w:t>信息公开申请</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35" w:line="560" w:lineRule="exact"/>
              <w:ind w:left="56" w:right="33"/>
              <w:rPr>
                <w:sz w:val="20"/>
                <w:lang w:eastAsia="zh-CN"/>
              </w:rPr>
            </w:pPr>
            <w:r>
              <w:rPr>
                <w:sz w:val="20"/>
                <w:lang w:eastAsia="zh-CN"/>
              </w:rPr>
              <w:t>2.申请人逾期未按收费通知要求缴纳费用、行政机关不再处</w:t>
            </w:r>
          </w:p>
          <w:p>
            <w:pPr>
              <w:pStyle w:val="10"/>
              <w:spacing w:line="560" w:lineRule="exact"/>
              <w:ind w:left="56"/>
              <w:rPr>
                <w:sz w:val="20"/>
                <w:lang w:eastAsia="zh-CN"/>
              </w:rPr>
            </w:pPr>
            <w:r>
              <w:rPr>
                <w:sz w:val="20"/>
                <w:lang w:eastAsia="zh-CN"/>
              </w:rPr>
              <w:t>理其政府信息公开申请</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810" w:type="dxa"/>
            <w:vMerge w:val="continue"/>
            <w:tcBorders>
              <w:top w:val="nil"/>
            </w:tcBorders>
          </w:tcPr>
          <w:p>
            <w:pPr>
              <w:spacing w:line="560" w:lineRule="exact"/>
              <w:rPr>
                <w:sz w:val="2"/>
                <w:szCs w:val="2"/>
              </w:rPr>
            </w:pPr>
          </w:p>
        </w:tc>
        <w:tc>
          <w:tcPr>
            <w:tcW w:w="2769" w:type="dxa"/>
          </w:tcPr>
          <w:p>
            <w:pPr>
              <w:pStyle w:val="10"/>
              <w:spacing w:before="37" w:line="560" w:lineRule="exact"/>
              <w:ind w:left="56"/>
              <w:rPr>
                <w:sz w:val="20"/>
              </w:rPr>
            </w:pPr>
            <w:r>
              <w:rPr>
                <w:sz w:val="20"/>
              </w:rPr>
              <w:t>3.其他</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spacing w:line="560" w:lineRule="exact"/>
              <w:rPr>
                <w:sz w:val="2"/>
                <w:szCs w:val="2"/>
              </w:rPr>
            </w:pPr>
          </w:p>
        </w:tc>
        <w:tc>
          <w:tcPr>
            <w:tcW w:w="3579" w:type="dxa"/>
            <w:gridSpan w:val="2"/>
          </w:tcPr>
          <w:p>
            <w:pPr>
              <w:pStyle w:val="10"/>
              <w:spacing w:before="38" w:line="560" w:lineRule="exact"/>
              <w:ind w:left="55"/>
              <w:rPr>
                <w:sz w:val="20"/>
              </w:rPr>
            </w:pPr>
            <w:r>
              <w:rPr>
                <w:w w:val="65"/>
                <w:sz w:val="20"/>
              </w:rPr>
              <w:t>（</w:t>
            </w:r>
            <w:r>
              <w:rPr>
                <w:spacing w:val="60"/>
                <w:w w:val="65"/>
                <w:sz w:val="20"/>
              </w:rPr>
              <w:t xml:space="preserve"> </w:t>
            </w:r>
            <w:r>
              <w:rPr>
                <w:w w:val="95"/>
                <w:sz w:val="20"/>
              </w:rPr>
              <w:t>七</w:t>
            </w:r>
            <w:r>
              <w:rPr>
                <w:w w:val="65"/>
                <w:sz w:val="20"/>
              </w:rPr>
              <w:t>）</w:t>
            </w:r>
            <w:r>
              <w:rPr>
                <w:spacing w:val="61"/>
                <w:w w:val="65"/>
                <w:sz w:val="20"/>
              </w:rPr>
              <w:t xml:space="preserve"> </w:t>
            </w:r>
            <w:r>
              <w:rPr>
                <w:w w:val="95"/>
                <w:sz w:val="20"/>
              </w:rPr>
              <w:t>总计</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4239" w:type="dxa"/>
            <w:gridSpan w:val="3"/>
          </w:tcPr>
          <w:p>
            <w:pPr>
              <w:pStyle w:val="10"/>
              <w:spacing w:before="46" w:line="560" w:lineRule="exact"/>
              <w:ind w:left="55"/>
              <w:rPr>
                <w:sz w:val="20"/>
                <w:lang w:eastAsia="zh-CN"/>
              </w:rPr>
            </w:pPr>
            <w:r>
              <w:rPr>
                <w:sz w:val="20"/>
                <w:lang w:eastAsia="zh-CN"/>
              </w:rPr>
              <w:t>四、结转下年度继续办理</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c>
          <w:tcPr>
            <w:tcW w:w="591" w:type="dxa"/>
            <w:vAlign w:val="center"/>
          </w:tcPr>
          <w:p>
            <w:pPr>
              <w:widowControl/>
              <w:spacing w:line="560" w:lineRule="exact"/>
              <w:jc w:val="center"/>
              <w:rPr>
                <w:rFonts w:ascii="Times New Roman"/>
                <w:sz w:val="20"/>
              </w:rPr>
            </w:pPr>
            <w:r>
              <w:rPr>
                <w:rFonts w:hint="eastAsia"/>
                <w:color w:val="333333"/>
                <w:sz w:val="20"/>
                <w:szCs w:val="20"/>
                <w:lang w:eastAsia="zh-CN" w:bidi="ar"/>
              </w:rPr>
              <w:t>0</w:t>
            </w:r>
          </w:p>
        </w:tc>
        <w:tc>
          <w:tcPr>
            <w:tcW w:w="593" w:type="dxa"/>
            <w:vAlign w:val="center"/>
          </w:tcPr>
          <w:p>
            <w:pPr>
              <w:widowControl/>
              <w:spacing w:line="560" w:lineRule="exact"/>
              <w:jc w:val="center"/>
              <w:rPr>
                <w:rFonts w:ascii="Times New Roman"/>
                <w:sz w:val="20"/>
              </w:rPr>
            </w:pPr>
            <w:r>
              <w:rPr>
                <w:rFonts w:ascii="Calibri" w:hAnsi="Calibri" w:eastAsia="微软雅黑" w:cs="Calibri"/>
                <w:color w:val="333333"/>
                <w:sz w:val="20"/>
                <w:szCs w:val="20"/>
                <w:lang w:eastAsia="zh-CN" w:bidi="ar"/>
              </w:rPr>
              <w:t> </w:t>
            </w:r>
            <w:r>
              <w:rPr>
                <w:rFonts w:hint="eastAsia"/>
                <w:color w:val="333333"/>
                <w:sz w:val="20"/>
                <w:szCs w:val="20"/>
                <w:lang w:eastAsia="zh-CN" w:bidi="ar"/>
              </w:rPr>
              <w:t>0</w:t>
            </w:r>
          </w:p>
        </w:tc>
        <w:tc>
          <w:tcPr>
            <w:tcW w:w="592" w:type="dxa"/>
            <w:vAlign w:val="center"/>
          </w:tcPr>
          <w:p>
            <w:pPr>
              <w:widowControl/>
              <w:spacing w:line="560" w:lineRule="exact"/>
              <w:jc w:val="center"/>
              <w:rPr>
                <w:rFonts w:ascii="Times New Roman"/>
                <w:sz w:val="20"/>
              </w:rPr>
            </w:pPr>
            <w:r>
              <w:rPr>
                <w:rFonts w:hint="eastAsia"/>
                <w:color w:val="333333"/>
                <w:sz w:val="20"/>
                <w:szCs w:val="20"/>
                <w:lang w:eastAsia="zh-CN" w:bidi="ar"/>
              </w:rPr>
              <w:t>0</w:t>
            </w:r>
            <w:r>
              <w:rPr>
                <w:rFonts w:ascii="Calibri" w:hAnsi="Calibri" w:eastAsia="微软雅黑" w:cs="Calibri"/>
                <w:color w:val="333333"/>
                <w:sz w:val="20"/>
                <w:szCs w:val="20"/>
                <w:lang w:eastAsia="zh-CN" w:bidi="ar"/>
              </w:rPr>
              <w:t> </w:t>
            </w:r>
          </w:p>
        </w:tc>
      </w:tr>
    </w:tbl>
    <w:p>
      <w:pPr>
        <w:rPr>
          <w:rFonts w:ascii="黑体" w:eastAsia="黑体"/>
        </w:rPr>
        <w:sectPr>
          <w:pgSz w:w="11910" w:h="16840"/>
          <w:pgMar w:top="2098" w:right="1474" w:bottom="1984" w:left="1587" w:header="720" w:footer="720" w:gutter="0"/>
          <w:cols w:space="720" w:num="1"/>
        </w:sectPr>
      </w:pPr>
    </w:p>
    <w:p>
      <w:pPr>
        <w:pStyle w:val="4"/>
        <w:ind w:left="0" w:firstLine="640" w:firstLineChars="200"/>
        <w:rPr>
          <w:rFonts w:ascii="黑体" w:eastAsia="黑体"/>
          <w:color w:val="333333"/>
          <w:lang w:eastAsia="zh-CN"/>
        </w:rPr>
      </w:pPr>
      <w:r>
        <w:rPr>
          <w:rFonts w:hint="eastAsia" w:ascii="方正黑体_GBK" w:hAnsi="方正黑体_GBK" w:eastAsia="方正黑体_GBK" w:cs="方正黑体_GBK"/>
          <w:shd w:val="clear" w:color="auto" w:fill="FFFFFF"/>
          <w:lang w:eastAsia="zh-CN"/>
        </w:rPr>
        <w:t>四、政府信息公开行政复议、行政诉讼情况</w:t>
      </w:r>
    </w:p>
    <w:tbl>
      <w:tblPr>
        <w:tblStyle w:val="7"/>
        <w:tblW w:w="7799" w:type="dxa"/>
        <w:tblInd w:w="4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2596" w:type="dxa"/>
            <w:gridSpan w:val="5"/>
          </w:tcPr>
          <w:p>
            <w:pPr>
              <w:pStyle w:val="10"/>
              <w:spacing w:before="37" w:line="560" w:lineRule="exact"/>
              <w:ind w:right="858" w:firstLine="600" w:firstLineChars="300"/>
              <w:jc w:val="both"/>
              <w:rPr>
                <w:sz w:val="20"/>
              </w:rPr>
            </w:pPr>
            <w:r>
              <w:rPr>
                <w:sz w:val="20"/>
              </w:rPr>
              <w:t>行政复议</w:t>
            </w:r>
          </w:p>
        </w:tc>
        <w:tc>
          <w:tcPr>
            <w:tcW w:w="5203" w:type="dxa"/>
            <w:gridSpan w:val="10"/>
          </w:tcPr>
          <w:p>
            <w:pPr>
              <w:pStyle w:val="10"/>
              <w:spacing w:before="37" w:line="560" w:lineRule="exact"/>
              <w:ind w:left="2179" w:right="2163"/>
              <w:jc w:val="center"/>
              <w:rPr>
                <w:sz w:val="20"/>
              </w:rPr>
            </w:pPr>
            <w:r>
              <w:rPr>
                <w:sz w:val="20"/>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519" w:type="dxa"/>
            <w:vMerge w:val="restart"/>
          </w:tcPr>
          <w:p>
            <w:pPr>
              <w:pStyle w:val="10"/>
              <w:spacing w:before="11" w:line="560" w:lineRule="exact"/>
              <w:rPr>
                <w:rFonts w:ascii="黑体"/>
                <w:sz w:val="15"/>
              </w:rPr>
            </w:pPr>
          </w:p>
          <w:p>
            <w:pPr>
              <w:pStyle w:val="10"/>
              <w:spacing w:line="560" w:lineRule="exact"/>
              <w:ind w:left="159" w:right="138"/>
              <w:jc w:val="both"/>
              <w:rPr>
                <w:sz w:val="20"/>
              </w:rPr>
            </w:pPr>
            <w:r>
              <w:rPr>
                <w:sz w:val="20"/>
              </w:rPr>
              <w:t>结果维持</w:t>
            </w:r>
          </w:p>
        </w:tc>
        <w:tc>
          <w:tcPr>
            <w:tcW w:w="519" w:type="dxa"/>
            <w:vMerge w:val="restart"/>
          </w:tcPr>
          <w:p>
            <w:pPr>
              <w:pStyle w:val="10"/>
              <w:spacing w:before="11" w:line="560" w:lineRule="exact"/>
              <w:rPr>
                <w:rFonts w:ascii="黑体"/>
                <w:sz w:val="15"/>
              </w:rPr>
            </w:pPr>
          </w:p>
          <w:p>
            <w:pPr>
              <w:pStyle w:val="10"/>
              <w:spacing w:line="560" w:lineRule="exact"/>
              <w:ind w:left="158" w:right="139"/>
              <w:jc w:val="both"/>
              <w:rPr>
                <w:sz w:val="20"/>
              </w:rPr>
            </w:pPr>
            <w:r>
              <w:rPr>
                <w:sz w:val="20"/>
              </w:rPr>
              <w:t>结果纠正</w:t>
            </w:r>
          </w:p>
        </w:tc>
        <w:tc>
          <w:tcPr>
            <w:tcW w:w="519" w:type="dxa"/>
            <w:vMerge w:val="restart"/>
          </w:tcPr>
          <w:p>
            <w:pPr>
              <w:pStyle w:val="10"/>
              <w:spacing w:before="11" w:line="560" w:lineRule="exact"/>
              <w:rPr>
                <w:rFonts w:ascii="黑体"/>
                <w:sz w:val="15"/>
              </w:rPr>
            </w:pPr>
          </w:p>
          <w:p>
            <w:pPr>
              <w:pStyle w:val="10"/>
              <w:spacing w:line="560" w:lineRule="exact"/>
              <w:ind w:left="158" w:right="139"/>
              <w:jc w:val="both"/>
              <w:rPr>
                <w:sz w:val="20"/>
              </w:rPr>
            </w:pPr>
            <w:r>
              <w:rPr>
                <w:sz w:val="20"/>
              </w:rPr>
              <w:t>其他结果</w:t>
            </w:r>
          </w:p>
        </w:tc>
        <w:tc>
          <w:tcPr>
            <w:tcW w:w="519" w:type="dxa"/>
            <w:vMerge w:val="restart"/>
          </w:tcPr>
          <w:p>
            <w:pPr>
              <w:pStyle w:val="10"/>
              <w:spacing w:before="11" w:line="560" w:lineRule="exact"/>
              <w:rPr>
                <w:rFonts w:ascii="黑体"/>
                <w:sz w:val="15"/>
              </w:rPr>
            </w:pPr>
          </w:p>
          <w:p>
            <w:pPr>
              <w:pStyle w:val="10"/>
              <w:spacing w:line="560" w:lineRule="exact"/>
              <w:ind w:left="157" w:right="140"/>
              <w:jc w:val="both"/>
              <w:rPr>
                <w:sz w:val="20"/>
              </w:rPr>
            </w:pPr>
            <w:r>
              <w:rPr>
                <w:sz w:val="20"/>
              </w:rPr>
              <w:t>尚未审结</w:t>
            </w:r>
          </w:p>
        </w:tc>
        <w:tc>
          <w:tcPr>
            <w:tcW w:w="520" w:type="dxa"/>
            <w:vMerge w:val="restart"/>
          </w:tcPr>
          <w:p>
            <w:pPr>
              <w:pStyle w:val="10"/>
              <w:spacing w:line="560" w:lineRule="exact"/>
              <w:rPr>
                <w:rFonts w:ascii="黑体"/>
                <w:sz w:val="20"/>
              </w:rPr>
            </w:pPr>
          </w:p>
          <w:p>
            <w:pPr>
              <w:pStyle w:val="10"/>
              <w:spacing w:before="2" w:line="560" w:lineRule="exact"/>
              <w:rPr>
                <w:rFonts w:ascii="黑体"/>
                <w:sz w:val="20"/>
              </w:rPr>
            </w:pPr>
          </w:p>
          <w:p>
            <w:pPr>
              <w:pStyle w:val="10"/>
              <w:spacing w:line="560" w:lineRule="exact"/>
              <w:ind w:left="159" w:right="139"/>
              <w:rPr>
                <w:sz w:val="20"/>
              </w:rPr>
            </w:pPr>
            <w:r>
              <w:rPr>
                <w:sz w:val="20"/>
              </w:rPr>
              <w:t>总计</w:t>
            </w:r>
          </w:p>
        </w:tc>
        <w:tc>
          <w:tcPr>
            <w:tcW w:w="2598" w:type="dxa"/>
            <w:gridSpan w:val="5"/>
          </w:tcPr>
          <w:p>
            <w:pPr>
              <w:pStyle w:val="10"/>
              <w:spacing w:before="35" w:line="560" w:lineRule="exact"/>
              <w:ind w:left="498"/>
              <w:rPr>
                <w:sz w:val="20"/>
              </w:rPr>
            </w:pPr>
            <w:r>
              <w:rPr>
                <w:sz w:val="20"/>
              </w:rPr>
              <w:t>未经复议直接起诉</w:t>
            </w:r>
          </w:p>
        </w:tc>
        <w:tc>
          <w:tcPr>
            <w:tcW w:w="2605" w:type="dxa"/>
            <w:gridSpan w:val="5"/>
          </w:tcPr>
          <w:p>
            <w:pPr>
              <w:pStyle w:val="10"/>
              <w:spacing w:before="35" w:line="560" w:lineRule="exact"/>
              <w:ind w:left="802"/>
              <w:rPr>
                <w:sz w:val="20"/>
              </w:rPr>
            </w:pPr>
            <w:r>
              <w:rPr>
                <w:sz w:val="20"/>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519" w:type="dxa"/>
            <w:vMerge w:val="continue"/>
            <w:tcBorders>
              <w:top w:val="nil"/>
            </w:tcBorders>
          </w:tcPr>
          <w:p>
            <w:pPr>
              <w:spacing w:line="560" w:lineRule="exact"/>
              <w:rPr>
                <w:sz w:val="2"/>
                <w:szCs w:val="2"/>
              </w:rPr>
            </w:pPr>
          </w:p>
        </w:tc>
        <w:tc>
          <w:tcPr>
            <w:tcW w:w="519" w:type="dxa"/>
            <w:vMerge w:val="continue"/>
            <w:tcBorders>
              <w:top w:val="nil"/>
            </w:tcBorders>
          </w:tcPr>
          <w:p>
            <w:pPr>
              <w:spacing w:line="560" w:lineRule="exact"/>
              <w:rPr>
                <w:sz w:val="2"/>
                <w:szCs w:val="2"/>
              </w:rPr>
            </w:pPr>
          </w:p>
        </w:tc>
        <w:tc>
          <w:tcPr>
            <w:tcW w:w="519" w:type="dxa"/>
            <w:vMerge w:val="continue"/>
            <w:tcBorders>
              <w:top w:val="nil"/>
            </w:tcBorders>
          </w:tcPr>
          <w:p>
            <w:pPr>
              <w:spacing w:line="560" w:lineRule="exact"/>
              <w:rPr>
                <w:sz w:val="2"/>
                <w:szCs w:val="2"/>
              </w:rPr>
            </w:pPr>
          </w:p>
        </w:tc>
        <w:tc>
          <w:tcPr>
            <w:tcW w:w="519" w:type="dxa"/>
            <w:vMerge w:val="continue"/>
            <w:tcBorders>
              <w:top w:val="nil"/>
            </w:tcBorders>
          </w:tcPr>
          <w:p>
            <w:pPr>
              <w:spacing w:line="560" w:lineRule="exact"/>
              <w:rPr>
                <w:sz w:val="2"/>
                <w:szCs w:val="2"/>
              </w:rPr>
            </w:pPr>
          </w:p>
        </w:tc>
        <w:tc>
          <w:tcPr>
            <w:tcW w:w="520" w:type="dxa"/>
            <w:vMerge w:val="continue"/>
            <w:tcBorders>
              <w:top w:val="nil"/>
            </w:tcBorders>
          </w:tcPr>
          <w:p>
            <w:pPr>
              <w:spacing w:line="560" w:lineRule="exact"/>
              <w:rPr>
                <w:sz w:val="2"/>
                <w:szCs w:val="2"/>
              </w:rPr>
            </w:pPr>
          </w:p>
        </w:tc>
        <w:tc>
          <w:tcPr>
            <w:tcW w:w="519" w:type="dxa"/>
          </w:tcPr>
          <w:p>
            <w:pPr>
              <w:pStyle w:val="10"/>
              <w:spacing w:before="28" w:line="560" w:lineRule="exact"/>
              <w:ind w:left="157" w:right="140"/>
              <w:jc w:val="both"/>
              <w:rPr>
                <w:sz w:val="20"/>
              </w:rPr>
            </w:pPr>
            <w:r>
              <w:rPr>
                <w:sz w:val="20"/>
              </w:rPr>
              <w:t>结果维</w:t>
            </w:r>
          </w:p>
          <w:p>
            <w:pPr>
              <w:pStyle w:val="10"/>
              <w:spacing w:line="560" w:lineRule="exact"/>
              <w:ind w:left="157"/>
              <w:jc w:val="both"/>
              <w:rPr>
                <w:sz w:val="20"/>
              </w:rPr>
            </w:pPr>
            <w:r>
              <w:rPr>
                <w:w w:val="99"/>
                <w:sz w:val="20"/>
              </w:rPr>
              <w:t>持</w:t>
            </w:r>
          </w:p>
        </w:tc>
        <w:tc>
          <w:tcPr>
            <w:tcW w:w="519" w:type="dxa"/>
          </w:tcPr>
          <w:p>
            <w:pPr>
              <w:pStyle w:val="10"/>
              <w:spacing w:before="28" w:line="560" w:lineRule="exact"/>
              <w:ind w:left="159" w:right="138"/>
              <w:jc w:val="both"/>
              <w:rPr>
                <w:sz w:val="20"/>
              </w:rPr>
            </w:pPr>
            <w:r>
              <w:rPr>
                <w:sz w:val="20"/>
              </w:rPr>
              <w:t>结果纠</w:t>
            </w:r>
          </w:p>
          <w:p>
            <w:pPr>
              <w:pStyle w:val="10"/>
              <w:spacing w:line="560" w:lineRule="exact"/>
              <w:ind w:left="159"/>
              <w:jc w:val="both"/>
              <w:rPr>
                <w:sz w:val="20"/>
              </w:rPr>
            </w:pPr>
            <w:r>
              <w:rPr>
                <w:w w:val="99"/>
                <w:sz w:val="20"/>
              </w:rPr>
              <w:t>正</w:t>
            </w:r>
          </w:p>
        </w:tc>
        <w:tc>
          <w:tcPr>
            <w:tcW w:w="520" w:type="dxa"/>
          </w:tcPr>
          <w:p>
            <w:pPr>
              <w:pStyle w:val="10"/>
              <w:spacing w:before="28" w:line="560" w:lineRule="exact"/>
              <w:ind w:left="158" w:right="140"/>
              <w:jc w:val="both"/>
              <w:rPr>
                <w:sz w:val="20"/>
              </w:rPr>
            </w:pPr>
            <w:r>
              <w:rPr>
                <w:sz w:val="20"/>
              </w:rPr>
              <w:t>其他结</w:t>
            </w:r>
          </w:p>
          <w:p>
            <w:pPr>
              <w:pStyle w:val="10"/>
              <w:spacing w:line="560" w:lineRule="exact"/>
              <w:ind w:left="158"/>
              <w:jc w:val="both"/>
              <w:rPr>
                <w:sz w:val="20"/>
              </w:rPr>
            </w:pPr>
            <w:r>
              <w:rPr>
                <w:w w:val="99"/>
                <w:sz w:val="20"/>
              </w:rPr>
              <w:t>果</w:t>
            </w:r>
          </w:p>
        </w:tc>
        <w:tc>
          <w:tcPr>
            <w:tcW w:w="520" w:type="dxa"/>
          </w:tcPr>
          <w:p>
            <w:pPr>
              <w:pStyle w:val="10"/>
              <w:spacing w:before="28" w:line="560" w:lineRule="exact"/>
              <w:ind w:left="159" w:right="139"/>
              <w:jc w:val="both"/>
              <w:rPr>
                <w:sz w:val="20"/>
              </w:rPr>
            </w:pPr>
            <w:r>
              <w:rPr>
                <w:sz w:val="20"/>
              </w:rPr>
              <w:t>尚未审</w:t>
            </w:r>
          </w:p>
          <w:p>
            <w:pPr>
              <w:pStyle w:val="10"/>
              <w:spacing w:line="560" w:lineRule="exact"/>
              <w:ind w:left="159"/>
              <w:jc w:val="both"/>
              <w:rPr>
                <w:sz w:val="20"/>
              </w:rPr>
            </w:pPr>
            <w:r>
              <w:rPr>
                <w:w w:val="99"/>
                <w:sz w:val="20"/>
              </w:rPr>
              <w:t>结</w:t>
            </w:r>
          </w:p>
        </w:tc>
        <w:tc>
          <w:tcPr>
            <w:tcW w:w="520" w:type="dxa"/>
          </w:tcPr>
          <w:p>
            <w:pPr>
              <w:pStyle w:val="10"/>
              <w:spacing w:before="7" w:line="560" w:lineRule="exact"/>
              <w:rPr>
                <w:rFonts w:ascii="黑体"/>
                <w:sz w:val="26"/>
              </w:rPr>
            </w:pPr>
          </w:p>
          <w:p>
            <w:pPr>
              <w:pStyle w:val="10"/>
              <w:spacing w:line="560" w:lineRule="exact"/>
              <w:ind w:left="160" w:right="138"/>
              <w:rPr>
                <w:sz w:val="20"/>
              </w:rPr>
            </w:pPr>
            <w:r>
              <w:rPr>
                <w:sz w:val="20"/>
              </w:rPr>
              <w:t>总计</w:t>
            </w:r>
          </w:p>
        </w:tc>
        <w:tc>
          <w:tcPr>
            <w:tcW w:w="520" w:type="dxa"/>
          </w:tcPr>
          <w:p>
            <w:pPr>
              <w:pStyle w:val="10"/>
              <w:spacing w:before="28" w:line="560" w:lineRule="exact"/>
              <w:ind w:left="158" w:right="140"/>
              <w:jc w:val="both"/>
              <w:rPr>
                <w:sz w:val="20"/>
              </w:rPr>
            </w:pPr>
            <w:r>
              <w:rPr>
                <w:sz w:val="20"/>
              </w:rPr>
              <w:t>结果维</w:t>
            </w:r>
          </w:p>
          <w:p>
            <w:pPr>
              <w:pStyle w:val="10"/>
              <w:spacing w:line="560" w:lineRule="exact"/>
              <w:ind w:left="158"/>
              <w:jc w:val="both"/>
              <w:rPr>
                <w:sz w:val="20"/>
              </w:rPr>
            </w:pPr>
            <w:r>
              <w:rPr>
                <w:w w:val="99"/>
                <w:sz w:val="20"/>
              </w:rPr>
              <w:t>持</w:t>
            </w:r>
          </w:p>
        </w:tc>
        <w:tc>
          <w:tcPr>
            <w:tcW w:w="520" w:type="dxa"/>
          </w:tcPr>
          <w:p>
            <w:pPr>
              <w:pStyle w:val="10"/>
              <w:spacing w:before="28" w:line="560" w:lineRule="exact"/>
              <w:ind w:left="159" w:right="139"/>
              <w:jc w:val="both"/>
              <w:rPr>
                <w:sz w:val="20"/>
              </w:rPr>
            </w:pPr>
            <w:r>
              <w:rPr>
                <w:sz w:val="20"/>
              </w:rPr>
              <w:t>结果纠</w:t>
            </w:r>
          </w:p>
          <w:p>
            <w:pPr>
              <w:pStyle w:val="10"/>
              <w:spacing w:line="560" w:lineRule="exact"/>
              <w:ind w:left="159"/>
              <w:jc w:val="both"/>
              <w:rPr>
                <w:sz w:val="20"/>
              </w:rPr>
            </w:pPr>
            <w:r>
              <w:rPr>
                <w:w w:val="99"/>
                <w:sz w:val="20"/>
              </w:rPr>
              <w:t>正</w:t>
            </w:r>
          </w:p>
        </w:tc>
        <w:tc>
          <w:tcPr>
            <w:tcW w:w="520" w:type="dxa"/>
          </w:tcPr>
          <w:p>
            <w:pPr>
              <w:pStyle w:val="10"/>
              <w:spacing w:before="28" w:line="560" w:lineRule="exact"/>
              <w:ind w:left="160" w:right="138"/>
              <w:jc w:val="both"/>
              <w:rPr>
                <w:sz w:val="20"/>
              </w:rPr>
            </w:pPr>
            <w:r>
              <w:rPr>
                <w:sz w:val="20"/>
              </w:rPr>
              <w:t>其他结</w:t>
            </w:r>
          </w:p>
          <w:p>
            <w:pPr>
              <w:pStyle w:val="10"/>
              <w:spacing w:line="560" w:lineRule="exact"/>
              <w:ind w:left="160"/>
              <w:jc w:val="both"/>
              <w:rPr>
                <w:sz w:val="20"/>
              </w:rPr>
            </w:pPr>
            <w:r>
              <w:rPr>
                <w:w w:val="99"/>
                <w:sz w:val="20"/>
              </w:rPr>
              <w:t>果</w:t>
            </w:r>
          </w:p>
        </w:tc>
        <w:tc>
          <w:tcPr>
            <w:tcW w:w="520" w:type="dxa"/>
          </w:tcPr>
          <w:p>
            <w:pPr>
              <w:pStyle w:val="10"/>
              <w:spacing w:before="28" w:line="560" w:lineRule="exact"/>
              <w:ind w:left="158" w:right="140"/>
              <w:jc w:val="both"/>
              <w:rPr>
                <w:sz w:val="20"/>
              </w:rPr>
            </w:pPr>
            <w:r>
              <w:rPr>
                <w:sz w:val="20"/>
              </w:rPr>
              <w:t>尚未审</w:t>
            </w:r>
          </w:p>
          <w:p>
            <w:pPr>
              <w:pStyle w:val="10"/>
              <w:spacing w:line="560" w:lineRule="exact"/>
              <w:ind w:left="158"/>
              <w:jc w:val="both"/>
              <w:rPr>
                <w:sz w:val="20"/>
              </w:rPr>
            </w:pPr>
            <w:r>
              <w:rPr>
                <w:w w:val="99"/>
                <w:sz w:val="20"/>
              </w:rPr>
              <w:t>结</w:t>
            </w:r>
          </w:p>
        </w:tc>
        <w:tc>
          <w:tcPr>
            <w:tcW w:w="525" w:type="dxa"/>
          </w:tcPr>
          <w:p>
            <w:pPr>
              <w:pStyle w:val="10"/>
              <w:spacing w:before="7" w:line="560" w:lineRule="exact"/>
              <w:rPr>
                <w:rFonts w:ascii="黑体"/>
                <w:sz w:val="26"/>
              </w:rPr>
            </w:pPr>
          </w:p>
          <w:p>
            <w:pPr>
              <w:pStyle w:val="10"/>
              <w:spacing w:line="560" w:lineRule="exact"/>
              <w:ind w:left="162" w:right="141"/>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7" w:hRule="atLeast"/>
        </w:trPr>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19"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0"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c>
          <w:tcPr>
            <w:tcW w:w="525" w:type="dxa"/>
          </w:tcPr>
          <w:p>
            <w:pPr>
              <w:pStyle w:val="10"/>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0</w:t>
            </w:r>
          </w:p>
        </w:tc>
      </w:tr>
    </w:tbl>
    <w:p>
      <w:pPr>
        <w:spacing w:line="560" w:lineRule="exact"/>
        <w:ind w:firstLine="640" w:firstLineChars="200"/>
        <w:rPr>
          <w:rFonts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eastAsia="zh-CN"/>
        </w:rPr>
        <w:t>五、存在的主要问题及改进情况</w:t>
      </w:r>
    </w:p>
    <w:p>
      <w:pPr>
        <w:spacing w:line="560" w:lineRule="exact"/>
        <w:ind w:firstLine="640" w:firstLineChars="200"/>
        <w:rPr>
          <w:rFonts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2022年，我局政府信息公开工作还存在部分栏目更新不够及时，少数信息表述不规范等问题。2023年，我局将进一步提升主动公开信息的及时性和准确性，加强自查，发现问题及时予以整改，确保网站的有序运行。</w:t>
      </w:r>
    </w:p>
    <w:p>
      <w:pPr>
        <w:spacing w:line="560" w:lineRule="exact"/>
        <w:ind w:firstLine="640" w:firstLineChars="200"/>
        <w:rPr>
          <w:rFonts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shd w:val="clear" w:color="auto" w:fill="FFFFFF"/>
          <w:lang w:eastAsia="zh-CN"/>
        </w:rPr>
        <w:t>六、其他需要报告的事项</w:t>
      </w:r>
    </w:p>
    <w:p>
      <w:pPr>
        <w:spacing w:line="560" w:lineRule="exact"/>
        <w:ind w:firstLine="640" w:firstLineChars="200"/>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按照《国务院办公厅关于印发〈政府信息公开信息处理费管理办法〉的通知》（国办函〔2020〕109号）规定的按件、按量收费标准，本年度没有产生信息公开处理费。</w:t>
      </w:r>
    </w:p>
    <w:p>
      <w:pPr>
        <w:spacing w:line="560" w:lineRule="exact"/>
        <w:ind w:firstLine="640" w:firstLineChars="200"/>
        <w:rPr>
          <w:rFonts w:hint="default"/>
          <w:lang w:val="en-US" w:eastAsia="zh-CN"/>
        </w:rPr>
      </w:pPr>
      <w:r>
        <w:rPr>
          <w:rFonts w:hint="eastAsia" w:ascii="Times New Roman" w:hAnsi="Times New Roman" w:eastAsia="方正仿宋_GBK" w:cs="Times New Roman"/>
          <w:kern w:val="2"/>
          <w:sz w:val="32"/>
          <w:szCs w:val="32"/>
          <w:lang w:val="en-US" w:eastAsia="zh-CN" w:bidi="ar-SA"/>
        </w:rPr>
        <w:t>本年度贯彻执行《八公山区2022年政务公开重点工作任务分工》。一、强化日常管理。继续强化专人负责信息公开工作，明确工作责任，提高群众对政府信息公开的知晓率和参与度，能够更好地为群众提供服务。二、及时更新发布政务公开信息。适时梳理信息公开内容，修正、更新政务服务指南，完善相关制度，扎实推进政务信息公开各项工作。三、丰富政务公开方式。以群众需求为导向，在不断深化政府信息公开内容的同时，努力做到公开方式的灵活多样，更好的为经济社会和人民群众服务。四、加强监督管理。遵守政务公开工作制度，对好的经验和做法，做好总结推广，对发现的问题，及时进行整改，确保公开各项工作落实落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dit="readOnly" w:enforcement="1" w:cryptProviderType="rsaFull" w:cryptAlgorithmClass="hash" w:cryptAlgorithmType="typeAny" w:cryptAlgorithmSid="4" w:cryptSpinCount="0" w:hash="O0JBKtzCOcChKPTY0HMAuueLGv4=" w:salt="eixaBijqrEh2249GfsUbl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OTBkMzk3ZGM5YmE4MDAwM2IwMTM4ZDkyNThlYTAifQ=="/>
  </w:docVars>
  <w:rsids>
    <w:rsidRoot w:val="5C2A1559"/>
    <w:rsid w:val="005441B2"/>
    <w:rsid w:val="00640155"/>
    <w:rsid w:val="00AD3FDA"/>
    <w:rsid w:val="00C05674"/>
    <w:rsid w:val="00F754D5"/>
    <w:rsid w:val="03D4486B"/>
    <w:rsid w:val="05A510ED"/>
    <w:rsid w:val="13A02D2C"/>
    <w:rsid w:val="180B2FF1"/>
    <w:rsid w:val="18FE3350"/>
    <w:rsid w:val="1CFA546E"/>
    <w:rsid w:val="1E2F4F57"/>
    <w:rsid w:val="1F9256B5"/>
    <w:rsid w:val="23D672FE"/>
    <w:rsid w:val="28574385"/>
    <w:rsid w:val="2FA14756"/>
    <w:rsid w:val="32A221C5"/>
    <w:rsid w:val="349D6EF7"/>
    <w:rsid w:val="355E778F"/>
    <w:rsid w:val="35DC30AF"/>
    <w:rsid w:val="36797030"/>
    <w:rsid w:val="3CA81E4B"/>
    <w:rsid w:val="3CE34EB7"/>
    <w:rsid w:val="3E8D2693"/>
    <w:rsid w:val="3EC22ED2"/>
    <w:rsid w:val="40A03A3D"/>
    <w:rsid w:val="414F3B0C"/>
    <w:rsid w:val="41662A1D"/>
    <w:rsid w:val="43066DA5"/>
    <w:rsid w:val="4AE745D1"/>
    <w:rsid w:val="4D751BD9"/>
    <w:rsid w:val="54D14AB4"/>
    <w:rsid w:val="57DB7DEE"/>
    <w:rsid w:val="5C2A1559"/>
    <w:rsid w:val="5FF142A6"/>
    <w:rsid w:val="62140677"/>
    <w:rsid w:val="65037F01"/>
    <w:rsid w:val="69261EA7"/>
    <w:rsid w:val="69C5550F"/>
    <w:rsid w:val="6D320B07"/>
    <w:rsid w:val="6E7D1AEF"/>
    <w:rsid w:val="6E900B48"/>
    <w:rsid w:val="760F4A49"/>
    <w:rsid w:val="785C7CED"/>
    <w:rsid w:val="7AF4731B"/>
    <w:rsid w:val="7DB1144E"/>
    <w:rsid w:val="7E7D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56"/>
      <w:ind w:left="159"/>
      <w:outlineLvl w:val="0"/>
    </w:pPr>
    <w:rPr>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qFormat/>
    <w:uiPriority w:val="1"/>
    <w:pPr>
      <w:ind w:left="159"/>
    </w:pPr>
    <w:rPr>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paragraph" w:customStyle="1" w:styleId="10">
    <w:name w:val="Table Paragraph"/>
    <w:basedOn w:val="1"/>
    <w:qFormat/>
    <w:uiPriority w:val="1"/>
  </w:style>
  <w:style w:type="paragraph" w:customStyle="1" w:styleId="11">
    <w:name w:val="普通(网站)1"/>
    <w:basedOn w:val="1"/>
    <w:qFormat/>
    <w:uiPriority w:val="0"/>
    <w:rPr>
      <w:sz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2755</Words>
  <Characters>2873</Characters>
  <Lines>20</Lines>
  <Paragraphs>5</Paragraphs>
  <TotalTime>6</TotalTime>
  <ScaleCrop>false</ScaleCrop>
  <LinksUpToDate>false</LinksUpToDate>
  <CharactersWithSpaces>3053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2022-01-19T08:53:00Z</dcterms:created>
  <dc:creator>Administrator</dc:creator>
  <cp:lastModifiedBy>詹先生</cp:lastModifiedBy>
  <cp:lastPrinted>2022-01-26T03:18:00Z</cp:lastPrinted>
  <dcterms:modified xsi:type="dcterms:W3CDTF">2023-01-20T07:28:41Z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5C8A62CFC493442CA2B4496255F2A792</vt:lpwstr>
  </property>
</Properties>
</file>