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安徽省淮南市八公山区财政局2021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</w:t>
      </w:r>
    </w:p>
    <w:p>
      <w:pPr>
        <w:jc w:val="center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(参考格式)</w:t>
      </w:r>
    </w:p>
    <w:p>
      <w:pPr>
        <w:jc w:val="center"/>
        <w:rPr>
          <w:rFonts w:hint="eastAsia"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一、2021年度一般公共预算财政拨款“三公”经费支出决算表</w:t>
      </w:r>
    </w:p>
    <w:p>
      <w:pPr>
        <w:ind w:firstLine="7216" w:firstLineChars="2298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5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0.11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0.11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0.11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0.00</w:t>
            </w:r>
          </w:p>
        </w:tc>
      </w:tr>
    </w:tbl>
    <w:p>
      <w:pPr>
        <w:ind w:firstLine="628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2021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楷体_GB2312" w:hAnsi="仿宋" w:eastAsia="楷体_GB2312"/>
          <w:szCs w:val="32"/>
        </w:rPr>
      </w:pPr>
      <w:r>
        <w:rPr>
          <w:rFonts w:hint="eastAsia" w:ascii="仿宋_GB2312" w:hAnsi="仿宋"/>
          <w:szCs w:val="32"/>
        </w:rPr>
        <w:t>安徽省淮南市八公山区财政局2021年度一般公共预算财政拨款“三公”经费支出预算为</w:t>
      </w:r>
      <w:r>
        <w:rPr>
          <w:rFonts w:hint="eastAsia" w:ascii="宋体" w:hAnsi="宋体" w:cs="宋体"/>
          <w:kern w:val="0"/>
          <w:szCs w:val="21"/>
        </w:rPr>
        <w:t>0.11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宋体" w:hAnsi="宋体" w:cs="宋体"/>
          <w:kern w:val="0"/>
          <w:szCs w:val="21"/>
        </w:rPr>
        <w:t>0.11</w:t>
      </w:r>
      <w:r>
        <w:rPr>
          <w:rFonts w:hint="eastAsia" w:ascii="仿宋_GB2312" w:hAnsi="仿宋"/>
          <w:szCs w:val="32"/>
        </w:rPr>
        <w:t>万元，完成预算的100%。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安徽省淮南市八公山区财政局2021年度一般公共预算财政拨款“三公”经费支出决算中，因公出国（境）费支出决算0万元，占0%;公务接待费支出决算0.11万元，占100%；公务用车购置及运行维护费支出决算0万元，占0%。具体情况如下：</w:t>
      </w:r>
    </w:p>
    <w:p>
      <w:pPr>
        <w:ind w:firstLine="628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</w:rPr>
        <w:t>0万元，与2021年度预算相比，减少（增加）0万元，下降（增长）0%。2021年安徽省淮南市八公山区财政局因公出国（境）团组0次，累计出国（境）0人次。该项经费根据省外办批准的因公临时出国（境）计划，按照规定标准安排。经费使用参照</w:t>
      </w:r>
      <w:r>
        <w:t>《淮南市市直党政机关因公临时 出国经费管理办法》（淮财行政〔2014〕65 号）</w:t>
      </w:r>
      <w:r>
        <w:rPr>
          <w:rFonts w:hint="eastAsia" w:ascii="仿宋_GB2312" w:hAnsi="仿宋"/>
          <w:szCs w:val="32"/>
        </w:rPr>
        <w:t>等相关规定执行。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</w:rPr>
        <w:t>0.11万元, 与2021年度预算相比，减少（增加）0万元，下降（增长）0%。2021年安徽省淮南市八公山区财政局国内公务接待共5批次（其中外事接待0批次），37人次（其中外事接待0人次）。经费使用贯彻</w:t>
      </w:r>
      <w:r>
        <w:rPr>
          <w:rFonts w:hint="eastAsia" w:ascii="仿宋_GB2312" w:hAnsi="仿宋"/>
          <w:szCs w:val="32"/>
          <w:lang w:eastAsia="zh-CN"/>
        </w:rPr>
        <w:t>中央八项规定</w:t>
      </w:r>
      <w:r>
        <w:rPr>
          <w:rFonts w:hint="eastAsia" w:ascii="仿宋_GB2312" w:hAnsi="仿宋"/>
          <w:szCs w:val="32"/>
        </w:rPr>
        <w:t>和</w:t>
      </w:r>
      <w:r>
        <w:rPr>
          <w:rFonts w:hint="eastAsia" w:ascii="仿宋_GB2312" w:hAnsi="宋体" w:cs="宋体"/>
          <w:color w:val="282828"/>
          <w:kern w:val="0"/>
          <w:szCs w:val="32"/>
        </w:rPr>
        <w:t>安徽省实施细则</w:t>
      </w:r>
      <w:r>
        <w:rPr>
          <w:rFonts w:hint="eastAsia" w:ascii="仿宋_GB2312" w:hAnsi="仿宋"/>
          <w:szCs w:val="32"/>
        </w:rPr>
        <w:t>，严格执行《党政机关厉行节约反对浪费条例》、</w:t>
      </w:r>
      <w:r>
        <w:t>《淮南市市直机关公务接待费管理暂行办法》（淮财行政〔2014〕581 号）相关规定</w:t>
      </w:r>
      <w:r>
        <w:rPr>
          <w:rFonts w:hint="eastAsia" w:ascii="仿宋_GB2312" w:hAnsi="仿宋"/>
          <w:szCs w:val="32"/>
        </w:rPr>
        <w:t>相关规定。</w:t>
      </w:r>
    </w:p>
    <w:p>
      <w:pPr>
        <w:ind w:firstLine="628" w:firstLineChars="200"/>
        <w:rPr>
          <w:rFonts w:hint="eastAsia" w:ascii="仿宋_GB231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</w:rPr>
        <w:t>0万元，与2021年度预算相比，减少（增加）0万元，下降（增长）0%。其中，公务用车购置费0万元，与2021年度预算相比，减少（增加）0万元，下降（增长）0%， 2021年没有安排公务用车购置费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0万元，与2021年度预算相比，减少（增加）0万元，下降（增长）0%。公务用车运行维护费，包括车辆燃料费、维修费、过路过桥费、保险费等支出。截至2021年12月31日，安徽省淮南市八公山区财政局机关</w:t>
      </w:r>
      <w:r>
        <w:rPr>
          <w:rFonts w:hint="eastAsia" w:ascii="仿宋_GB2312" w:hAnsi="仿宋"/>
          <w:b/>
          <w:bCs/>
          <w:szCs w:val="32"/>
        </w:rPr>
        <w:t>及所属单位</w:t>
      </w:r>
      <w:r>
        <w:rPr>
          <w:rFonts w:hint="eastAsia" w:ascii="仿宋_GB2312" w:hAnsi="仿宋"/>
          <w:szCs w:val="32"/>
        </w:rPr>
        <w:t>开支财政拨款的公务用车保有量为0辆。</w:t>
      </w:r>
    </w:p>
    <w:p>
      <w:pPr>
        <w:pStyle w:val="2"/>
        <w:ind w:left="1258" w:hanging="1258"/>
        <w:jc w:val="both"/>
        <w:rPr>
          <w:rFonts w:hint="eastAsia" w:ascii="仿宋_GB2312" w:eastAsia="仿宋_GB2312"/>
          <w:sz w:val="32"/>
        </w:rPr>
      </w:pPr>
    </w:p>
    <w:p>
      <w:pPr>
        <w:pStyle w:val="2"/>
        <w:ind w:left="1258" w:hanging="1258"/>
        <w:jc w:val="both"/>
        <w:rPr>
          <w:rFonts w:hint="eastAsia" w:ascii="仿宋_GB2312" w:eastAsia="仿宋_GB2312"/>
          <w:sz w:val="32"/>
        </w:rPr>
      </w:pPr>
    </w:p>
    <w:p>
      <w:pPr>
        <w:pStyle w:val="2"/>
        <w:jc w:val="both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仿宋_GB2312"/>
        <w:sz w:val="28"/>
      </w:rPr>
    </w:pPr>
    <w:r>
      <w:rPr>
        <w:rStyle w:val="7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7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7"/>
        <w:rFonts w:ascii="仿宋_GB2312"/>
        <w:sz w:val="28"/>
        <w:szCs w:val="28"/>
      </w:rPr>
      <w:t>3</w:t>
    </w:r>
    <w:r>
      <w:rPr>
        <w:rFonts w:hint="eastAsia" w:ascii="仿宋_GB2312"/>
        <w:sz w:val="28"/>
        <w:szCs w:val="28"/>
      </w:rPr>
      <w:fldChar w:fldCharType="end"/>
    </w:r>
    <w:r>
      <w:rPr>
        <w:rStyle w:val="7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 w:val="en-US" w:eastAsia="zh-CN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64"/>
    <w:rsid w:val="003F3E39"/>
    <w:rsid w:val="009B5764"/>
    <w:rsid w:val="5EE323D5"/>
    <w:rsid w:val="75C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uiPriority w:val="0"/>
    <w:rPr>
      <w:rFonts w:ascii="Times New Roman" w:hAnsi="Times New Roman" w:eastAsia="黑体" w:cs="Times New Roman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945</Words>
  <Characters>1064</Characters>
  <Lines>8</Lines>
  <Paragraphs>2</Paragraphs>
  <TotalTime>1</TotalTime>
  <ScaleCrop>false</ScaleCrop>
  <LinksUpToDate>false</LinksUpToDate>
  <CharactersWithSpaces>1145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2022-09-07T01:34:00Z</dcterms:created>
  <dc:creator>崔爱民</dc:creator>
  <cp:lastModifiedBy>WPS_1678700464</cp:lastModifiedBy>
  <dcterms:modified xsi:type="dcterms:W3CDTF">2023-04-14T08:16:16Z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FE57B8157B9F45C29640211F8A51EBE9</vt:lpwstr>
  </property>
</Properties>
</file>