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napToGrid w:val="0"/>
        <w:spacing w:line="360" w:lineRule="auto"/>
        <w:jc w:val="center"/>
        <w:rPr>
          <w:rFonts w:hint="eastAsia" w:ascii="华文中宋" w:hAnsi="华文中宋" w:eastAsia="华文中宋" w:cs="华文中宋"/>
          <w:b/>
          <w:color w:val="000000"/>
          <w:sz w:val="48"/>
          <w:szCs w:val="48"/>
          <w:lang w:val="en-US" w:eastAsia="zh-CN"/>
        </w:rPr>
      </w:pPr>
      <w:r>
        <w:rPr>
          <w:rFonts w:hint="eastAsia" w:ascii="华文中宋" w:hAnsi="华文中宋" w:eastAsia="华文中宋" w:cs="华文中宋"/>
          <w:b/>
          <w:color w:val="000000"/>
          <w:sz w:val="48"/>
          <w:szCs w:val="48"/>
        </w:rPr>
        <w:t>八公山区</w:t>
      </w:r>
      <w:r>
        <w:rPr>
          <w:rFonts w:hint="eastAsia" w:ascii="华文中宋" w:hAnsi="华文中宋" w:eastAsia="华文中宋" w:cs="华文中宋"/>
          <w:b/>
          <w:color w:val="000000"/>
          <w:sz w:val="48"/>
          <w:szCs w:val="48"/>
          <w:lang w:val="en-US" w:eastAsia="zh-CN"/>
        </w:rPr>
        <w:t>财政局</w:t>
      </w:r>
      <w:r>
        <w:rPr>
          <w:rFonts w:hint="eastAsia" w:ascii="华文中宋" w:hAnsi="华文中宋" w:eastAsia="华文中宋" w:cs="华文中宋"/>
          <w:b/>
          <w:color w:val="000000"/>
          <w:sz w:val="48"/>
          <w:szCs w:val="48"/>
        </w:rPr>
        <w:t>2020年度部门决算</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bookmarkStart w:id="0" w:name="_GoBack"/>
      <w:bookmarkEnd w:id="0"/>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p>
    <w:p>
      <w:pPr>
        <w:pStyle w:val="4"/>
        <w:widowControl/>
        <w:rPr>
          <w:rFonts w:hint="eastAsia" w:ascii="宋体" w:hAnsi="宋体" w:cs="宋体"/>
          <w:color w:val="000000"/>
          <w:sz w:val="28"/>
          <w:szCs w:val="28"/>
        </w:rPr>
      </w:pPr>
    </w:p>
    <w:p>
      <w:pPr>
        <w:pStyle w:val="5"/>
        <w:widowControl/>
        <w:snapToGrid w:val="0"/>
        <w:spacing w:before="0" w:after="0" w:line="360" w:lineRule="auto"/>
        <w:jc w:val="center"/>
        <w:rPr>
          <w:rFonts w:ascii="黑体" w:eastAsia="黑体" w:cs="黑体"/>
          <w:color w:val="000000"/>
          <w:sz w:val="48"/>
          <w:szCs w:val="48"/>
        </w:rPr>
      </w:pPr>
      <w:r>
        <w:rPr>
          <w:rFonts w:ascii="黑体" w:eastAsia="黑体" w:cs="黑体"/>
          <w:color w:val="000000"/>
          <w:sz w:val="44"/>
          <w:szCs w:val="44"/>
        </w:rPr>
        <w:t>2021年</w:t>
      </w:r>
      <w:r>
        <w:rPr>
          <w:rFonts w:hint="eastAsia" w:ascii="黑体" w:eastAsia="黑体" w:cs="黑体"/>
          <w:color w:val="000000"/>
          <w:sz w:val="44"/>
          <w:szCs w:val="44"/>
          <w:lang w:val="en-US" w:eastAsia="zh-CN"/>
        </w:rPr>
        <w:t>9</w:t>
      </w:r>
      <w:r>
        <w:rPr>
          <w:rFonts w:ascii="黑体" w:eastAsia="黑体" w:cs="黑体"/>
          <w:color w:val="000000"/>
          <w:sz w:val="44"/>
          <w:szCs w:val="44"/>
        </w:rPr>
        <w:t>月</w:t>
      </w:r>
    </w:p>
    <w:p>
      <w:pPr>
        <w:pStyle w:val="4"/>
        <w:widowControl/>
        <w:spacing w:line="580" w:lineRule="atLeast"/>
        <w:jc w:val="center"/>
        <w:rPr>
          <w:rFonts w:hint="eastAsia" w:ascii="黑体" w:hAnsi="宋体" w:eastAsia="黑体" w:cs="黑体"/>
          <w:color w:val="000000"/>
          <w:sz w:val="48"/>
          <w:szCs w:val="48"/>
        </w:rPr>
      </w:pPr>
    </w:p>
    <w:p>
      <w:pPr>
        <w:pStyle w:val="4"/>
        <w:widowControl/>
        <w:spacing w:line="580" w:lineRule="atLeast"/>
        <w:jc w:val="center"/>
        <w:rPr>
          <w:rFonts w:hint="eastAsia" w:ascii="黑体" w:hAnsi="宋体" w:eastAsia="黑体" w:cs="黑体"/>
          <w:color w:val="000000"/>
          <w:sz w:val="48"/>
          <w:szCs w:val="48"/>
        </w:rPr>
      </w:pPr>
      <w:r>
        <w:rPr>
          <w:rFonts w:hint="eastAsia" w:ascii="黑体" w:hAnsi="宋体" w:eastAsia="黑体" w:cs="黑体"/>
          <w:color w:val="000000"/>
          <w:sz w:val="48"/>
          <w:szCs w:val="48"/>
        </w:rPr>
        <w:t>目  录</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第一部分 八公山区</w:t>
      </w:r>
      <w:r>
        <w:rPr>
          <w:rFonts w:hint="eastAsia" w:ascii="宋体" w:hAnsi="宋体" w:cs="宋体"/>
          <w:b/>
          <w:color w:val="000000"/>
          <w:sz w:val="36"/>
          <w:szCs w:val="36"/>
          <w:lang w:val="en-US" w:eastAsia="zh-CN"/>
        </w:rPr>
        <w:t>财政局</w:t>
      </w:r>
      <w:r>
        <w:rPr>
          <w:rFonts w:ascii="仿宋_GB2312" w:eastAsia="仿宋_GB2312" w:cs="仿宋_GB2312"/>
          <w:b/>
          <w:color w:val="000000"/>
          <w:sz w:val="36"/>
          <w:szCs w:val="36"/>
        </w:rPr>
        <w:t>概况</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一、部门职责</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二、机构设置</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第二部分 八公山区</w:t>
      </w:r>
      <w:r>
        <w:rPr>
          <w:rFonts w:hint="eastAsia" w:ascii="宋体" w:hAnsi="宋体" w:cs="宋体"/>
          <w:b/>
          <w:color w:val="000000"/>
          <w:sz w:val="36"/>
          <w:szCs w:val="36"/>
          <w:lang w:val="en-US" w:eastAsia="zh-CN"/>
        </w:rPr>
        <w:t>财政局</w:t>
      </w:r>
      <w:r>
        <w:rPr>
          <w:rFonts w:hint="eastAsia" w:ascii="宋体" w:hAnsi="宋体" w:cs="宋体"/>
          <w:b/>
          <w:color w:val="000000"/>
          <w:sz w:val="36"/>
          <w:szCs w:val="36"/>
        </w:rPr>
        <w:t>2020</w:t>
      </w:r>
      <w:r>
        <w:rPr>
          <w:rFonts w:ascii="仿宋_GB2312" w:eastAsia="仿宋_GB2312" w:cs="仿宋_GB2312"/>
          <w:b/>
          <w:color w:val="000000"/>
          <w:sz w:val="36"/>
          <w:szCs w:val="36"/>
        </w:rPr>
        <w:t>年度部门决算表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七、政府性基金预算财政拨款收入支出决算表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八、国有资本经营预算财政拨款支出决算表</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第三部分 八公山区</w:t>
      </w:r>
      <w:r>
        <w:rPr>
          <w:rFonts w:hint="eastAsia" w:ascii="宋体" w:hAnsi="宋体" w:cs="宋体"/>
          <w:b/>
          <w:color w:val="000000"/>
          <w:sz w:val="36"/>
          <w:szCs w:val="36"/>
          <w:lang w:val="en-US" w:eastAsia="zh-CN"/>
        </w:rPr>
        <w:t>财政局</w:t>
      </w:r>
      <w:r>
        <w:rPr>
          <w:rFonts w:hint="eastAsia" w:ascii="宋体" w:hAnsi="宋体" w:cs="宋体"/>
          <w:b/>
          <w:color w:val="000000"/>
          <w:sz w:val="36"/>
          <w:szCs w:val="36"/>
        </w:rPr>
        <w:t>2020</w:t>
      </w:r>
      <w:r>
        <w:rPr>
          <w:rFonts w:ascii="仿宋_GB2312" w:eastAsia="仿宋_GB2312" w:cs="仿宋_GB2312"/>
          <w:b/>
          <w:color w:val="000000"/>
          <w:sz w:val="36"/>
          <w:szCs w:val="36"/>
        </w:rPr>
        <w:t>年度部门决算情况说明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七、政府性基金财政拨款收入支出决算情况说明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九、其他重要事项情况说明</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第四部分 名词解释</w:t>
      </w: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r>
        <w:rPr>
          <w:rFonts w:hint="eastAsia" w:ascii="宋体" w:hAnsi="宋体" w:cs="宋体"/>
          <w:b/>
          <w:color w:val="000000"/>
          <w:sz w:val="36"/>
          <w:szCs w:val="36"/>
        </w:rPr>
        <w:t>八公山区</w:t>
      </w:r>
      <w:r>
        <w:rPr>
          <w:rFonts w:hint="eastAsia" w:ascii="宋体" w:hAnsi="宋体" w:cs="宋体"/>
          <w:b/>
          <w:color w:val="000000"/>
          <w:sz w:val="36"/>
          <w:szCs w:val="36"/>
          <w:lang w:val="en-US" w:eastAsia="zh-CN"/>
        </w:rPr>
        <w:t>财政局</w:t>
      </w:r>
      <w:r>
        <w:rPr>
          <w:rFonts w:ascii="仿宋_GB2312" w:eastAsia="仿宋_GB2312" w:cs="仿宋_GB2312"/>
          <w:b/>
          <w:color w:val="000000"/>
          <w:sz w:val="36"/>
          <w:szCs w:val="36"/>
        </w:rPr>
        <w:t>2020年</w:t>
      </w:r>
      <w:r>
        <w:rPr>
          <w:rFonts w:hint="eastAsia" w:ascii="宋体" w:hAnsi="宋体" w:cs="宋体"/>
          <w:b/>
          <w:color w:val="000000"/>
          <w:sz w:val="36"/>
          <w:szCs w:val="36"/>
        </w:rPr>
        <w:t>度部门决算</w:t>
      </w:r>
      <w:r>
        <w:rPr>
          <w:rFonts w:ascii="仿宋_GB2312" w:eastAsia="仿宋_GB2312" w:cs="仿宋_GB2312"/>
          <w:b/>
          <w:color w:val="000000"/>
          <w:sz w:val="36"/>
          <w:szCs w:val="36"/>
        </w:rPr>
        <w:t>情况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第一部分 八公山区</w:t>
      </w:r>
      <w:r>
        <w:rPr>
          <w:rFonts w:hint="eastAsia" w:ascii="黑体" w:hAnsi="宋体" w:eastAsia="黑体" w:cs="黑体"/>
          <w:color w:val="000000"/>
          <w:sz w:val="32"/>
          <w:szCs w:val="32"/>
          <w:lang w:val="en-US" w:eastAsia="zh-CN"/>
        </w:rPr>
        <w:t>财政局</w:t>
      </w:r>
      <w:r>
        <w:rPr>
          <w:rFonts w:hint="eastAsia" w:ascii="黑体" w:hAnsi="宋体" w:eastAsia="黑体" w:cs="黑体"/>
          <w:color w:val="000000"/>
          <w:sz w:val="32"/>
          <w:szCs w:val="32"/>
        </w:rPr>
        <w:t>概况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一、部门职责</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一、部门职责</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1、贯彻执行国家财政、税收、财务、会计方面的法律法规、方针政策和有关制度，研究、拟订有关法规、政策和规章制度并监督执行。</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2、拟定财政发展规划，参与制定有关宏观经济政策，编制年度区级预算草案并组织执行，受区人民政府委托，向区人民代表大会报告区级预算及执行情况。</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3、制定财政收入计划，管理和监督各项财政收入，监缴行政事业性收费、罚没、国有资源（资产）有偿使用等非税收入。</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4、监督、管理本级公共财政支出，负责实施国库集中支付制度，依照有关规定管理行政事业单位银行开户和区级财政专户。</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5、负责区本级基本建设投资项目资金拨付，负责本级经济发展支出，监督管理本级财政专户。</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6、参与制定行政事业单位国有资产的各项管理制度，管理行政事业单位国有资产的财务预、决算，监督区属行政事业单位财务活动。</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7、管理政府借（贷）资金，监管资金回收情况。</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8、编制部门预算，强化预算约束，建立政府公共预算制度，实行综合财政管理。</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9、组织实施对社会保障资金使用的财政监督。</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10、依法加强税政管理，组织、协同税务部门管理全区各项税收，监督检查税收政策、法令的执行，并对税务部门的征管工作实行必要的财政监督。</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11、编制区本级政府采购计划，监管政府采购活动，完善政府采购制度。制定财政教育规则，负责财政宣传和信息工作。</w:t>
      </w:r>
    </w:p>
    <w:p>
      <w:pPr>
        <w:widowControl/>
        <w:shd w:val="clear" w:color="auto" w:fill="FFFFFF"/>
        <w:ind w:firstLine="640" w:firstLineChars="200"/>
        <w:jc w:val="left"/>
        <w:rPr>
          <w:rFonts w:hint="eastAsia" w:ascii="仿宋_GB2312" w:hAnsi="仿宋_GB2312" w:eastAsia="仿宋_GB2312" w:cs="仿宋_GB2312"/>
          <w:kern w:val="0"/>
          <w:szCs w:val="32"/>
        </w:rPr>
      </w:pPr>
      <w:r>
        <w:rPr>
          <w:rFonts w:hint="eastAsia" w:ascii="仿宋_GB2312" w:hAnsi="仿宋_GB2312" w:eastAsia="仿宋_GB2312" w:cs="仿宋_GB2312"/>
          <w:kern w:val="0"/>
          <w:sz w:val="32"/>
          <w:szCs w:val="32"/>
        </w:rPr>
        <w:t>12、承担区委、区政府交办的其他事项。</w:t>
      </w:r>
    </w:p>
    <w:p>
      <w:pPr>
        <w:pStyle w:val="4"/>
        <w:widowControl/>
        <w:rPr>
          <w:rFonts w:hint="eastAsia" w:ascii="黑体" w:hAnsi="宋体" w:eastAsia="黑体" w:cs="黑体"/>
          <w:color w:val="000000"/>
          <w:sz w:val="32"/>
          <w:szCs w:val="32"/>
        </w:rPr>
      </w:pPr>
    </w:p>
    <w:p>
      <w:pPr>
        <w:pStyle w:val="4"/>
        <w:widowControl/>
        <w:ind w:firstLine="640" w:firstLineChars="200"/>
        <w:rPr>
          <w:rFonts w:hint="eastAsia" w:ascii="黑体" w:hAnsi="宋体" w:eastAsia="黑体" w:cs="黑体"/>
          <w:color w:val="000000"/>
          <w:sz w:val="32"/>
          <w:szCs w:val="32"/>
        </w:rPr>
      </w:pPr>
      <w:r>
        <w:rPr>
          <w:rFonts w:hint="eastAsia" w:ascii="黑体" w:hAnsi="宋体" w:eastAsia="黑体" w:cs="黑体"/>
          <w:color w:val="000000"/>
          <w:sz w:val="32"/>
          <w:szCs w:val="32"/>
        </w:rPr>
        <w:t>二、机构设置</w:t>
      </w:r>
    </w:p>
    <w:p>
      <w:pPr>
        <w:pStyle w:val="4"/>
        <w:widowControl/>
        <w:ind w:firstLine="640"/>
        <w:rPr>
          <w:rFonts w:hint="default" w:ascii="仿宋_GB2312" w:eastAsia="仿宋_GB2312" w:cs="仿宋_GB2312"/>
          <w:color w:val="000000"/>
          <w:sz w:val="32"/>
          <w:szCs w:val="32"/>
          <w:lang w:val="en-US" w:eastAsia="zh-CN"/>
        </w:rPr>
      </w:pPr>
      <w:r>
        <w:rPr>
          <w:rFonts w:ascii="仿宋_GB2312" w:eastAsia="仿宋_GB2312" w:cs="仿宋_GB2312"/>
          <w:color w:val="000000"/>
          <w:sz w:val="32"/>
          <w:szCs w:val="32"/>
        </w:rPr>
        <w:t>从决算单位构成看，八公山区</w:t>
      </w:r>
      <w:r>
        <w:rPr>
          <w:rFonts w:hint="eastAsia" w:ascii="仿宋_GB2312" w:eastAsia="仿宋_GB2312" w:cs="仿宋_GB2312"/>
          <w:color w:val="000000"/>
          <w:sz w:val="32"/>
          <w:szCs w:val="32"/>
          <w:lang w:val="en-US" w:eastAsia="zh-CN"/>
        </w:rPr>
        <w:t>财政局</w:t>
      </w:r>
      <w:r>
        <w:rPr>
          <w:rFonts w:ascii="仿宋_GB2312" w:eastAsia="仿宋_GB2312" w:cs="仿宋_GB2312"/>
          <w:color w:val="000000"/>
          <w:sz w:val="32"/>
          <w:szCs w:val="32"/>
        </w:rPr>
        <w:t>2020年度部门决算包括：单位本级决算和单位所属事业单位决算，与预算</w:t>
      </w:r>
      <w:r>
        <w:rPr>
          <w:rFonts w:hint="eastAsia" w:ascii="仿宋_GB2312" w:eastAsia="仿宋_GB2312" w:cs="仿宋_GB2312"/>
          <w:color w:val="000000"/>
          <w:sz w:val="32"/>
          <w:szCs w:val="32"/>
          <w:lang w:val="en-US" w:eastAsia="zh-CN"/>
        </w:rPr>
        <w:t>一致。</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纳入八公山</w:t>
      </w:r>
      <w:r>
        <w:rPr>
          <w:rFonts w:hint="eastAsia" w:ascii="仿宋_GB2312" w:eastAsia="仿宋_GB2312" w:cs="仿宋_GB2312"/>
          <w:color w:val="000000"/>
          <w:sz w:val="32"/>
          <w:szCs w:val="32"/>
          <w:lang w:val="en-US" w:eastAsia="zh-CN"/>
        </w:rPr>
        <w:t>区财政局</w:t>
      </w:r>
      <w:r>
        <w:rPr>
          <w:rFonts w:ascii="仿宋_GB2312" w:eastAsia="仿宋_GB2312" w:cs="仿宋_GB2312"/>
          <w:color w:val="000000"/>
          <w:sz w:val="32"/>
          <w:szCs w:val="32"/>
        </w:rPr>
        <w:t>2020年度部门决算编制范围的二级单位共</w:t>
      </w: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个，详细情况见下表：</w:t>
      </w:r>
    </w:p>
    <w:tbl>
      <w:tblPr>
        <w:tblStyle w:val="2"/>
        <w:tblW w:w="0" w:type="auto"/>
        <w:jc w:val="center"/>
        <w:tblLayout w:type="fixed"/>
        <w:tblCellMar>
          <w:top w:w="0" w:type="dxa"/>
          <w:left w:w="0" w:type="dxa"/>
          <w:bottom w:w="0" w:type="dxa"/>
          <w:right w:w="0" w:type="dxa"/>
        </w:tblCellMar>
      </w:tblPr>
      <w:tblGrid>
        <w:gridCol w:w="1389"/>
        <w:gridCol w:w="5837"/>
      </w:tblGrid>
      <w:tr>
        <w:tblPrEx>
          <w:tblCellMar>
            <w:top w:w="0" w:type="dxa"/>
            <w:left w:w="0" w:type="dxa"/>
            <w:bottom w:w="0" w:type="dxa"/>
            <w:right w:w="0" w:type="dxa"/>
          </w:tblCellMar>
        </w:tblPrEx>
        <w:trPr>
          <w:trHeight w:val="397" w:hRule="atLeast"/>
          <w:jc w:val="center"/>
        </w:trPr>
        <w:tc>
          <w:tcPr>
            <w:tcW w:w="1389"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序号</w:t>
            </w:r>
          </w:p>
        </w:tc>
        <w:tc>
          <w:tcPr>
            <w:tcW w:w="5837"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单位名称</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八公山区</w:t>
            </w:r>
            <w:r>
              <w:rPr>
                <w:rFonts w:hint="eastAsia" w:ascii="仿宋_GB2312" w:eastAsia="仿宋_GB2312" w:cs="仿宋_GB2312"/>
                <w:color w:val="000000"/>
                <w:sz w:val="32"/>
                <w:szCs w:val="32"/>
                <w:lang w:val="en-US" w:eastAsia="zh-CN"/>
              </w:rPr>
              <w:t>财政局</w:t>
            </w:r>
            <w:r>
              <w:rPr>
                <w:rFonts w:ascii="仿宋_GB2312" w:eastAsia="仿宋_GB2312" w:cs="仿宋_GB2312"/>
                <w:color w:val="000000"/>
                <w:sz w:val="32"/>
                <w:szCs w:val="32"/>
              </w:rPr>
              <w:t>本级</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2</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八公山区政府采购中心</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lang w:val="en-US" w:eastAsia="zh-CN"/>
              </w:rPr>
              <w:t>3</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八公山区会计核算中心</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第二部分 八公山区</w:t>
      </w:r>
      <w:r>
        <w:rPr>
          <w:rFonts w:hint="eastAsia" w:ascii="黑体" w:hAnsi="宋体" w:eastAsia="黑体" w:cs="黑体"/>
          <w:color w:val="000000"/>
          <w:sz w:val="32"/>
          <w:szCs w:val="32"/>
          <w:lang w:val="en-US" w:eastAsia="zh-CN"/>
        </w:rPr>
        <w:t>财政局</w:t>
      </w:r>
      <w:r>
        <w:rPr>
          <w:rFonts w:hint="eastAsia" w:ascii="黑体" w:hAnsi="宋体" w:eastAsia="黑体" w:cs="黑体"/>
          <w:color w:val="000000"/>
          <w:sz w:val="32"/>
          <w:szCs w:val="32"/>
        </w:rPr>
        <w:t>2020年度部门决算表</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一、收入支出决算总表</w:t>
      </w:r>
    </w:p>
    <w:tbl>
      <w:tblPr>
        <w:tblStyle w:val="2"/>
        <w:tblW w:w="9735" w:type="dxa"/>
        <w:jc w:val="center"/>
        <w:tblLayout w:type="fixed"/>
        <w:tblCellMar>
          <w:top w:w="15" w:type="dxa"/>
          <w:left w:w="108" w:type="dxa"/>
          <w:bottom w:w="15" w:type="dxa"/>
          <w:right w:w="108" w:type="dxa"/>
        </w:tblCellMar>
      </w:tblPr>
      <w:tblGrid>
        <w:gridCol w:w="2085"/>
        <w:gridCol w:w="2625"/>
        <w:gridCol w:w="3447"/>
        <w:gridCol w:w="1578"/>
      </w:tblGrid>
      <w:tr>
        <w:tblPrEx>
          <w:tblCellMar>
            <w:top w:w="15" w:type="dxa"/>
            <w:left w:w="108" w:type="dxa"/>
            <w:bottom w:w="15" w:type="dxa"/>
            <w:right w:w="108" w:type="dxa"/>
          </w:tblCellMar>
        </w:tblPrEx>
        <w:trPr>
          <w:trHeight w:val="285" w:hRule="atLeast"/>
          <w:jc w:val="center"/>
        </w:trPr>
        <w:tc>
          <w:tcPr>
            <w:tcW w:w="2085" w:type="dxa"/>
            <w:noWrap w:val="0"/>
            <w:vAlign w:val="center"/>
          </w:tcPr>
          <w:p>
            <w:pPr>
              <w:pStyle w:val="4"/>
              <w:widowControl/>
              <w:rPr>
                <w:rFonts w:ascii="Arial" w:hAnsi="Arial" w:cs="Arial"/>
                <w:color w:val="000000"/>
                <w:sz w:val="20"/>
                <w:szCs w:val="20"/>
              </w:rPr>
            </w:pPr>
          </w:p>
        </w:tc>
        <w:tc>
          <w:tcPr>
            <w:tcW w:w="2625" w:type="dxa"/>
            <w:noWrap w:val="0"/>
            <w:vAlign w:val="center"/>
          </w:tcPr>
          <w:p>
            <w:pPr>
              <w:pStyle w:val="4"/>
              <w:widowControl/>
              <w:rPr>
                <w:rFonts w:ascii="Arial" w:hAnsi="Arial" w:cs="Arial"/>
                <w:color w:val="000000"/>
                <w:sz w:val="20"/>
                <w:szCs w:val="20"/>
              </w:rPr>
            </w:pPr>
          </w:p>
        </w:tc>
        <w:tc>
          <w:tcPr>
            <w:tcW w:w="5025" w:type="dxa"/>
            <w:gridSpan w:val="2"/>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公开01表</w:t>
            </w:r>
          </w:p>
        </w:tc>
      </w:tr>
      <w:tr>
        <w:tblPrEx>
          <w:tblCellMar>
            <w:top w:w="15" w:type="dxa"/>
            <w:left w:w="108" w:type="dxa"/>
            <w:bottom w:w="15" w:type="dxa"/>
            <w:right w:w="108" w:type="dxa"/>
          </w:tblCellMar>
        </w:tblPrEx>
        <w:trPr>
          <w:trHeight w:val="300" w:hRule="atLeast"/>
          <w:jc w:val="center"/>
        </w:trPr>
        <w:tc>
          <w:tcPr>
            <w:tcW w:w="2085" w:type="dxa"/>
            <w:tcBorders>
              <w:bottom w:val="single" w:color="000000" w:sz="4" w:space="0"/>
            </w:tcBorders>
            <w:noWrap w:val="0"/>
            <w:vAlign w:val="bottom"/>
          </w:tcPr>
          <w:p>
            <w:pPr>
              <w:pStyle w:val="4"/>
              <w:widowControl/>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p>
        </w:tc>
        <w:tc>
          <w:tcPr>
            <w:tcW w:w="2625" w:type="dxa"/>
            <w:tcBorders>
              <w:bottom w:val="single" w:color="000000" w:sz="4" w:space="0"/>
            </w:tcBorders>
            <w:noWrap w:val="0"/>
            <w:vAlign w:val="center"/>
          </w:tcPr>
          <w:p>
            <w:pPr>
              <w:pStyle w:val="4"/>
              <w:widowControl/>
              <w:rPr>
                <w:rFonts w:ascii="Arial" w:hAnsi="Arial" w:cs="Arial"/>
                <w:color w:val="000000"/>
                <w:sz w:val="20"/>
                <w:szCs w:val="20"/>
              </w:rPr>
            </w:pPr>
          </w:p>
        </w:tc>
        <w:tc>
          <w:tcPr>
            <w:tcW w:w="5025" w:type="dxa"/>
            <w:gridSpan w:val="2"/>
            <w:tcBorders>
              <w:bottom w:val="single" w:color="000000" w:sz="4" w:space="0"/>
            </w:tcBorders>
            <w:noWrap w:val="0"/>
            <w:vAlign w:val="bottom"/>
          </w:tcPr>
          <w:p>
            <w:pPr>
              <w:pStyle w:val="4"/>
              <w:widowControl/>
              <w:jc w:val="right"/>
              <w:rPr>
                <w:rFonts w:hint="eastAsia" w:ascii="宋体" w:hAnsi="宋体" w:cs="宋体"/>
                <w:color w:val="000000"/>
                <w:sz w:val="24"/>
                <w:szCs w:val="24"/>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127" w:hRule="atLeast"/>
          <w:jc w:val="center"/>
        </w:trPr>
        <w:tc>
          <w:tcPr>
            <w:tcW w:w="471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502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支出</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金额</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57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157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2</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color w:val="000000"/>
                <w:sz w:val="22"/>
                <w:szCs w:val="22"/>
                <w:lang w:eastAsia="zh-CN"/>
              </w:rPr>
            </w:pPr>
            <w:r>
              <w:rPr>
                <w:rFonts w:hint="eastAsia" w:ascii="宋体" w:hAnsi="宋体" w:eastAsia="宋体" w:cs="宋体"/>
                <w:i w:val="0"/>
                <w:iCs w:val="0"/>
                <w:color w:val="000000"/>
                <w:kern w:val="0"/>
                <w:sz w:val="22"/>
                <w:szCs w:val="22"/>
                <w:u w:val="none"/>
                <w:lang w:val="en-US" w:eastAsia="zh-CN" w:bidi="ar"/>
              </w:rPr>
              <w:t>308.09</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115.25</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四、上级补助收入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4.00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五、事业收入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六、经营收入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七、附属单位上缴收入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八、其他收入</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20.32</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1.87</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151.15</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2.24</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5.76</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0"/>
                <w:szCs w:val="20"/>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二十二、灾害防治及应急管理支出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二十三、其他支出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二十五、债务付息支出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本年收入合计</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308.09</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308.09</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xml:space="preserve">    使用非财政拨款结余</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结余分配</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 xml:space="preserve">    年初结转和结余</w:t>
            </w:r>
          </w:p>
        </w:tc>
        <w:tc>
          <w:tcPr>
            <w:tcW w:w="26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344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年末结转和结余</w:t>
            </w:r>
          </w:p>
        </w:tc>
        <w:tc>
          <w:tcPr>
            <w:tcW w:w="157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r>
    </w:tbl>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二、收入决算表</w:t>
      </w:r>
    </w:p>
    <w:p>
      <w:pPr>
        <w:pStyle w:val="4"/>
        <w:widowControl/>
        <w:ind w:firstLine="640"/>
        <w:rPr>
          <w:rFonts w:hint="eastAsia" w:ascii="宋体" w:hAnsi="宋体" w:cs="宋体"/>
          <w:color w:val="000000"/>
          <w:sz w:val="20"/>
          <w:szCs w:val="20"/>
        </w:rPr>
      </w:pPr>
      <w:r>
        <w:rPr>
          <w:rFonts w:hint="eastAsia" w:ascii="黑体" w:hAnsi="宋体" w:eastAsia="黑体" w:cs="黑体"/>
          <w:color w:val="000000"/>
          <w:sz w:val="32"/>
          <w:szCs w:val="32"/>
        </w:rPr>
        <w:t xml:space="preserve">                                             </w:t>
      </w:r>
    </w:p>
    <w:tbl>
      <w:tblPr>
        <w:tblStyle w:val="2"/>
        <w:tblW w:w="10063" w:type="dxa"/>
        <w:jc w:val="center"/>
        <w:tblLayout w:type="fixed"/>
        <w:tblCellMar>
          <w:top w:w="15" w:type="dxa"/>
          <w:left w:w="108" w:type="dxa"/>
          <w:bottom w:w="15" w:type="dxa"/>
          <w:right w:w="108" w:type="dxa"/>
        </w:tblCellMar>
      </w:tblPr>
      <w:tblGrid>
        <w:gridCol w:w="422"/>
        <w:gridCol w:w="422"/>
        <w:gridCol w:w="423"/>
        <w:gridCol w:w="1252"/>
        <w:gridCol w:w="939"/>
        <w:gridCol w:w="939"/>
        <w:gridCol w:w="939"/>
        <w:gridCol w:w="939"/>
        <w:gridCol w:w="1252"/>
        <w:gridCol w:w="212"/>
        <w:gridCol w:w="501"/>
        <w:gridCol w:w="983"/>
        <w:gridCol w:w="840"/>
      </w:tblGrid>
      <w:tr>
        <w:tblPrEx>
          <w:tblCellMar>
            <w:top w:w="15" w:type="dxa"/>
            <w:left w:w="108" w:type="dxa"/>
            <w:bottom w:w="15" w:type="dxa"/>
            <w:right w:w="108" w:type="dxa"/>
          </w:tblCellMar>
        </w:tblPrEx>
        <w:trPr>
          <w:trHeight w:val="300" w:hRule="atLeast"/>
          <w:jc w:val="center"/>
        </w:trPr>
        <w:tc>
          <w:tcPr>
            <w:tcW w:w="2519" w:type="dxa"/>
            <w:gridSpan w:val="4"/>
            <w:noWrap w:val="0"/>
            <w:vAlign w:val="bottom"/>
          </w:tcPr>
          <w:p>
            <w:pPr>
              <w:pStyle w:val="4"/>
              <w:widowControl/>
              <w:jc w:val="left"/>
              <w:rPr>
                <w:rFonts w:hint="eastAsia" w:ascii="宋体" w:hAnsi="宋体" w:cs="宋体"/>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939" w:type="dxa"/>
            <w:noWrap w:val="0"/>
            <w:vAlign w:val="bottom"/>
          </w:tcPr>
          <w:p>
            <w:pPr>
              <w:pStyle w:val="4"/>
              <w:widowControl/>
              <w:jc w:val="center"/>
              <w:rPr>
                <w:rFonts w:hint="eastAsia" w:ascii="宋体" w:hAnsi="宋体" w:cs="宋体"/>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1464" w:type="dxa"/>
            <w:gridSpan w:val="2"/>
            <w:noWrap w:val="0"/>
            <w:vAlign w:val="bottom"/>
          </w:tcPr>
          <w:p>
            <w:pPr>
              <w:pStyle w:val="4"/>
              <w:widowControl/>
              <w:wordWrap w:val="0"/>
              <w:jc w:val="right"/>
              <w:rPr>
                <w:rFonts w:hint="eastAsia" w:ascii="宋体" w:hAnsi="宋体" w:cs="宋体"/>
                <w:color w:val="000000"/>
                <w:sz w:val="20"/>
                <w:szCs w:val="20"/>
              </w:rPr>
            </w:pPr>
            <w:r>
              <w:rPr>
                <w:rFonts w:hint="eastAsia" w:ascii="宋体" w:hAnsi="宋体" w:cs="宋体"/>
                <w:color w:val="000000"/>
                <w:sz w:val="20"/>
                <w:szCs w:val="20"/>
              </w:rPr>
              <w:t> </w:t>
            </w:r>
          </w:p>
        </w:tc>
        <w:tc>
          <w:tcPr>
            <w:tcW w:w="2324" w:type="dxa"/>
            <w:gridSpan w:val="3"/>
            <w:noWrap w:val="0"/>
            <w:vAlign w:val="top"/>
          </w:tcPr>
          <w:p>
            <w:pPr>
              <w:pStyle w:val="4"/>
              <w:widowControl/>
              <w:ind w:right="97" w:firstLine="500"/>
              <w:rPr>
                <w:rFonts w:hint="eastAsia" w:ascii="宋体" w:hAnsi="宋体" w:cs="宋体"/>
                <w:color w:val="000000"/>
                <w:sz w:val="20"/>
                <w:szCs w:val="20"/>
              </w:rPr>
            </w:pPr>
            <w:r>
              <w:rPr>
                <w:rFonts w:hint="eastAsia" w:ascii="宋体" w:hAnsi="宋体" w:cs="宋体"/>
                <w:color w:val="000000"/>
                <w:sz w:val="20"/>
                <w:szCs w:val="20"/>
              </w:rPr>
              <w:t>公开02表</w:t>
            </w:r>
          </w:p>
        </w:tc>
      </w:tr>
      <w:tr>
        <w:tblPrEx>
          <w:tblCellMar>
            <w:top w:w="15" w:type="dxa"/>
            <w:left w:w="108" w:type="dxa"/>
            <w:bottom w:w="15" w:type="dxa"/>
            <w:right w:w="108" w:type="dxa"/>
          </w:tblCellMar>
        </w:tblPrEx>
        <w:trPr>
          <w:trHeight w:val="300" w:hRule="atLeast"/>
          <w:jc w:val="center"/>
        </w:trPr>
        <w:tc>
          <w:tcPr>
            <w:tcW w:w="2519" w:type="dxa"/>
            <w:gridSpan w:val="4"/>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p>
        </w:tc>
        <w:tc>
          <w:tcPr>
            <w:tcW w:w="939" w:type="dxa"/>
            <w:noWrap w:val="0"/>
            <w:vAlign w:val="bottom"/>
          </w:tcPr>
          <w:p>
            <w:pPr>
              <w:pStyle w:val="4"/>
              <w:widowControl/>
              <w:jc w:val="left"/>
              <w:rPr>
                <w:rFonts w:ascii="Arial" w:hAnsi="Arial" w:cs="Arial"/>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939" w:type="dxa"/>
            <w:noWrap w:val="0"/>
            <w:vAlign w:val="bottom"/>
          </w:tcPr>
          <w:p>
            <w:pPr>
              <w:pStyle w:val="4"/>
              <w:widowControl/>
              <w:jc w:val="center"/>
              <w:rPr>
                <w:rFonts w:hint="eastAsia" w:ascii="宋体" w:hAnsi="宋体" w:cs="宋体"/>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1464" w:type="dxa"/>
            <w:gridSpan w:val="2"/>
            <w:noWrap w:val="0"/>
            <w:vAlign w:val="bottom"/>
          </w:tcPr>
          <w:p>
            <w:pPr>
              <w:pStyle w:val="4"/>
              <w:widowControl/>
              <w:ind w:right="60"/>
              <w:jc w:val="right"/>
              <w:rPr>
                <w:rFonts w:hint="eastAsia" w:ascii="宋体" w:hAnsi="宋体" w:cs="宋体"/>
                <w:color w:val="000000"/>
                <w:sz w:val="20"/>
                <w:szCs w:val="20"/>
              </w:rPr>
            </w:pPr>
          </w:p>
        </w:tc>
        <w:tc>
          <w:tcPr>
            <w:tcW w:w="2324" w:type="dxa"/>
            <w:gridSpan w:val="3"/>
            <w:noWrap w:val="0"/>
            <w:vAlign w:val="top"/>
          </w:tcPr>
          <w:p>
            <w:pPr>
              <w:pStyle w:val="4"/>
              <w:widowControl/>
              <w:ind w:right="448"/>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25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本年收入合计</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财政拨款收入</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上级补助收入</w:t>
            </w:r>
          </w:p>
        </w:tc>
        <w:tc>
          <w:tcPr>
            <w:tcW w:w="2191" w:type="dxa"/>
            <w:gridSpan w:val="2"/>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事业收入</w:t>
            </w:r>
          </w:p>
        </w:tc>
        <w:tc>
          <w:tcPr>
            <w:tcW w:w="713" w:type="dxa"/>
            <w:gridSpan w:val="2"/>
            <w:vMerge w:val="restart"/>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983"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附属单位上缴收入</w:t>
            </w:r>
          </w:p>
        </w:tc>
        <w:tc>
          <w:tcPr>
            <w:tcW w:w="84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其他</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r>
      <w:tr>
        <w:tblPrEx>
          <w:tblCellMar>
            <w:top w:w="15" w:type="dxa"/>
            <w:left w:w="108" w:type="dxa"/>
            <w:bottom w:w="15" w:type="dxa"/>
            <w:right w:w="108" w:type="dxa"/>
          </w:tblCellMar>
        </w:tblPrEx>
        <w:trPr>
          <w:trHeight w:val="355" w:hRule="atLeast"/>
          <w:jc w:val="center"/>
        </w:trPr>
        <w:tc>
          <w:tcPr>
            <w:tcW w:w="1267"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gridSpan w:val="2"/>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13" w:type="dxa"/>
            <w:gridSpan w:val="2"/>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983"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8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1267"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39"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小计</w:t>
            </w:r>
          </w:p>
        </w:tc>
        <w:tc>
          <w:tcPr>
            <w:tcW w:w="1252" w:type="dxa"/>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r>
              <w:rPr>
                <w:rFonts w:hint="eastAsia" w:ascii="宋体" w:hAnsi="宋体" w:cs="宋体"/>
                <w:color w:val="000000"/>
                <w:sz w:val="22"/>
                <w:szCs w:val="22"/>
              </w:rPr>
              <w:t>其中：教育</w:t>
            </w:r>
          </w:p>
          <w:p>
            <w:pPr>
              <w:pStyle w:val="4"/>
              <w:widowControl/>
              <w:rPr>
                <w:rFonts w:hint="eastAsia" w:ascii="宋体" w:hAnsi="宋体" w:cs="宋体"/>
                <w:color w:val="000000"/>
                <w:sz w:val="22"/>
                <w:szCs w:val="22"/>
              </w:rPr>
            </w:pPr>
            <w:r>
              <w:rPr>
                <w:rFonts w:hint="eastAsia" w:ascii="宋体" w:hAnsi="宋体" w:cs="宋体"/>
                <w:color w:val="000000"/>
                <w:sz w:val="22"/>
                <w:szCs w:val="22"/>
              </w:rPr>
              <w:t>收费</w:t>
            </w:r>
          </w:p>
        </w:tc>
        <w:tc>
          <w:tcPr>
            <w:tcW w:w="713" w:type="dxa"/>
            <w:gridSpan w:val="2"/>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983"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8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42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42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42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308.09</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308.09</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仿宋_GB2312" w:cs="宋体"/>
                <w:color w:val="000000"/>
                <w:sz w:val="22"/>
                <w:szCs w:val="22"/>
                <w:lang w:val="en-US" w:eastAsia="zh-CN"/>
              </w:rPr>
            </w:pPr>
            <w:r>
              <w:rPr>
                <w:rFonts w:hint="eastAsia" w:ascii="宋体" w:hAnsi="宋体" w:cs="宋体"/>
                <w:color w:val="000000"/>
                <w:sz w:val="22"/>
                <w:szCs w:val="22"/>
                <w:lang w:val="en-US" w:eastAsia="zh-CN"/>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2010607</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2010650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20403</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国家安全</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2040302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2040399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其他国家安全支出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科学技术管理事务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2060199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2130102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21307</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农村综合改革</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2130701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对村级一事一议的补助</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21507</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国有资产监管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2150702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12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713"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三、支出决算表</w:t>
      </w:r>
    </w:p>
    <w:tbl>
      <w:tblPr>
        <w:tblStyle w:val="2"/>
        <w:tblW w:w="9420" w:type="dxa"/>
        <w:jc w:val="center"/>
        <w:tblLayout w:type="fixed"/>
        <w:tblCellMar>
          <w:top w:w="15" w:type="dxa"/>
          <w:left w:w="108" w:type="dxa"/>
          <w:bottom w:w="15" w:type="dxa"/>
          <w:right w:w="108" w:type="dxa"/>
        </w:tblCellMar>
      </w:tblPr>
      <w:tblGrid>
        <w:gridCol w:w="685"/>
        <w:gridCol w:w="922"/>
        <w:gridCol w:w="922"/>
        <w:gridCol w:w="1273"/>
        <w:gridCol w:w="964"/>
        <w:gridCol w:w="936"/>
        <w:gridCol w:w="993"/>
        <w:gridCol w:w="823"/>
        <w:gridCol w:w="950"/>
        <w:gridCol w:w="952"/>
      </w:tblGrid>
      <w:tr>
        <w:tblPrEx>
          <w:tblCellMar>
            <w:top w:w="15" w:type="dxa"/>
            <w:left w:w="108" w:type="dxa"/>
            <w:bottom w:w="15" w:type="dxa"/>
            <w:right w:w="108" w:type="dxa"/>
          </w:tblCellMar>
        </w:tblPrEx>
        <w:trPr>
          <w:trHeight w:val="285" w:hRule="atLeast"/>
          <w:jc w:val="center"/>
        </w:trPr>
        <w:tc>
          <w:tcPr>
            <w:tcW w:w="685" w:type="dxa"/>
            <w:noWrap w:val="0"/>
            <w:vAlign w:val="bottom"/>
          </w:tcPr>
          <w:p>
            <w:pPr>
              <w:pStyle w:val="4"/>
              <w:widowControl/>
              <w:jc w:val="left"/>
              <w:rPr>
                <w:rFonts w:ascii="Arial" w:hAnsi="Arial" w:cs="Arial"/>
                <w:color w:val="000000"/>
                <w:sz w:val="20"/>
                <w:szCs w:val="20"/>
              </w:rPr>
            </w:pPr>
          </w:p>
        </w:tc>
        <w:tc>
          <w:tcPr>
            <w:tcW w:w="922" w:type="dxa"/>
            <w:noWrap w:val="0"/>
            <w:vAlign w:val="bottom"/>
          </w:tcPr>
          <w:p>
            <w:pPr>
              <w:pStyle w:val="4"/>
              <w:widowControl/>
              <w:jc w:val="left"/>
              <w:rPr>
                <w:rFonts w:ascii="Arial" w:hAnsi="Arial" w:cs="Arial"/>
                <w:color w:val="000000"/>
                <w:sz w:val="20"/>
                <w:szCs w:val="20"/>
              </w:rPr>
            </w:pPr>
          </w:p>
        </w:tc>
        <w:tc>
          <w:tcPr>
            <w:tcW w:w="922" w:type="dxa"/>
            <w:noWrap w:val="0"/>
            <w:vAlign w:val="bottom"/>
          </w:tcPr>
          <w:p>
            <w:pPr>
              <w:pStyle w:val="4"/>
              <w:widowControl/>
              <w:jc w:val="left"/>
              <w:rPr>
                <w:rFonts w:ascii="Arial" w:hAnsi="Arial" w:cs="Arial"/>
                <w:color w:val="000000"/>
                <w:sz w:val="20"/>
                <w:szCs w:val="20"/>
              </w:rPr>
            </w:pPr>
          </w:p>
        </w:tc>
        <w:tc>
          <w:tcPr>
            <w:tcW w:w="1273" w:type="dxa"/>
            <w:noWrap w:val="0"/>
            <w:vAlign w:val="bottom"/>
          </w:tcPr>
          <w:p>
            <w:pPr>
              <w:pStyle w:val="4"/>
              <w:widowControl/>
              <w:jc w:val="left"/>
              <w:rPr>
                <w:rFonts w:ascii="Arial" w:hAnsi="Arial" w:cs="Arial"/>
                <w:color w:val="000000"/>
                <w:sz w:val="20"/>
                <w:szCs w:val="20"/>
              </w:rPr>
            </w:pPr>
          </w:p>
        </w:tc>
        <w:tc>
          <w:tcPr>
            <w:tcW w:w="964" w:type="dxa"/>
            <w:noWrap w:val="0"/>
            <w:vAlign w:val="bottom"/>
          </w:tcPr>
          <w:p>
            <w:pPr>
              <w:pStyle w:val="4"/>
              <w:widowControl/>
              <w:jc w:val="left"/>
              <w:rPr>
                <w:rFonts w:ascii="Arial" w:hAnsi="Arial" w:cs="Arial"/>
                <w:color w:val="000000"/>
                <w:sz w:val="20"/>
                <w:szCs w:val="20"/>
              </w:rPr>
            </w:pPr>
          </w:p>
        </w:tc>
        <w:tc>
          <w:tcPr>
            <w:tcW w:w="936" w:type="dxa"/>
            <w:noWrap w:val="0"/>
            <w:vAlign w:val="bottom"/>
          </w:tcPr>
          <w:p>
            <w:pPr>
              <w:pStyle w:val="4"/>
              <w:widowControl/>
              <w:jc w:val="left"/>
              <w:rPr>
                <w:rFonts w:ascii="Arial" w:hAnsi="Arial" w:cs="Arial"/>
                <w:color w:val="000000"/>
                <w:sz w:val="20"/>
                <w:szCs w:val="20"/>
              </w:rPr>
            </w:pPr>
          </w:p>
        </w:tc>
        <w:tc>
          <w:tcPr>
            <w:tcW w:w="993" w:type="dxa"/>
            <w:noWrap w:val="0"/>
            <w:vAlign w:val="bottom"/>
          </w:tcPr>
          <w:p>
            <w:pPr>
              <w:pStyle w:val="4"/>
              <w:widowControl/>
              <w:jc w:val="left"/>
              <w:rPr>
                <w:rFonts w:ascii="Arial" w:hAnsi="Arial" w:cs="Arial"/>
                <w:color w:val="000000"/>
                <w:sz w:val="20"/>
                <w:szCs w:val="20"/>
              </w:rPr>
            </w:pPr>
          </w:p>
        </w:tc>
        <w:tc>
          <w:tcPr>
            <w:tcW w:w="823" w:type="dxa"/>
            <w:noWrap w:val="0"/>
            <w:vAlign w:val="bottom"/>
          </w:tcPr>
          <w:p>
            <w:pPr>
              <w:pStyle w:val="4"/>
              <w:widowControl/>
              <w:jc w:val="left"/>
              <w:rPr>
                <w:rFonts w:ascii="Arial" w:hAnsi="Arial" w:cs="Arial"/>
                <w:color w:val="000000"/>
                <w:sz w:val="20"/>
                <w:szCs w:val="20"/>
              </w:rPr>
            </w:pPr>
          </w:p>
        </w:tc>
        <w:tc>
          <w:tcPr>
            <w:tcW w:w="1902" w:type="dxa"/>
            <w:gridSpan w:val="2"/>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公开03表</w:t>
            </w:r>
          </w:p>
        </w:tc>
      </w:tr>
      <w:tr>
        <w:tblPrEx>
          <w:tblCellMar>
            <w:top w:w="15" w:type="dxa"/>
            <w:left w:w="108" w:type="dxa"/>
            <w:bottom w:w="15" w:type="dxa"/>
            <w:right w:w="108" w:type="dxa"/>
          </w:tblCellMar>
        </w:tblPrEx>
        <w:trPr>
          <w:trHeight w:val="300" w:hRule="atLeast"/>
          <w:jc w:val="center"/>
        </w:trPr>
        <w:tc>
          <w:tcPr>
            <w:tcW w:w="1607" w:type="dxa"/>
            <w:gridSpan w:val="2"/>
            <w:tcBorders>
              <w:bottom w:val="single" w:color="000000" w:sz="4" w:space="0"/>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p>
        </w:tc>
        <w:tc>
          <w:tcPr>
            <w:tcW w:w="922"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1273"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964"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936" w:type="dxa"/>
            <w:tcBorders>
              <w:bottom w:val="single" w:color="000000" w:sz="4" w:space="0"/>
            </w:tcBorders>
            <w:noWrap w:val="0"/>
            <w:vAlign w:val="bottom"/>
          </w:tcPr>
          <w:p>
            <w:pPr>
              <w:pStyle w:val="4"/>
              <w:widowControl/>
              <w:jc w:val="center"/>
              <w:rPr>
                <w:rFonts w:hint="eastAsia" w:ascii="宋体" w:hAnsi="宋体" w:cs="宋体"/>
                <w:color w:val="000000"/>
                <w:sz w:val="24"/>
                <w:szCs w:val="24"/>
              </w:rPr>
            </w:pPr>
          </w:p>
        </w:tc>
        <w:tc>
          <w:tcPr>
            <w:tcW w:w="993"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823"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1902" w:type="dxa"/>
            <w:gridSpan w:val="2"/>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38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964"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本年支出合计</w:t>
            </w:r>
          </w:p>
        </w:tc>
        <w:tc>
          <w:tcPr>
            <w:tcW w:w="936"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993"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823"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上缴上级支出</w:t>
            </w:r>
          </w:p>
        </w:tc>
        <w:tc>
          <w:tcPr>
            <w:tcW w:w="95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经营支出</w:t>
            </w:r>
          </w:p>
        </w:tc>
        <w:tc>
          <w:tcPr>
            <w:tcW w:w="9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对附属单位补助支出</w:t>
            </w:r>
          </w:p>
        </w:tc>
      </w:tr>
      <w:tr>
        <w:tblPrEx>
          <w:tblCellMar>
            <w:top w:w="15" w:type="dxa"/>
            <w:left w:w="108" w:type="dxa"/>
            <w:bottom w:w="15" w:type="dxa"/>
            <w:right w:w="108" w:type="dxa"/>
          </w:tblCellMar>
        </w:tblPrEx>
        <w:trPr>
          <w:trHeight w:val="975"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2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964" w:type="dxa"/>
            <w:vMerge w:val="continue"/>
            <w:tcBorders>
              <w:top w:val="nil"/>
              <w:left w:val="nil"/>
              <w:bottom w:val="single" w:color="000000" w:sz="4" w:space="0"/>
              <w:right w:val="single" w:color="000000" w:sz="4" w:space="0"/>
            </w:tcBorders>
            <w:noWrap w:val="0"/>
            <w:vAlign w:val="center"/>
          </w:tcPr>
          <w:p>
            <w:pPr>
              <w:rPr>
                <w:sz w:val="20"/>
              </w:rPr>
            </w:pPr>
          </w:p>
        </w:tc>
        <w:tc>
          <w:tcPr>
            <w:tcW w:w="936" w:type="dxa"/>
            <w:vMerge w:val="continue"/>
            <w:tcBorders>
              <w:top w:val="nil"/>
              <w:left w:val="nil"/>
              <w:bottom w:val="single" w:color="000000" w:sz="4" w:space="0"/>
              <w:right w:val="single" w:color="000000" w:sz="4" w:space="0"/>
            </w:tcBorders>
            <w:noWrap w:val="0"/>
            <w:vAlign w:val="center"/>
          </w:tcPr>
          <w:p>
            <w:pPr>
              <w:rPr>
                <w:sz w:val="20"/>
              </w:rPr>
            </w:pPr>
          </w:p>
        </w:tc>
        <w:tc>
          <w:tcPr>
            <w:tcW w:w="993" w:type="dxa"/>
            <w:vMerge w:val="continue"/>
            <w:tcBorders>
              <w:top w:val="nil"/>
              <w:left w:val="nil"/>
              <w:bottom w:val="single" w:color="000000" w:sz="4" w:space="0"/>
              <w:right w:val="single" w:color="000000" w:sz="4" w:space="0"/>
            </w:tcBorders>
            <w:noWrap w:val="0"/>
            <w:vAlign w:val="center"/>
          </w:tcPr>
          <w:p>
            <w:pPr>
              <w:rPr>
                <w:sz w:val="20"/>
              </w:rPr>
            </w:pPr>
          </w:p>
        </w:tc>
        <w:tc>
          <w:tcPr>
            <w:tcW w:w="823" w:type="dxa"/>
            <w:vMerge w:val="continue"/>
            <w:tcBorders>
              <w:top w:val="nil"/>
              <w:left w:val="nil"/>
              <w:bottom w:val="single" w:color="000000" w:sz="4" w:space="0"/>
              <w:right w:val="single" w:color="000000" w:sz="4" w:space="0"/>
            </w:tcBorders>
            <w:noWrap w:val="0"/>
            <w:vAlign w:val="center"/>
          </w:tcPr>
          <w:p>
            <w:pPr>
              <w:rPr>
                <w:sz w:val="20"/>
              </w:rPr>
            </w:pPr>
          </w:p>
        </w:tc>
        <w:tc>
          <w:tcPr>
            <w:tcW w:w="950" w:type="dxa"/>
            <w:vMerge w:val="continue"/>
            <w:tcBorders>
              <w:top w:val="nil"/>
              <w:left w:val="nil"/>
              <w:bottom w:val="single" w:color="000000" w:sz="4" w:space="0"/>
              <w:right w:val="single" w:color="000000" w:sz="4" w:space="0"/>
            </w:tcBorders>
            <w:noWrap w:val="0"/>
            <w:vAlign w:val="center"/>
          </w:tcPr>
          <w:p>
            <w:pPr>
              <w:rPr>
                <w:sz w:val="20"/>
              </w:rPr>
            </w:pPr>
          </w:p>
        </w:tc>
        <w:tc>
          <w:tcPr>
            <w:tcW w:w="952"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92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92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2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308.09</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137.65</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170.44</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100.31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100.31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国家安全</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其他国家安全支出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科学技术管理事务</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农村综合改革</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对村级一事一议的补助</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国有资产监管</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7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6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936"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82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四、财政拨款收入支出决算总表</w:t>
      </w:r>
    </w:p>
    <w:tbl>
      <w:tblPr>
        <w:tblStyle w:val="2"/>
        <w:tblW w:w="9795" w:type="dxa"/>
        <w:jc w:val="center"/>
        <w:tblLayout w:type="fixed"/>
        <w:tblCellMar>
          <w:top w:w="15" w:type="dxa"/>
          <w:left w:w="108" w:type="dxa"/>
          <w:bottom w:w="15" w:type="dxa"/>
          <w:right w:w="108" w:type="dxa"/>
        </w:tblCellMar>
      </w:tblPr>
      <w:tblGrid>
        <w:gridCol w:w="2142"/>
        <w:gridCol w:w="932"/>
        <w:gridCol w:w="697"/>
        <w:gridCol w:w="819"/>
        <w:gridCol w:w="750"/>
        <w:gridCol w:w="315"/>
        <w:gridCol w:w="1365"/>
        <w:gridCol w:w="1237"/>
        <w:gridCol w:w="1538"/>
      </w:tblGrid>
      <w:tr>
        <w:tblPrEx>
          <w:tblCellMar>
            <w:top w:w="15" w:type="dxa"/>
            <w:left w:w="108" w:type="dxa"/>
            <w:bottom w:w="15" w:type="dxa"/>
            <w:right w:w="108" w:type="dxa"/>
          </w:tblCellMar>
        </w:tblPrEx>
        <w:trPr>
          <w:trHeight w:val="285" w:hRule="atLeast"/>
          <w:jc w:val="center"/>
        </w:trPr>
        <w:tc>
          <w:tcPr>
            <w:tcW w:w="2142" w:type="dxa"/>
            <w:noWrap w:val="0"/>
            <w:vAlign w:val="bottom"/>
          </w:tcPr>
          <w:p>
            <w:pPr>
              <w:pStyle w:val="4"/>
              <w:widowControl/>
              <w:jc w:val="left"/>
              <w:rPr>
                <w:rFonts w:ascii="Arial" w:hAnsi="Arial" w:cs="Arial"/>
                <w:color w:val="000000"/>
                <w:sz w:val="20"/>
                <w:szCs w:val="20"/>
              </w:rPr>
            </w:pPr>
          </w:p>
        </w:tc>
        <w:tc>
          <w:tcPr>
            <w:tcW w:w="1629" w:type="dxa"/>
            <w:gridSpan w:val="2"/>
            <w:noWrap w:val="0"/>
            <w:vAlign w:val="bottom"/>
          </w:tcPr>
          <w:p>
            <w:pPr>
              <w:pStyle w:val="4"/>
              <w:widowControl/>
              <w:jc w:val="left"/>
              <w:rPr>
                <w:rFonts w:ascii="Arial" w:hAnsi="Arial" w:cs="Arial"/>
                <w:color w:val="000000"/>
                <w:sz w:val="20"/>
                <w:szCs w:val="20"/>
              </w:rPr>
            </w:pPr>
          </w:p>
        </w:tc>
        <w:tc>
          <w:tcPr>
            <w:tcW w:w="1569" w:type="dxa"/>
            <w:gridSpan w:val="2"/>
            <w:noWrap w:val="0"/>
            <w:vAlign w:val="bottom"/>
          </w:tcPr>
          <w:p>
            <w:pPr>
              <w:pStyle w:val="4"/>
              <w:widowControl/>
              <w:jc w:val="left"/>
              <w:rPr>
                <w:rFonts w:ascii="Arial" w:hAnsi="Arial" w:cs="Arial"/>
                <w:color w:val="000000"/>
                <w:sz w:val="20"/>
                <w:szCs w:val="20"/>
              </w:rPr>
            </w:pPr>
          </w:p>
        </w:tc>
        <w:tc>
          <w:tcPr>
            <w:tcW w:w="4455" w:type="dxa"/>
            <w:gridSpan w:val="4"/>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公开04表</w:t>
            </w:r>
          </w:p>
        </w:tc>
      </w:tr>
      <w:tr>
        <w:tblPrEx>
          <w:tblCellMar>
            <w:top w:w="15" w:type="dxa"/>
            <w:left w:w="108" w:type="dxa"/>
            <w:bottom w:w="15" w:type="dxa"/>
            <w:right w:w="108" w:type="dxa"/>
          </w:tblCellMar>
        </w:tblPrEx>
        <w:trPr>
          <w:trHeight w:val="270" w:hRule="atLeast"/>
          <w:jc w:val="center"/>
        </w:trPr>
        <w:tc>
          <w:tcPr>
            <w:tcW w:w="2142" w:type="dxa"/>
            <w:tcBorders>
              <w:bottom w:val="single" w:color="000000" w:sz="4" w:space="0"/>
            </w:tcBorders>
            <w:noWrap w:val="0"/>
            <w:vAlign w:val="bottom"/>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p>
        </w:tc>
        <w:tc>
          <w:tcPr>
            <w:tcW w:w="1629" w:type="dxa"/>
            <w:gridSpan w:val="2"/>
            <w:tcBorders>
              <w:bottom w:val="single" w:color="000000" w:sz="4" w:space="0"/>
            </w:tcBorders>
            <w:noWrap w:val="0"/>
            <w:vAlign w:val="bottom"/>
          </w:tcPr>
          <w:p>
            <w:pPr>
              <w:pStyle w:val="4"/>
              <w:widowControl/>
              <w:jc w:val="center"/>
              <w:rPr>
                <w:rFonts w:hint="eastAsia" w:ascii="宋体" w:hAnsi="宋体" w:cs="宋体"/>
                <w:color w:val="000000"/>
                <w:sz w:val="20"/>
                <w:szCs w:val="20"/>
              </w:rPr>
            </w:pPr>
          </w:p>
        </w:tc>
        <w:tc>
          <w:tcPr>
            <w:tcW w:w="1569" w:type="dxa"/>
            <w:gridSpan w:val="2"/>
            <w:tcBorders>
              <w:bottom w:val="single" w:color="000000" w:sz="4" w:space="0"/>
            </w:tcBorders>
            <w:noWrap w:val="0"/>
            <w:vAlign w:val="bottom"/>
          </w:tcPr>
          <w:p>
            <w:pPr>
              <w:pStyle w:val="4"/>
              <w:widowControl/>
              <w:jc w:val="left"/>
              <w:rPr>
                <w:rFonts w:ascii="Arial" w:hAnsi="Arial" w:cs="Arial"/>
                <w:color w:val="000000"/>
                <w:sz w:val="20"/>
                <w:szCs w:val="20"/>
              </w:rPr>
            </w:pPr>
          </w:p>
        </w:tc>
        <w:tc>
          <w:tcPr>
            <w:tcW w:w="4455" w:type="dxa"/>
            <w:gridSpan w:val="4"/>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300" w:hRule="atLeast"/>
          <w:jc w:val="center"/>
        </w:trPr>
        <w:tc>
          <w:tcPr>
            <w:tcW w:w="307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     入</w:t>
            </w:r>
          </w:p>
        </w:tc>
        <w:tc>
          <w:tcPr>
            <w:tcW w:w="6721" w:type="dxa"/>
            <w:gridSpan w:val="7"/>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     出</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06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小计</w:t>
            </w:r>
          </w:p>
        </w:tc>
        <w:tc>
          <w:tcPr>
            <w:tcW w:w="136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一般公共预算财政拨款</w:t>
            </w:r>
          </w:p>
        </w:tc>
        <w:tc>
          <w:tcPr>
            <w:tcW w:w="123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政府性基金预算财政拨款</w:t>
            </w:r>
          </w:p>
        </w:tc>
        <w:tc>
          <w:tcPr>
            <w:tcW w:w="153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国有资本经营预算财政拨款</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1</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106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2</w:t>
            </w:r>
          </w:p>
        </w:tc>
        <w:tc>
          <w:tcPr>
            <w:tcW w:w="136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3</w:t>
            </w:r>
          </w:p>
        </w:tc>
        <w:tc>
          <w:tcPr>
            <w:tcW w:w="123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4</w:t>
            </w:r>
          </w:p>
        </w:tc>
        <w:tc>
          <w:tcPr>
            <w:tcW w:w="153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0"/>
                <w:szCs w:val="20"/>
              </w:rPr>
              <w:t>5</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308.09</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二十二、灾害防治及应急管理支出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93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二十三、其他支出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r>
              <w:rPr>
                <w:rFonts w:hint="eastAsia" w:ascii="宋体" w:hAnsi="宋体" w:cs="宋体"/>
                <w:b/>
                <w:color w:val="000000"/>
                <w:sz w:val="22"/>
                <w:szCs w:val="22"/>
              </w:rPr>
              <w:t>本年收入合计</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308.09</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年初财政拨款结转和结余</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二十五、债务付息支出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308.09</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308.09</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三、国有资本经营预算财政拨款</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年末财政拨款结转和结余</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300" w:hRule="atLeast"/>
          <w:jc w:val="center"/>
        </w:trPr>
        <w:tc>
          <w:tcPr>
            <w:tcW w:w="214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总计</w:t>
            </w:r>
          </w:p>
        </w:tc>
        <w:tc>
          <w:tcPr>
            <w:tcW w:w="9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308.09</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b/>
                <w:color w:val="000000"/>
                <w:sz w:val="22"/>
                <w:szCs w:val="22"/>
              </w:rPr>
              <w:t>总计</w:t>
            </w:r>
          </w:p>
        </w:tc>
        <w:tc>
          <w:tcPr>
            <w:tcW w:w="1065"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308.09</w:t>
            </w:r>
          </w:p>
        </w:tc>
        <w:tc>
          <w:tcPr>
            <w:tcW w:w="136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308.09</w:t>
            </w:r>
          </w:p>
        </w:tc>
        <w:tc>
          <w:tcPr>
            <w:tcW w:w="123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0.00</w:t>
            </w:r>
          </w:p>
        </w:tc>
        <w:tc>
          <w:tcPr>
            <w:tcW w:w="1538"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五、一般公共预算财政拨款支出决算表</w:t>
      </w:r>
    </w:p>
    <w:tbl>
      <w:tblPr>
        <w:tblStyle w:val="2"/>
        <w:tblW w:w="0" w:type="auto"/>
        <w:jc w:val="center"/>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jc w:val="center"/>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公开05表</w:t>
            </w:r>
          </w:p>
        </w:tc>
      </w:tr>
      <w:tr>
        <w:tblPrEx>
          <w:tblCellMar>
            <w:top w:w="15" w:type="dxa"/>
            <w:left w:w="108" w:type="dxa"/>
            <w:bottom w:w="15" w:type="dxa"/>
            <w:right w:w="108" w:type="dxa"/>
          </w:tblCellMar>
        </w:tblPrEx>
        <w:trPr>
          <w:trHeight w:val="450" w:hRule="atLeast"/>
          <w:jc w:val="center"/>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jc w:val="center"/>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870"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308.09</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137.65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170.44</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一般公共服务支出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100.31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财政事务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115.25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100.31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r>
      <w:tr>
        <w:tblPrEx>
          <w:tblCellMar>
            <w:top w:w="15" w:type="dxa"/>
            <w:left w:w="108" w:type="dxa"/>
            <w:bottom w:w="15" w:type="dxa"/>
            <w:right w:w="108" w:type="dxa"/>
          </w:tblCellMar>
        </w:tblPrEx>
        <w:trPr>
          <w:trHeight w:val="811"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21.72</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53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2010607</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14.94</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2010650</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77.48</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2010699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其他财政事务支出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1.12</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20403</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国家安全</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2040302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3.99</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2040399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其他国家安全支出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科学技术支出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科学技术管理事务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2060199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其他科学技术管理事务支出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7.50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20.32</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2080801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18.21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2089901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0.11</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1.87</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0.43</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2101102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1.43</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农林水支出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151.15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农业农村</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2130102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3.15</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21307</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农村综合改革</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2130701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对村级一事一议的补助</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148.00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21507</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国有资产监管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2150702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2.24</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4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5.76</w:t>
            </w:r>
          </w:p>
        </w:tc>
        <w:tc>
          <w:tcPr>
            <w:tcW w:w="219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六、一般公共预算财政拨款基本支出决算表</w:t>
      </w:r>
    </w:p>
    <w:tbl>
      <w:tblPr>
        <w:tblStyle w:val="2"/>
        <w:tblW w:w="9902" w:type="dxa"/>
        <w:jc w:val="center"/>
        <w:tblLayout w:type="fixed"/>
        <w:tblCellMar>
          <w:top w:w="0" w:type="dxa"/>
          <w:left w:w="108" w:type="dxa"/>
          <w:bottom w:w="0" w:type="dxa"/>
          <w:right w:w="108" w:type="dxa"/>
        </w:tblCellMar>
      </w:tblPr>
      <w:tblGrid>
        <w:gridCol w:w="732"/>
        <w:gridCol w:w="2080"/>
        <w:gridCol w:w="712"/>
        <w:gridCol w:w="680"/>
        <w:gridCol w:w="1360"/>
        <w:gridCol w:w="915"/>
        <w:gridCol w:w="477"/>
        <w:gridCol w:w="2016"/>
        <w:gridCol w:w="694"/>
        <w:gridCol w:w="236"/>
      </w:tblGrid>
      <w:tr>
        <w:tblPrEx>
          <w:tblCellMar>
            <w:top w:w="0" w:type="dxa"/>
            <w:left w:w="108" w:type="dxa"/>
            <w:bottom w:w="0" w:type="dxa"/>
            <w:right w:w="108" w:type="dxa"/>
          </w:tblCellMar>
        </w:tblPrEx>
        <w:trPr>
          <w:gridAfter w:val="1"/>
          <w:wAfter w:w="236" w:type="dxa"/>
          <w:trHeight w:val="225" w:hRule="atLeast"/>
          <w:jc w:val="center"/>
        </w:trPr>
        <w:tc>
          <w:tcPr>
            <w:tcW w:w="732"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2080"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712"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680"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1360"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915"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477"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2710" w:type="dxa"/>
            <w:gridSpan w:val="2"/>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p>
            <w:pPr>
              <w:pStyle w:val="4"/>
              <w:widowControl/>
              <w:ind w:right="97"/>
              <w:jc w:val="right"/>
              <w:rPr>
                <w:rFonts w:hint="eastAsia" w:ascii="宋体" w:hAnsi="宋体" w:cs="宋体"/>
                <w:color w:val="000000"/>
                <w:sz w:val="20"/>
                <w:szCs w:val="20"/>
              </w:rPr>
            </w:pPr>
            <w:r>
              <w:rPr>
                <w:rFonts w:hint="eastAsia" w:ascii="宋体" w:hAnsi="宋体" w:cs="宋体"/>
                <w:color w:val="000000"/>
                <w:sz w:val="20"/>
                <w:szCs w:val="20"/>
              </w:rPr>
              <w:t>公开06表</w:t>
            </w:r>
          </w:p>
        </w:tc>
      </w:tr>
      <w:tr>
        <w:tblPrEx>
          <w:tblCellMar>
            <w:top w:w="0" w:type="dxa"/>
            <w:left w:w="108" w:type="dxa"/>
            <w:bottom w:w="0" w:type="dxa"/>
            <w:right w:w="108" w:type="dxa"/>
          </w:tblCellMar>
        </w:tblPrEx>
        <w:trPr>
          <w:gridAfter w:val="1"/>
          <w:wAfter w:w="236" w:type="dxa"/>
          <w:trHeight w:val="240" w:hRule="atLeast"/>
          <w:jc w:val="center"/>
        </w:trPr>
        <w:tc>
          <w:tcPr>
            <w:tcW w:w="2812" w:type="dxa"/>
            <w:gridSpan w:val="2"/>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ascii="Arial" w:hAnsi="Arial" w:cs="Arial"/>
                <w:color w:val="000000"/>
                <w:sz w:val="20"/>
                <w:szCs w:val="20"/>
              </w:rPr>
              <w:t>：</w:t>
            </w:r>
            <w:r>
              <w:rPr>
                <w:rFonts w:hint="eastAsia" w:ascii="宋体" w:hAnsi="宋体" w:cs="宋体"/>
                <w:color w:val="000000"/>
                <w:sz w:val="20"/>
                <w:szCs w:val="20"/>
                <w:lang w:val="en-US" w:eastAsia="zh-CN"/>
              </w:rPr>
              <w:t>八公山区财政局</w:t>
            </w:r>
          </w:p>
        </w:tc>
        <w:tc>
          <w:tcPr>
            <w:tcW w:w="712"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680"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1360"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915"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477"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2710" w:type="dxa"/>
            <w:gridSpan w:val="2"/>
            <w:tcBorders>
              <w:top w:val="nil"/>
              <w:left w:val="nil"/>
              <w:bottom w:val="single" w:color="000000" w:sz="4" w:space="0"/>
              <w:right w:val="nil"/>
            </w:tcBorders>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gridAfter w:val="1"/>
          <w:wAfter w:w="236" w:type="dxa"/>
          <w:trHeight w:val="728"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69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工资福利支出</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18"/>
                <w:szCs w:val="18"/>
                <w:lang w:val="en-US" w:eastAsia="zh-CN"/>
              </w:rPr>
            </w:pPr>
            <w:r>
              <w:rPr>
                <w:rFonts w:hint="eastAsia" w:ascii="宋体" w:hAnsi="宋体" w:cs="宋体"/>
                <w:color w:val="000000"/>
                <w:sz w:val="18"/>
                <w:szCs w:val="18"/>
              </w:rPr>
              <w:t>　</w:t>
            </w:r>
            <w:r>
              <w:rPr>
                <w:rFonts w:hint="eastAsia" w:ascii="宋体" w:hAnsi="宋体" w:cs="宋体"/>
                <w:color w:val="000000"/>
                <w:sz w:val="18"/>
                <w:szCs w:val="18"/>
                <w:lang w:val="en-US" w:eastAsia="zh-CN"/>
              </w:rPr>
              <w:t>92.96</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商品和服务支出</w:t>
            </w: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24.48</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债务利息及费用支出</w:t>
            </w:r>
          </w:p>
        </w:tc>
        <w:tc>
          <w:tcPr>
            <w:tcW w:w="69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基本工资</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42.67</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30201</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5.13</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30701</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国内债务付息</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30102</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津贴补贴</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2.55</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30202</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印刷费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0.79</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30702</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国外债务付息</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奖金</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40.00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30203</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咨询费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30703</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国内债务发行费用</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30106</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伙食补助费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30204</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手续费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30704</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国外债务发行费用</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30107</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绩效工资</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30205</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水费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资本性支出</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30108</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机关事业单位基本养老保险费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30206</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电费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0.09</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31001</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房屋建筑物购建</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职业年金缴费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30207</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邮电费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0.45</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31002</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办公设备购置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30110</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职工基本医疗保险缴费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30208</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取暖费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31003</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专用设备购置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公务员医疗补助缴费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30209</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物业管理费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31005</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基础设施建设</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30112</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其他社会保障缴费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1.98</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30211</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差旅费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3.24</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31006</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大型修缮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住房公积金</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5.76</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30212</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因公出国（境）费用</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31007</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信息网络及软件购置更新</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30114</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30213</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维修（护）费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4.92</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31008</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物资储备</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30199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其他工资福利支出</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30214</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租赁费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31009</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土地补偿</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对个人和家庭的补助</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20.21</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30215</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会议费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31010</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安置补助</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离休费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30216</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培训费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0.21</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31011</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地上附着物和青苗补偿</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30302</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退休费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30217</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公务招待费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1.32</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31012</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拆迁补偿</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退职（役）费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30218</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专用材料费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31013</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公务用车购置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30304</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抚恤金</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18.21</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30224</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被装购置费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31019</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其他交通工具购置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30305</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生活补助</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30225</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专用燃料费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31021</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文物和陈列品购置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30306</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救济费</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30226</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劳务费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31022</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无形资产购置</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30307</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医疗费补助</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30227</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委托业务费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2.57</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31099</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其他资本性支出</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30308</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助学金</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30228</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工会经费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对企业补助</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奖励金</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30229</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福利费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31201</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资本金注入</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30310</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个人农业生产补贴</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30231</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公务用车运行维护费</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31203</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政府投资基金股权投资</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30399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对其他个人和家庭的补助支出</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30239</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其他交通费用</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31204</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费用补贴</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30240</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税金及附加费用</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31205</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利息补贴</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30299</w:t>
            </w: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其他商品和服务支出</w:t>
            </w:r>
          </w:p>
        </w:tc>
        <w:tc>
          <w:tcPr>
            <w:tcW w:w="91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5.76</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31299</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其他对企业补助</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其他支出</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39906</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赠与</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39907</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国家赔偿费用支出</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0.00</w:t>
            </w:r>
          </w:p>
        </w:tc>
      </w:tr>
      <w:tr>
        <w:tblPrEx>
          <w:tblCellMar>
            <w:top w:w="0" w:type="dxa"/>
            <w:left w:w="108" w:type="dxa"/>
            <w:bottom w:w="0" w:type="dxa"/>
            <w:right w:w="108" w:type="dxa"/>
          </w:tblCellMar>
        </w:tblPrEx>
        <w:trPr>
          <w:gridAfter w:val="1"/>
          <w:wAfter w:w="236" w:type="dxa"/>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39908</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对民间非营利组织和群众性自治组织补贴</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22" w:hRule="atLeast"/>
          <w:jc w:val="center"/>
        </w:trPr>
        <w:tc>
          <w:tcPr>
            <w:tcW w:w="281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　</w:t>
            </w:r>
          </w:p>
        </w:tc>
        <w:tc>
          <w:tcPr>
            <w:tcW w:w="7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6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36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91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477"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39999</w:t>
            </w:r>
          </w:p>
        </w:tc>
        <w:tc>
          <w:tcPr>
            <w:tcW w:w="201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其他支出</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22"/>
                <w:szCs w:val="22"/>
                <w:u w:val="none"/>
                <w:lang w:val="en-US" w:eastAsia="zh-CN" w:bidi="ar"/>
              </w:rPr>
              <w:t>0.00</w:t>
            </w:r>
          </w:p>
        </w:tc>
        <w:tc>
          <w:tcPr>
            <w:tcW w:w="236" w:type="dxa"/>
            <w:tcBorders>
              <w:left w:val="nil"/>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r>
      <w:tr>
        <w:tblPrEx>
          <w:tblCellMar>
            <w:top w:w="0" w:type="dxa"/>
            <w:left w:w="108" w:type="dxa"/>
            <w:bottom w:w="0" w:type="dxa"/>
            <w:right w:w="108" w:type="dxa"/>
          </w:tblCellMar>
        </w:tblPrEx>
        <w:trPr>
          <w:trHeight w:val="222" w:hRule="atLeast"/>
          <w:jc w:val="center"/>
        </w:trPr>
        <w:tc>
          <w:tcPr>
            <w:tcW w:w="281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人员经费合计</w:t>
            </w:r>
          </w:p>
        </w:tc>
        <w:tc>
          <w:tcPr>
            <w:tcW w:w="7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113.17</w:t>
            </w:r>
          </w:p>
        </w:tc>
        <w:tc>
          <w:tcPr>
            <w:tcW w:w="5448" w:type="dxa"/>
            <w:gridSpan w:val="5"/>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公用经费合计</w:t>
            </w:r>
          </w:p>
        </w:tc>
        <w:tc>
          <w:tcPr>
            <w:tcW w:w="69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24.48</w:t>
            </w:r>
          </w:p>
        </w:tc>
        <w:tc>
          <w:tcPr>
            <w:tcW w:w="236" w:type="dxa"/>
            <w:noWrap w:val="0"/>
            <w:vAlign w:val="center"/>
          </w:tcPr>
          <w:p>
            <w:pPr>
              <w:rPr>
                <w:rFonts w:hint="eastAsia" w:ascii="宋体" w:hAnsi="Calibri" w:eastAsia="宋体"/>
                <w:sz w:val="24"/>
                <w:szCs w:val="24"/>
              </w:rPr>
            </w:pP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七、政府性基金预算财政拨款收入支出决算表</w:t>
      </w:r>
    </w:p>
    <w:p>
      <w:pPr>
        <w:pStyle w:val="4"/>
        <w:widowControl/>
        <w:rPr>
          <w:rFonts w:hint="eastAsia" w:ascii="黑体" w:hAnsi="宋体" w:eastAsia="黑体" w:cs="黑体"/>
          <w:color w:val="000000"/>
          <w:sz w:val="20"/>
          <w:szCs w:val="20"/>
        </w:rPr>
      </w:pPr>
      <w:r>
        <w:rPr>
          <w:rFonts w:hint="eastAsia" w:ascii="黑体" w:hAnsi="宋体" w:eastAsia="黑体" w:cs="黑体"/>
          <w:color w:val="000000"/>
          <w:sz w:val="20"/>
          <w:szCs w:val="20"/>
        </w:rPr>
        <w:t xml:space="preserve">                                                                               </w:t>
      </w:r>
      <w:r>
        <w:rPr>
          <w:rFonts w:hint="eastAsia" w:ascii="宋体" w:hAnsi="宋体" w:cs="宋体"/>
          <w:color w:val="000000"/>
          <w:sz w:val="20"/>
          <w:szCs w:val="20"/>
        </w:rPr>
        <w:t>公开07表</w:t>
      </w:r>
    </w:p>
    <w:tbl>
      <w:tblPr>
        <w:tblStyle w:val="2"/>
        <w:tblW w:w="9180" w:type="dxa"/>
        <w:jc w:val="center"/>
        <w:tblLayout w:type="fixed"/>
        <w:tblCellMar>
          <w:top w:w="0" w:type="dxa"/>
          <w:left w:w="108" w:type="dxa"/>
          <w:bottom w:w="0" w:type="dxa"/>
          <w:right w:w="108" w:type="dxa"/>
        </w:tblCellMar>
      </w:tblPr>
      <w:tblGrid>
        <w:gridCol w:w="430"/>
        <w:gridCol w:w="394"/>
        <w:gridCol w:w="466"/>
        <w:gridCol w:w="540"/>
        <w:gridCol w:w="460"/>
        <w:gridCol w:w="580"/>
        <w:gridCol w:w="640"/>
        <w:gridCol w:w="480"/>
        <w:gridCol w:w="430"/>
        <w:gridCol w:w="430"/>
        <w:gridCol w:w="430"/>
        <w:gridCol w:w="430"/>
        <w:gridCol w:w="430"/>
        <w:gridCol w:w="460"/>
        <w:gridCol w:w="820"/>
        <w:gridCol w:w="880"/>
        <w:gridCol w:w="880"/>
      </w:tblGrid>
      <w:tr>
        <w:tblPrEx>
          <w:tblCellMar>
            <w:top w:w="0" w:type="dxa"/>
            <w:left w:w="108" w:type="dxa"/>
            <w:bottom w:w="0" w:type="dxa"/>
            <w:right w:w="108" w:type="dxa"/>
          </w:tblCellMar>
        </w:tblPrEx>
        <w:trPr>
          <w:trHeight w:val="255" w:hRule="atLeast"/>
          <w:jc w:val="center"/>
        </w:trPr>
        <w:tc>
          <w:tcPr>
            <w:tcW w:w="824" w:type="dxa"/>
            <w:gridSpan w:val="2"/>
            <w:tcBorders>
              <w:top w:val="nil"/>
              <w:left w:val="nil"/>
              <w:bottom w:val="nil"/>
              <w:right w:val="nil"/>
            </w:tcBorders>
            <w:noWrap w:val="0"/>
            <w:vAlign w:val="bottom"/>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p>
        </w:tc>
        <w:tc>
          <w:tcPr>
            <w:tcW w:w="466"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54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6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58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64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8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6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82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1760" w:type="dxa"/>
            <w:gridSpan w:val="2"/>
            <w:tcBorders>
              <w:top w:val="nil"/>
              <w:left w:val="nil"/>
              <w:bottom w:val="nil"/>
              <w:right w:val="nil"/>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trHeight w:val="465" w:hRule="atLeast"/>
          <w:jc w:val="center"/>
        </w:trPr>
        <w:tc>
          <w:tcPr>
            <w:tcW w:w="12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54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68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年初结转和结余</w:t>
            </w:r>
          </w:p>
        </w:tc>
        <w:tc>
          <w:tcPr>
            <w:tcW w:w="134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w:t>
            </w:r>
          </w:p>
        </w:tc>
        <w:tc>
          <w:tcPr>
            <w:tcW w:w="129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c>
          <w:tcPr>
            <w:tcW w:w="3040" w:type="dxa"/>
            <w:gridSpan w:val="4"/>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年末结转和结余</w:t>
            </w:r>
          </w:p>
        </w:tc>
      </w:tr>
      <w:tr>
        <w:tblPrEx>
          <w:tblCellMar>
            <w:top w:w="0" w:type="dxa"/>
            <w:left w:w="108" w:type="dxa"/>
            <w:bottom w:w="0" w:type="dxa"/>
            <w:right w:w="108" w:type="dxa"/>
          </w:tblCellMar>
        </w:tblPrEx>
        <w:trPr>
          <w:trHeight w:val="615"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5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64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和结余</w:t>
            </w:r>
          </w:p>
        </w:tc>
        <w:tc>
          <w:tcPr>
            <w:tcW w:w="4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82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1760" w:type="dxa"/>
            <w:gridSpan w:val="2"/>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项目支出结转和结余</w:t>
            </w:r>
          </w:p>
        </w:tc>
      </w:tr>
      <w:tr>
        <w:tblPrEx>
          <w:tblCellMar>
            <w:top w:w="0" w:type="dxa"/>
            <w:left w:w="108" w:type="dxa"/>
            <w:bottom w:w="0" w:type="dxa"/>
            <w:right w:w="108" w:type="dxa"/>
          </w:tblCellMar>
        </w:tblPrEx>
        <w:trPr>
          <w:trHeight w:val="308"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项目支出结余</w:t>
            </w:r>
          </w:p>
        </w:tc>
      </w:tr>
      <w:tr>
        <w:tblPrEx>
          <w:tblCellMar>
            <w:top w:w="0" w:type="dxa"/>
            <w:left w:w="108" w:type="dxa"/>
            <w:bottom w:w="0" w:type="dxa"/>
            <w:right w:w="108" w:type="dxa"/>
          </w:tblCellMar>
        </w:tblPrEx>
        <w:trPr>
          <w:trHeight w:val="2006"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0" w:type="dxa"/>
            <w:left w:w="108" w:type="dxa"/>
            <w:bottom w:w="0" w:type="dxa"/>
            <w:right w:w="108" w:type="dxa"/>
          </w:tblCellMar>
        </w:tblPrEx>
        <w:trPr>
          <w:trHeight w:val="308" w:hRule="atLeast"/>
          <w:jc w:val="center"/>
        </w:trPr>
        <w:tc>
          <w:tcPr>
            <w:tcW w:w="430"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类</w:t>
            </w:r>
          </w:p>
        </w:tc>
        <w:tc>
          <w:tcPr>
            <w:tcW w:w="39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款</w:t>
            </w:r>
          </w:p>
        </w:tc>
        <w:tc>
          <w:tcPr>
            <w:tcW w:w="46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项</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rPr>
                <w:rFonts w:hint="eastAsia" w:ascii="宋体" w:hAnsi="宋体" w:cs="宋体"/>
                <w:b/>
                <w:color w:val="000000"/>
                <w:sz w:val="22"/>
                <w:szCs w:val="22"/>
              </w:rPr>
            </w:pPr>
            <w:r>
              <w:rPr>
                <w:rFonts w:hint="eastAsia" w:ascii="宋体" w:hAnsi="宋体" w:cs="宋体"/>
                <w:b/>
                <w:color w:val="000000"/>
                <w:sz w:val="22"/>
                <w:szCs w:val="22"/>
              </w:rPr>
              <w:t>　</w:t>
            </w:r>
          </w:p>
        </w:tc>
        <w:tc>
          <w:tcPr>
            <w:tcW w:w="5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6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r>
      <w:tr>
        <w:tblPrEx>
          <w:tblCellMar>
            <w:top w:w="0" w:type="dxa"/>
            <w:left w:w="108" w:type="dxa"/>
            <w:bottom w:w="0" w:type="dxa"/>
            <w:right w:w="108" w:type="dxa"/>
          </w:tblCellMar>
        </w:tblPrEx>
        <w:trPr>
          <w:trHeight w:val="500" w:hRule="atLeast"/>
          <w:jc w:val="center"/>
        </w:trPr>
        <w:tc>
          <w:tcPr>
            <w:tcW w:w="129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550"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559"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bl>
    <w:p>
      <w:pPr>
        <w:pStyle w:val="4"/>
        <w:widowControl/>
        <w:rPr>
          <w:rFonts w:hint="eastAsia" w:ascii="黑体" w:hAnsi="宋体" w:eastAsia="黑体" w:cs="黑体"/>
          <w:color w:val="000000"/>
          <w:sz w:val="32"/>
          <w:szCs w:val="32"/>
        </w:rPr>
      </w:pPr>
      <w:r>
        <w:rPr>
          <w:rFonts w:ascii="楷体_GB2312" w:eastAsia="楷体_GB2312" w:cs="楷体_GB2312"/>
          <w:color w:val="000000"/>
          <w:sz w:val="32"/>
          <w:szCs w:val="32"/>
        </w:rPr>
        <w:t>（注：</w:t>
      </w:r>
      <w:r>
        <w:rPr>
          <w:rFonts w:hint="eastAsia" w:ascii="楷体_GB2312" w:eastAsia="楷体_GB2312" w:cs="楷体_GB2312"/>
          <w:color w:val="000000"/>
          <w:sz w:val="32"/>
          <w:szCs w:val="32"/>
          <w:lang w:val="en-US" w:eastAsia="zh-CN"/>
        </w:rPr>
        <w:t>我单位</w:t>
      </w:r>
      <w:r>
        <w:rPr>
          <w:rFonts w:ascii="楷体_GB2312" w:eastAsia="楷体_GB2312" w:cs="楷体_GB2312"/>
          <w:color w:val="000000"/>
          <w:sz w:val="32"/>
          <w:szCs w:val="32"/>
        </w:rPr>
        <w:t>没有政府性基金收入，也没有使用政府性基金安排的支出，故此表无数据。）</w:t>
      </w:r>
    </w:p>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八、国有资本经营预算财政拨款支出决算表</w:t>
      </w:r>
    </w:p>
    <w:tbl>
      <w:tblPr>
        <w:tblStyle w:val="2"/>
        <w:tblW w:w="0" w:type="auto"/>
        <w:tblInd w:w="93" w:type="dxa"/>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八公山区财政局</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r>
      <w:tr>
        <w:tblPrEx>
          <w:tblCellMar>
            <w:top w:w="15" w:type="dxa"/>
            <w:left w:w="108" w:type="dxa"/>
            <w:bottom w:w="15" w:type="dxa"/>
            <w:right w:w="108" w:type="dxa"/>
          </w:tblCellMar>
        </w:tblPrEx>
        <w:trPr>
          <w:trHeight w:val="634"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r>
    </w:tbl>
    <w:p>
      <w:pPr>
        <w:pStyle w:val="4"/>
        <w:widowControl/>
        <w:rPr>
          <w:rFonts w:hint="eastAsia" w:ascii="黑体" w:hAnsi="宋体" w:eastAsia="黑体" w:cs="黑体"/>
          <w:color w:val="000000"/>
          <w:sz w:val="20"/>
          <w:szCs w:val="20"/>
        </w:rPr>
      </w:pPr>
      <w:r>
        <w:rPr>
          <w:rFonts w:ascii="楷体_GB2312" w:eastAsia="楷体_GB2312" w:cs="楷体_GB2312"/>
          <w:color w:val="000000"/>
          <w:sz w:val="32"/>
          <w:szCs w:val="32"/>
        </w:rPr>
        <w:t>（</w:t>
      </w:r>
      <w:r>
        <w:rPr>
          <w:rFonts w:hint="eastAsia" w:ascii="楷体_GB2312" w:eastAsia="楷体_GB2312" w:cs="楷体_GB2312"/>
          <w:color w:val="000000"/>
          <w:sz w:val="32"/>
          <w:szCs w:val="32"/>
          <w:lang w:val="en-US" w:eastAsia="zh-CN"/>
        </w:rPr>
        <w:t>我单位</w:t>
      </w:r>
      <w:r>
        <w:rPr>
          <w:rFonts w:ascii="楷体_GB2312" w:eastAsia="楷体_GB2312" w:cs="楷体_GB2312"/>
          <w:color w:val="000000"/>
          <w:sz w:val="32"/>
          <w:szCs w:val="32"/>
        </w:rPr>
        <w:t>没有使用国有资本经营预算财政拨款安排的支出，故此表无数据。</w:t>
      </w:r>
      <w:r>
        <w:rPr>
          <w:rFonts w:hint="eastAsia" w:ascii="仿宋" w:hAnsi="仿宋" w:eastAsia="仿宋" w:cs="仿宋"/>
          <w:color w:val="000000"/>
          <w:sz w:val="32"/>
          <w:szCs w:val="32"/>
        </w:rPr>
        <w:t>”</w:t>
      </w:r>
      <w:r>
        <w:rPr>
          <w:rFonts w:ascii="楷体_GB2312" w:eastAsia="楷体_GB2312" w:cs="楷体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第三部分 八公山区</w:t>
      </w:r>
      <w:r>
        <w:rPr>
          <w:rFonts w:hint="eastAsia" w:ascii="黑体" w:hAnsi="宋体" w:eastAsia="黑体" w:cs="黑体"/>
          <w:color w:val="000000"/>
          <w:sz w:val="32"/>
          <w:szCs w:val="32"/>
          <w:lang w:val="en-US" w:eastAsia="zh-CN"/>
        </w:rPr>
        <w:t>财政局</w:t>
      </w:r>
      <w:r>
        <w:rPr>
          <w:rFonts w:hint="eastAsia" w:ascii="黑体" w:hAnsi="宋体" w:eastAsia="黑体" w:cs="黑体"/>
          <w:color w:val="000000"/>
          <w:sz w:val="32"/>
          <w:szCs w:val="32"/>
        </w:rPr>
        <w:t>2020年度部门决算情况说明</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一、收入支出决算总体情况说明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2020年度收入总计</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万元（含使用非财政拨款结转结余和年初结转结余）、支出总计</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万元（含结余分配和年末结转结余）。与2019年相比，收、支总计各减少</w:t>
      </w:r>
      <w:r>
        <w:rPr>
          <w:rFonts w:hint="eastAsia" w:ascii="仿宋_GB2312" w:eastAsia="仿宋_GB2312" w:cs="仿宋_GB2312"/>
          <w:color w:val="000000"/>
          <w:sz w:val="32"/>
          <w:szCs w:val="32"/>
          <w:lang w:val="en-US" w:eastAsia="zh-CN"/>
        </w:rPr>
        <w:t>166.07</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35</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lang w:val="en-US" w:eastAsia="zh-CN"/>
        </w:rPr>
        <w:t>压缩一般性支出</w:t>
      </w:r>
      <w:r>
        <w:rPr>
          <w:rFonts w:ascii="仿宋_GB2312" w:eastAsia="仿宋_GB2312" w:cs="仿宋_GB2312"/>
          <w:color w:val="000000"/>
          <w:sz w:val="32"/>
          <w:szCs w:val="32"/>
        </w:rPr>
        <w:t>；二是</w:t>
      </w:r>
      <w:r>
        <w:rPr>
          <w:rFonts w:hint="eastAsia" w:ascii="仿宋" w:hAnsi="仿宋" w:eastAsia="仿宋" w:cs="仿宋"/>
          <w:color w:val="000000"/>
          <w:sz w:val="32"/>
          <w:szCs w:val="32"/>
          <w:lang w:val="en-US" w:eastAsia="zh-CN"/>
        </w:rPr>
        <w:t>减少卫生健康支出</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二、收入决算情况说明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2020年度收入合计</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万元，其中：财政拨款收入</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%；事业收入</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%；经营收入</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%；其他收入</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三、支出决算情况说明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2020年度支出合计</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137.65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44.7</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170.44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55.3</w:t>
      </w:r>
      <w:r>
        <w:rPr>
          <w:rFonts w:ascii="仿宋_GB2312" w:eastAsia="仿宋_GB2312" w:cs="仿宋_GB2312"/>
          <w:color w:val="000000"/>
          <w:sz w:val="32"/>
          <w:szCs w:val="32"/>
        </w:rPr>
        <w:t>%；经营支出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四、财政拨款收入支出决算总体情况说明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2020年度财政拨款收入总计</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万元（含年初财政拨款结转结余），支出总计</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万元（含年末财政拨款结转和结余）。与2019年相比，财政拨款收、支总计各减少</w:t>
      </w:r>
      <w:r>
        <w:rPr>
          <w:rFonts w:hint="eastAsia" w:ascii="仿宋_GB2312" w:eastAsia="仿宋_GB2312" w:cs="仿宋_GB2312"/>
          <w:color w:val="000000"/>
          <w:sz w:val="32"/>
          <w:szCs w:val="32"/>
          <w:lang w:val="en-US" w:eastAsia="zh-CN"/>
        </w:rPr>
        <w:t>166.07</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35</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lang w:val="en-US" w:eastAsia="zh-CN"/>
        </w:rPr>
        <w:t>压缩一般性支出</w:t>
      </w:r>
      <w:r>
        <w:rPr>
          <w:rFonts w:ascii="仿宋_GB2312" w:eastAsia="仿宋_GB2312" w:cs="仿宋_GB2312"/>
          <w:color w:val="000000"/>
          <w:sz w:val="32"/>
          <w:szCs w:val="32"/>
        </w:rPr>
        <w:t>；二是</w:t>
      </w:r>
      <w:r>
        <w:rPr>
          <w:rFonts w:hint="eastAsia" w:ascii="仿宋" w:hAnsi="仿宋" w:eastAsia="仿宋" w:cs="仿宋"/>
          <w:color w:val="000000"/>
          <w:sz w:val="32"/>
          <w:szCs w:val="32"/>
          <w:lang w:val="en-US" w:eastAsia="zh-CN"/>
        </w:rPr>
        <w:t>减少卫生健康支出</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五、一般公共预算财政拨款支出决算情况说明</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（一）一般公共预算财政拨款支出决算总体情况。</w:t>
      </w:r>
    </w:p>
    <w:p>
      <w:pPr>
        <w:pStyle w:val="4"/>
        <w:widowControl/>
        <w:ind w:firstLine="640"/>
        <w:rPr>
          <w:rFonts w:ascii="仿宋_GB2312" w:eastAsia="仿宋_GB2312" w:cs="仿宋_GB2312"/>
          <w:color w:val="auto"/>
          <w:sz w:val="32"/>
          <w:szCs w:val="32"/>
        </w:rPr>
      </w:pPr>
      <w:r>
        <w:rPr>
          <w:rFonts w:ascii="仿宋_GB2312" w:eastAsia="仿宋_GB2312" w:cs="仿宋_GB2312"/>
          <w:color w:val="auto"/>
          <w:sz w:val="32"/>
          <w:szCs w:val="32"/>
        </w:rPr>
        <w:t>2020年度一般公共预算财政拨款支出</w:t>
      </w:r>
      <w:r>
        <w:rPr>
          <w:rFonts w:hint="eastAsia" w:ascii="仿宋_GB2312" w:eastAsia="仿宋_GB2312" w:cs="仿宋_GB2312"/>
          <w:color w:val="auto"/>
          <w:sz w:val="32"/>
          <w:szCs w:val="32"/>
          <w:lang w:val="en-US" w:eastAsia="zh-CN"/>
        </w:rPr>
        <w:t>308.09</w:t>
      </w:r>
      <w:r>
        <w:rPr>
          <w:rFonts w:ascii="仿宋_GB2312" w:eastAsia="仿宋_GB2312" w:cs="仿宋_GB2312"/>
          <w:color w:val="auto"/>
          <w:sz w:val="32"/>
          <w:szCs w:val="32"/>
        </w:rPr>
        <w:t>万元，占本年支出的</w:t>
      </w:r>
      <w:r>
        <w:rPr>
          <w:rFonts w:hint="eastAsia" w:ascii="仿宋_GB2312" w:eastAsia="仿宋_GB2312" w:cs="仿宋_GB2312"/>
          <w:color w:val="auto"/>
          <w:sz w:val="32"/>
          <w:szCs w:val="32"/>
          <w:lang w:val="en-US" w:eastAsia="zh-CN"/>
        </w:rPr>
        <w:t>100</w:t>
      </w:r>
      <w:r>
        <w:rPr>
          <w:rFonts w:ascii="仿宋_GB2312" w:eastAsia="仿宋_GB2312" w:cs="仿宋_GB2312"/>
          <w:color w:val="auto"/>
          <w:sz w:val="32"/>
          <w:szCs w:val="32"/>
        </w:rPr>
        <w:t>%。与2019年相比，一般公共预算财政拨款支出减少</w:t>
      </w:r>
      <w:r>
        <w:rPr>
          <w:rFonts w:hint="eastAsia" w:ascii="仿宋_GB2312" w:eastAsia="仿宋_GB2312" w:cs="仿宋_GB2312"/>
          <w:color w:val="auto"/>
          <w:sz w:val="32"/>
          <w:szCs w:val="32"/>
          <w:lang w:val="en-US" w:eastAsia="zh-CN"/>
        </w:rPr>
        <w:t>166.07</w:t>
      </w:r>
      <w:r>
        <w:rPr>
          <w:rFonts w:ascii="仿宋_GB2312" w:eastAsia="仿宋_GB2312" w:cs="仿宋_GB2312"/>
          <w:color w:val="auto"/>
          <w:sz w:val="32"/>
          <w:szCs w:val="32"/>
        </w:rPr>
        <w:t>万元，下降</w:t>
      </w:r>
      <w:r>
        <w:rPr>
          <w:rFonts w:hint="eastAsia" w:ascii="仿宋_GB2312" w:eastAsia="仿宋_GB2312" w:cs="仿宋_GB2312"/>
          <w:color w:val="auto"/>
          <w:sz w:val="32"/>
          <w:szCs w:val="32"/>
          <w:lang w:val="en-US" w:eastAsia="zh-CN"/>
        </w:rPr>
        <w:t>35</w:t>
      </w:r>
      <w:r>
        <w:rPr>
          <w:rFonts w:ascii="仿宋_GB2312" w:eastAsia="仿宋_GB2312" w:cs="仿宋_GB2312"/>
          <w:color w:val="auto"/>
          <w:sz w:val="32"/>
          <w:szCs w:val="32"/>
        </w:rPr>
        <w:t>%。一是</w:t>
      </w:r>
      <w:r>
        <w:rPr>
          <w:rFonts w:hint="eastAsia" w:ascii="仿宋" w:hAnsi="仿宋" w:eastAsia="仿宋" w:cs="仿宋"/>
          <w:color w:val="auto"/>
          <w:sz w:val="32"/>
          <w:szCs w:val="32"/>
          <w:lang w:val="en-US" w:eastAsia="zh-CN"/>
        </w:rPr>
        <w:t>压缩一般性支出</w:t>
      </w:r>
      <w:r>
        <w:rPr>
          <w:rFonts w:ascii="仿宋_GB2312" w:eastAsia="仿宋_GB2312" w:cs="仿宋_GB2312"/>
          <w:color w:val="auto"/>
          <w:sz w:val="32"/>
          <w:szCs w:val="32"/>
        </w:rPr>
        <w:t>；二是</w:t>
      </w:r>
      <w:r>
        <w:rPr>
          <w:rFonts w:hint="eastAsia" w:ascii="仿宋" w:hAnsi="仿宋" w:eastAsia="仿宋" w:cs="仿宋"/>
          <w:color w:val="auto"/>
          <w:sz w:val="32"/>
          <w:szCs w:val="32"/>
          <w:lang w:val="en-US" w:eastAsia="zh-CN"/>
        </w:rPr>
        <w:t>减少卫生健康支出</w:t>
      </w:r>
      <w:r>
        <w:rPr>
          <w:rFonts w:ascii="仿宋_GB2312" w:eastAsia="仿宋_GB2312" w:cs="仿宋_GB2312"/>
          <w:color w:val="auto"/>
          <w:sz w:val="32"/>
          <w:szCs w:val="32"/>
        </w:rPr>
        <w:t>。</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（二）一般公共预算财政拨款支出决算结构情况。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万元，主要用于以下方面：</w:t>
      </w:r>
      <w:r>
        <w:rPr>
          <w:rFonts w:ascii="仿宋_GB2312" w:eastAsia="仿宋_GB2312" w:cs="仿宋_GB2312"/>
          <w:b/>
          <w:color w:val="000000"/>
          <w:sz w:val="32"/>
          <w:szCs w:val="32"/>
        </w:rPr>
        <w:t>一般公共服务（类）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115.25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37.41</w:t>
      </w:r>
      <w:r>
        <w:rPr>
          <w:rFonts w:ascii="仿宋_GB2312" w:eastAsia="仿宋_GB2312" w:cs="仿宋_GB2312"/>
          <w:color w:val="000000"/>
          <w:sz w:val="32"/>
          <w:szCs w:val="32"/>
        </w:rPr>
        <w:t>%;</w:t>
      </w:r>
      <w:r>
        <w:rPr>
          <w:rFonts w:ascii="仿宋_GB2312" w:eastAsia="仿宋_GB2312" w:cs="仿宋_GB2312"/>
          <w:b/>
          <w:color w:val="000000"/>
          <w:sz w:val="32"/>
          <w:szCs w:val="32"/>
        </w:rPr>
        <w:t>教育（类）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w:t>
      </w:r>
      <w:r>
        <w:rPr>
          <w:rFonts w:hint="eastAsia" w:ascii="仿宋" w:hAnsi="仿宋" w:eastAsia="仿宋" w:cs="仿宋"/>
          <w:b/>
          <w:sz w:val="32"/>
          <w:szCs w:val="32"/>
        </w:rPr>
        <w:t>公共安全支出（类）支出</w:t>
      </w:r>
      <w:r>
        <w:rPr>
          <w:rFonts w:hint="eastAsia" w:ascii="仿宋_GB2312" w:eastAsia="仿宋_GB2312" w:cs="仿宋_GB2312"/>
          <w:color w:val="000000"/>
          <w:sz w:val="32"/>
          <w:szCs w:val="32"/>
          <w:lang w:val="en-US" w:eastAsia="zh-CN"/>
        </w:rPr>
        <w:t>4</w:t>
      </w:r>
      <w:r>
        <w:rPr>
          <w:rFonts w:hint="eastAsia" w:ascii="仿宋" w:hAnsi="仿宋" w:eastAsia="仿宋" w:cs="仿宋"/>
          <w:sz w:val="32"/>
          <w:szCs w:val="32"/>
        </w:rPr>
        <w:t>万元，占</w:t>
      </w:r>
      <w:r>
        <w:rPr>
          <w:rFonts w:hint="eastAsia" w:ascii="仿宋" w:hAnsi="仿宋" w:eastAsia="仿宋" w:cs="仿宋"/>
          <w:sz w:val="32"/>
          <w:szCs w:val="32"/>
          <w:lang w:val="en-US" w:eastAsia="zh-CN"/>
        </w:rPr>
        <w:t>1.3</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ascii="仿宋_GB2312" w:eastAsia="仿宋_GB2312" w:cs="仿宋_GB2312"/>
          <w:b/>
          <w:color w:val="000000"/>
          <w:sz w:val="32"/>
          <w:szCs w:val="32"/>
        </w:rPr>
        <w:t>科学技术（类）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7.5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2.43</w:t>
      </w:r>
      <w:r>
        <w:rPr>
          <w:rFonts w:ascii="仿宋_GB2312" w:eastAsia="仿宋_GB2312" w:cs="仿宋_GB2312"/>
          <w:color w:val="000000"/>
          <w:sz w:val="32"/>
          <w:szCs w:val="32"/>
        </w:rPr>
        <w:t>%；；</w:t>
      </w:r>
      <w:r>
        <w:rPr>
          <w:rFonts w:ascii="仿宋_GB2312" w:eastAsia="仿宋_GB2312" w:cs="仿宋_GB2312"/>
          <w:b/>
          <w:color w:val="000000"/>
          <w:sz w:val="32"/>
          <w:szCs w:val="32"/>
        </w:rPr>
        <w:t>社会保障和就业（类）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20.32</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6.6</w:t>
      </w:r>
      <w:r>
        <w:rPr>
          <w:rFonts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卫生健康（类）支出1.87</w:t>
      </w:r>
      <w:r>
        <w:rPr>
          <w:rFonts w:hint="eastAsia" w:ascii="仿宋" w:hAnsi="仿宋" w:eastAsia="仿宋" w:cs="仿宋"/>
          <w:sz w:val="32"/>
          <w:szCs w:val="32"/>
        </w:rPr>
        <w:t>万元，占</w:t>
      </w:r>
      <w:r>
        <w:rPr>
          <w:rFonts w:hint="eastAsia" w:ascii="仿宋" w:hAnsi="仿宋" w:eastAsia="仿宋" w:cs="仿宋"/>
          <w:sz w:val="32"/>
          <w:szCs w:val="32"/>
          <w:lang w:val="en-US" w:eastAsia="zh-CN"/>
        </w:rPr>
        <w:t>0.61</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ascii="仿宋_GB2312" w:eastAsia="仿宋_GB2312" w:cs="仿宋_GB2312"/>
          <w:b/>
          <w:color w:val="000000"/>
          <w:sz w:val="32"/>
          <w:szCs w:val="32"/>
        </w:rPr>
        <w:t>农林水（类）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151.15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49.06</w:t>
      </w:r>
      <w:r>
        <w:rPr>
          <w:rFonts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资源勘探工业信息等（类）支出2.24</w:t>
      </w:r>
      <w:r>
        <w:rPr>
          <w:rFonts w:hint="eastAsia" w:ascii="仿宋" w:hAnsi="仿宋" w:eastAsia="仿宋" w:cs="仿宋"/>
          <w:sz w:val="32"/>
          <w:szCs w:val="32"/>
        </w:rPr>
        <w:t>万元，占</w:t>
      </w:r>
      <w:r>
        <w:rPr>
          <w:rFonts w:hint="eastAsia" w:ascii="仿宋" w:hAnsi="仿宋" w:eastAsia="仿宋" w:cs="仿宋"/>
          <w:sz w:val="32"/>
          <w:szCs w:val="32"/>
          <w:lang w:val="en-US" w:eastAsia="zh-CN"/>
        </w:rPr>
        <w:t>0.73</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ascii="仿宋_GB2312" w:eastAsia="仿宋_GB2312" w:cs="仿宋_GB2312"/>
          <w:b/>
          <w:color w:val="000000"/>
          <w:sz w:val="32"/>
          <w:szCs w:val="32"/>
        </w:rPr>
        <w:t>住房保障（类）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5.76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1.87</w:t>
      </w:r>
      <w:r>
        <w:rPr>
          <w:rFonts w:ascii="仿宋_GB2312" w:eastAsia="仿宋_GB2312" w:cs="仿宋_GB2312"/>
          <w:color w:val="000000"/>
          <w:sz w:val="32"/>
          <w:szCs w:val="32"/>
        </w:rPr>
        <w:t>%。</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（三）一般公共预算财政拨款支出决算具体情况。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2020年度一般公共预算财政拨款支出年初预算为</w:t>
      </w:r>
      <w:r>
        <w:rPr>
          <w:rFonts w:hint="eastAsia" w:ascii="仿宋_GB2312" w:eastAsia="仿宋_GB2312" w:cs="仿宋_GB2312"/>
          <w:color w:val="000000"/>
          <w:sz w:val="32"/>
          <w:szCs w:val="32"/>
          <w:lang w:val="en-US" w:eastAsia="zh-CN"/>
        </w:rPr>
        <w:t>267.78</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308.09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115</w:t>
      </w:r>
      <w:r>
        <w:rPr>
          <w:rFonts w:ascii="仿宋_GB2312" w:eastAsia="仿宋_GB2312" w:cs="仿宋_GB2312"/>
          <w:color w:val="000000"/>
          <w:sz w:val="32"/>
          <w:szCs w:val="32"/>
        </w:rPr>
        <w:t>%。决算数大于预算数的主要原因:</w:t>
      </w:r>
      <w:r>
        <w:rPr>
          <w:rFonts w:hint="eastAsia" w:ascii="仿宋_GB2312" w:eastAsia="仿宋_GB2312" w:cs="仿宋_GB2312"/>
          <w:color w:val="000000"/>
          <w:sz w:val="32"/>
          <w:szCs w:val="32"/>
          <w:lang w:val="en-US" w:eastAsia="zh-CN"/>
        </w:rPr>
        <w:t>上级追加专项经费投入</w:t>
      </w:r>
      <w:r>
        <w:rPr>
          <w:rFonts w:ascii="仿宋_GB2312" w:eastAsia="仿宋_GB2312" w:cs="仿宋_GB2312"/>
          <w:color w:val="000000"/>
          <w:sz w:val="32"/>
          <w:szCs w:val="32"/>
        </w:rPr>
        <w:t>。其中:基本支出</w:t>
      </w:r>
      <w:r>
        <w:rPr>
          <w:rFonts w:hint="eastAsia" w:ascii="仿宋_GB2312" w:eastAsia="仿宋_GB2312" w:cs="仿宋_GB2312"/>
          <w:color w:val="000000"/>
          <w:sz w:val="32"/>
          <w:szCs w:val="32"/>
          <w:lang w:val="en-US" w:eastAsia="zh-CN"/>
        </w:rPr>
        <w:t>137.35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44.58</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170.44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55.42</w:t>
      </w:r>
      <w:r>
        <w:rPr>
          <w:rFonts w:ascii="仿宋_GB2312" w:eastAsia="仿宋_GB2312" w:cs="仿宋_GB2312"/>
          <w:color w:val="000000"/>
          <w:sz w:val="32"/>
          <w:szCs w:val="32"/>
        </w:rPr>
        <w:t>%。具体情况如下：</w:t>
      </w:r>
    </w:p>
    <w:p>
      <w:pPr>
        <w:pStyle w:val="4"/>
        <w:widowControl/>
        <w:numPr>
          <w:ilvl w:val="0"/>
          <w:numId w:val="1"/>
        </w:numPr>
        <w:ind w:firstLine="640"/>
        <w:rPr>
          <w:rFonts w:ascii="仿宋_GB2312" w:eastAsia="仿宋_GB2312" w:cs="仿宋_GB2312"/>
          <w:color w:val="000000"/>
          <w:sz w:val="32"/>
          <w:szCs w:val="32"/>
        </w:rPr>
      </w:pPr>
      <w:r>
        <w:rPr>
          <w:rFonts w:ascii="仿宋_GB2312" w:eastAsia="仿宋_GB2312" w:cs="仿宋_GB2312"/>
          <w:b/>
          <w:color w:val="000000"/>
          <w:sz w:val="32"/>
          <w:szCs w:val="32"/>
        </w:rPr>
        <w:t>一般公共服务（类）财政事务（款）行政运行（项）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21.72</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72.4</w:t>
      </w:r>
      <w:r>
        <w:rPr>
          <w:rFonts w:ascii="仿宋_GB2312" w:eastAsia="仿宋_GB2312" w:cs="仿宋_GB2312"/>
          <w:color w:val="000000"/>
          <w:sz w:val="32"/>
          <w:szCs w:val="32"/>
        </w:rPr>
        <w:t>%，决算数小于预算数的主要原因是</w:t>
      </w:r>
      <w:r>
        <w:rPr>
          <w:rFonts w:hint="eastAsia" w:ascii="仿宋" w:hAnsi="仿宋" w:eastAsia="仿宋" w:cs="仿宋"/>
          <w:color w:val="000000"/>
          <w:sz w:val="32"/>
          <w:szCs w:val="32"/>
          <w:lang w:val="en-US" w:eastAsia="zh-CN"/>
        </w:rPr>
        <w:t>压缩支出，厉行节约</w:t>
      </w:r>
      <w:r>
        <w:rPr>
          <w:rFonts w:ascii="仿宋_GB2312" w:eastAsia="仿宋_GB2312" w:cs="仿宋_GB2312"/>
          <w:color w:val="000000"/>
          <w:sz w:val="32"/>
          <w:szCs w:val="32"/>
        </w:rPr>
        <w:t>。</w:t>
      </w:r>
    </w:p>
    <w:p>
      <w:pPr>
        <w:pStyle w:val="4"/>
        <w:widowControl/>
        <w:numPr>
          <w:ilvl w:val="0"/>
          <w:numId w:val="1"/>
        </w:numPr>
        <w:ind w:firstLine="640"/>
        <w:rPr>
          <w:rFonts w:ascii="仿宋_GB2312" w:eastAsia="仿宋_GB2312" w:cs="仿宋_GB2312"/>
          <w:color w:val="000000"/>
          <w:sz w:val="32"/>
          <w:szCs w:val="32"/>
        </w:rPr>
      </w:pPr>
      <w:r>
        <w:rPr>
          <w:rFonts w:ascii="仿宋_GB2312" w:eastAsia="仿宋_GB2312" w:cs="仿宋_GB2312"/>
          <w:b/>
          <w:color w:val="000000"/>
          <w:sz w:val="32"/>
          <w:szCs w:val="32"/>
        </w:rPr>
        <w:t>一般公共服务（类）财政事务（款）</w:t>
      </w:r>
      <w:r>
        <w:rPr>
          <w:rFonts w:hint="eastAsia" w:ascii="仿宋_GB2312" w:eastAsia="仿宋_GB2312" w:cs="仿宋_GB2312"/>
          <w:b/>
          <w:color w:val="000000"/>
          <w:sz w:val="32"/>
          <w:szCs w:val="32"/>
          <w:lang w:val="en-US" w:eastAsia="zh-CN"/>
        </w:rPr>
        <w:t>信息化建设（项）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14.94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14.94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p>
    <w:p>
      <w:pPr>
        <w:pStyle w:val="4"/>
        <w:widowControl/>
        <w:numPr>
          <w:ilvl w:val="0"/>
          <w:numId w:val="1"/>
        </w:numPr>
        <w:ind w:firstLine="640"/>
        <w:rPr>
          <w:rFonts w:ascii="仿宋_GB2312" w:eastAsia="仿宋_GB2312" w:cs="仿宋_GB2312"/>
          <w:color w:val="000000"/>
          <w:sz w:val="32"/>
          <w:szCs w:val="32"/>
        </w:rPr>
      </w:pPr>
      <w:r>
        <w:rPr>
          <w:rFonts w:ascii="仿宋_GB2312" w:eastAsia="仿宋_GB2312" w:cs="仿宋_GB2312"/>
          <w:b/>
          <w:color w:val="000000"/>
          <w:sz w:val="32"/>
          <w:szCs w:val="32"/>
        </w:rPr>
        <w:t>一般公共服务（类）财政事务（款）</w:t>
      </w:r>
      <w:r>
        <w:rPr>
          <w:rFonts w:hint="eastAsia" w:ascii="仿宋_GB2312" w:eastAsia="仿宋_GB2312" w:cs="仿宋_GB2312"/>
          <w:b/>
          <w:color w:val="000000"/>
          <w:sz w:val="32"/>
          <w:szCs w:val="32"/>
          <w:lang w:eastAsia="zh-CN"/>
        </w:rPr>
        <w:t>事业运行（项）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80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77.48</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96.9</w:t>
      </w:r>
      <w:r>
        <w:rPr>
          <w:rFonts w:ascii="仿宋_GB2312" w:eastAsia="仿宋_GB2312" w:cs="仿宋_GB2312"/>
          <w:color w:val="000000"/>
          <w:sz w:val="32"/>
          <w:szCs w:val="32"/>
        </w:rPr>
        <w:t>%，决算数小于预算数的主要原因是</w:t>
      </w:r>
      <w:r>
        <w:rPr>
          <w:rFonts w:hint="eastAsia" w:ascii="仿宋" w:hAnsi="仿宋" w:eastAsia="仿宋" w:cs="仿宋"/>
          <w:color w:val="000000"/>
          <w:sz w:val="32"/>
          <w:szCs w:val="32"/>
          <w:lang w:val="en-US" w:eastAsia="zh-CN"/>
        </w:rPr>
        <w:t>压缩支出，厉行节约</w:t>
      </w:r>
      <w:r>
        <w:rPr>
          <w:rFonts w:ascii="仿宋_GB2312" w:eastAsia="仿宋_GB2312" w:cs="仿宋_GB2312"/>
          <w:color w:val="000000"/>
          <w:sz w:val="32"/>
          <w:szCs w:val="32"/>
        </w:rPr>
        <w:t>。</w:t>
      </w:r>
    </w:p>
    <w:p>
      <w:pPr>
        <w:pStyle w:val="4"/>
        <w:widowControl/>
        <w:numPr>
          <w:ilvl w:val="0"/>
          <w:numId w:val="1"/>
        </w:numPr>
        <w:ind w:firstLine="640"/>
        <w:rPr>
          <w:rFonts w:ascii="仿宋_GB2312" w:eastAsia="仿宋_GB2312" w:cs="仿宋_GB2312"/>
          <w:color w:val="000000"/>
          <w:sz w:val="32"/>
          <w:szCs w:val="32"/>
        </w:rPr>
      </w:pPr>
      <w:r>
        <w:rPr>
          <w:rFonts w:ascii="仿宋_GB2312" w:eastAsia="仿宋_GB2312" w:cs="仿宋_GB2312"/>
          <w:b/>
          <w:color w:val="000000"/>
          <w:sz w:val="32"/>
          <w:szCs w:val="32"/>
        </w:rPr>
        <w:t>一般公共服务（类）财政事务（款）</w:t>
      </w:r>
      <w:r>
        <w:rPr>
          <w:rFonts w:hint="eastAsia" w:ascii="仿宋_GB2312" w:eastAsia="仿宋_GB2312" w:cs="仿宋_GB2312"/>
          <w:b/>
          <w:color w:val="000000"/>
          <w:sz w:val="32"/>
          <w:szCs w:val="32"/>
          <w:lang w:eastAsia="zh-CN"/>
        </w:rPr>
        <w:t>其他财政事务</w:t>
      </w:r>
      <w:r>
        <w:rPr>
          <w:rFonts w:hint="eastAsia" w:ascii="仿宋_GB2312" w:eastAsia="仿宋_GB2312" w:cs="仿宋_GB2312"/>
          <w:b/>
          <w:color w:val="000000"/>
          <w:sz w:val="32"/>
          <w:szCs w:val="32"/>
          <w:lang w:val="en-US" w:eastAsia="zh-CN"/>
        </w:rPr>
        <w:t>支出（项）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1.12</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1.12</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公共安全支出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val="en-US" w:eastAsia="zh-CN"/>
        </w:rPr>
        <w:t>国家安全</w:t>
      </w:r>
      <w:r>
        <w:rPr>
          <w:rFonts w:ascii="仿宋_GB2312" w:eastAsia="仿宋_GB2312" w:cs="仿宋_GB2312"/>
          <w:b/>
          <w:color w:val="000000"/>
          <w:sz w:val="32"/>
          <w:szCs w:val="32"/>
        </w:rPr>
        <w:t>（款）一般行政管理事务（项）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3.99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99.8</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公共安全支出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val="en-US" w:eastAsia="zh-CN"/>
        </w:rPr>
        <w:t>国家安全</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val="en-US" w:eastAsia="zh-CN"/>
        </w:rPr>
        <w:t>其他国家安全支出（项）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0.01</w:t>
      </w:r>
      <w:r>
        <w:rPr>
          <w:rFonts w:ascii="仿宋_GB2312" w:eastAsia="仿宋_GB2312" w:cs="仿宋_GB2312"/>
          <w:color w:val="000000"/>
          <w:sz w:val="32"/>
          <w:szCs w:val="32"/>
        </w:rPr>
        <w:t>万元。</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科学技术支出（类）科学技术管理事务（款）其它科学技术管理事务支出（项）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7.5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7.5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社会保障和就业支出（类）行政事业单位养老支出（款）行政单位离退休（项）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社会保障和就业支出（类）抚恤（款）死亡抚恤（项）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18.21</w:t>
      </w:r>
      <w:r>
        <w:rPr>
          <w:rFonts w:ascii="仿宋_GB2312" w:eastAsia="仿宋_GB2312" w:cs="仿宋_GB2312"/>
          <w:color w:val="000000"/>
          <w:sz w:val="32"/>
          <w:szCs w:val="32"/>
        </w:rPr>
        <w:t>万元，决算数大于预算数的主要原因是</w:t>
      </w:r>
      <w:r>
        <w:rPr>
          <w:rFonts w:hint="eastAsia" w:ascii="仿宋" w:hAnsi="仿宋" w:eastAsia="仿宋" w:cs="仿宋"/>
          <w:color w:val="000000"/>
          <w:sz w:val="32"/>
          <w:szCs w:val="32"/>
          <w:lang w:val="en-US" w:eastAsia="zh-CN"/>
        </w:rPr>
        <w:t>单位有一人逝世，单位给予死亡抚恤金</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社会保障和就业支出（类）其他社会保障和就业支出（款）其他社会保障和就业支出（项）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0.11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0.11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 xml:space="preserve"> 卫生健康支出（类）行政事业单位医疗（款）行政事业单位医疗（项）</w:t>
      </w:r>
      <w:r>
        <w:rPr>
          <w:rFonts w:ascii="仿宋_GB2312" w:eastAsia="仿宋_GB2312" w:cs="仿宋_GB2312"/>
          <w:b/>
          <w:color w:val="000000"/>
          <w:sz w:val="32"/>
          <w:szCs w:val="32"/>
        </w:rPr>
        <w:t>年初预算为</w:t>
      </w:r>
      <w:r>
        <w:rPr>
          <w:rFonts w:hint="eastAsia" w:ascii="仿宋_GB2312" w:eastAsia="仿宋_GB2312" w:cs="仿宋_GB2312"/>
          <w:b/>
          <w:color w:val="000000"/>
          <w:sz w:val="32"/>
          <w:szCs w:val="32"/>
          <w:lang w:val="en-US" w:eastAsia="zh-CN"/>
        </w:rPr>
        <w:t>4.43</w:t>
      </w:r>
      <w:r>
        <w:rPr>
          <w:rFonts w:ascii="仿宋_GB2312" w:eastAsia="仿宋_GB2312" w:cs="仿宋_GB2312"/>
          <w:b/>
          <w:color w:val="000000"/>
          <w:sz w:val="32"/>
          <w:szCs w:val="32"/>
        </w:rPr>
        <w:t>万元，</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1.86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42</w:t>
      </w:r>
      <w:r>
        <w:rPr>
          <w:rFonts w:ascii="仿宋_GB2312" w:eastAsia="仿宋_GB2312" w:cs="仿宋_GB2312"/>
          <w:color w:val="000000"/>
          <w:sz w:val="32"/>
          <w:szCs w:val="32"/>
        </w:rPr>
        <w:t>%，决算数</w:t>
      </w:r>
      <w:r>
        <w:rPr>
          <w:rFonts w:hint="eastAsia" w:ascii="仿宋_GB2312" w:eastAsia="仿宋_GB2312" w:cs="仿宋_GB2312"/>
          <w:color w:val="000000"/>
          <w:sz w:val="32"/>
          <w:szCs w:val="32"/>
          <w:lang w:val="en-US" w:eastAsia="zh-CN"/>
        </w:rPr>
        <w:t>小</w:t>
      </w:r>
      <w:r>
        <w:rPr>
          <w:rFonts w:ascii="仿宋_GB2312" w:eastAsia="仿宋_GB2312" w:cs="仿宋_GB2312"/>
          <w:color w:val="000000"/>
          <w:sz w:val="32"/>
          <w:szCs w:val="32"/>
        </w:rPr>
        <w:t>于预算数的主要原因是</w:t>
      </w:r>
      <w:r>
        <w:rPr>
          <w:rFonts w:hint="eastAsia" w:ascii="仿宋" w:hAnsi="仿宋" w:eastAsia="仿宋" w:cs="仿宋"/>
          <w:color w:val="000000"/>
          <w:sz w:val="32"/>
          <w:szCs w:val="32"/>
          <w:lang w:val="en-US" w:eastAsia="zh-CN"/>
        </w:rPr>
        <w:t>压缩经费，厉行节约</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b/>
          <w:color w:val="000000"/>
          <w:sz w:val="32"/>
          <w:szCs w:val="32"/>
          <w:lang w:val="en-US" w:eastAsia="zh-CN"/>
        </w:rPr>
        <w:t>农林水支出（类）农业农村（款）一般行政管理事务（项）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3.15</w:t>
      </w:r>
      <w:r>
        <w:rPr>
          <w:rFonts w:ascii="仿宋_GB2312" w:eastAsia="仿宋_GB2312" w:cs="仿宋_GB2312"/>
          <w:color w:val="000000"/>
          <w:sz w:val="32"/>
          <w:szCs w:val="32"/>
        </w:rPr>
        <w:t>万元，决算数大于预算数的主要原因是</w:t>
      </w:r>
      <w:r>
        <w:rPr>
          <w:rFonts w:hint="eastAsia" w:ascii="仿宋" w:hAnsi="仿宋" w:eastAsia="仿宋" w:cs="仿宋"/>
          <w:color w:val="000000"/>
          <w:sz w:val="32"/>
          <w:szCs w:val="32"/>
          <w:lang w:val="en-US" w:eastAsia="zh-CN"/>
        </w:rPr>
        <w:t>代发全区车乡贴等</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b/>
          <w:color w:val="000000"/>
          <w:sz w:val="32"/>
          <w:szCs w:val="32"/>
          <w:lang w:val="en-US" w:eastAsia="zh-CN"/>
        </w:rPr>
        <w:t>农林水支出（类）农村综合改革（款）对村级一事一议的补助（项）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115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148</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128.7</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ascii="仿宋_GB2312" w:eastAsia="仿宋_GB2312" w:cs="仿宋_GB2312"/>
          <w:color w:val="000000"/>
          <w:sz w:val="32"/>
          <w:szCs w:val="32"/>
        </w:rPr>
        <w:t>决算数大于预算数的主要原因是</w:t>
      </w:r>
      <w:r>
        <w:rPr>
          <w:rFonts w:hint="eastAsia" w:ascii="仿宋" w:hAnsi="仿宋" w:eastAsia="仿宋" w:cs="仿宋"/>
          <w:color w:val="000000"/>
          <w:sz w:val="32"/>
          <w:szCs w:val="32"/>
          <w:lang w:val="en-US" w:eastAsia="zh-CN"/>
        </w:rPr>
        <w:t>上级分配部分一事一议指标任务等。</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14</w:t>
      </w:r>
      <w:r>
        <w:rPr>
          <w:rFonts w:ascii="仿宋_GB2312" w:eastAsia="仿宋_GB2312" w:cs="仿宋_GB2312"/>
          <w:color w:val="000000"/>
          <w:sz w:val="32"/>
          <w:szCs w:val="32"/>
        </w:rPr>
        <w:t>.</w:t>
      </w:r>
      <w:r>
        <w:rPr>
          <w:rFonts w:hint="eastAsia" w:ascii="仿宋_GB2312" w:eastAsia="仿宋_GB2312" w:cs="仿宋_GB2312"/>
          <w:b/>
          <w:color w:val="000000"/>
          <w:sz w:val="32"/>
          <w:szCs w:val="32"/>
          <w:lang w:val="en-US" w:eastAsia="zh-CN"/>
        </w:rPr>
        <w:t>资源勘探工业信息等支出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val="en-US" w:eastAsia="zh-CN"/>
        </w:rPr>
        <w:t>国有资产监管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val="en-US" w:eastAsia="zh-CN"/>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2.24</w:t>
      </w:r>
      <w:r>
        <w:rPr>
          <w:rFonts w:ascii="仿宋_GB2312" w:eastAsia="仿宋_GB2312" w:cs="仿宋_GB2312"/>
          <w:color w:val="000000"/>
          <w:sz w:val="32"/>
          <w:szCs w:val="32"/>
        </w:rPr>
        <w:t>万元，决算数大于预算数的主要原因是</w:t>
      </w:r>
      <w:r>
        <w:rPr>
          <w:rFonts w:hint="eastAsia" w:ascii="仿宋" w:hAnsi="仿宋" w:eastAsia="仿宋" w:cs="仿宋"/>
          <w:color w:val="000000"/>
          <w:sz w:val="32"/>
          <w:szCs w:val="32"/>
          <w:lang w:val="en-US" w:eastAsia="zh-CN"/>
        </w:rPr>
        <w:t>代发全区车乡贴等</w:t>
      </w:r>
      <w:r>
        <w:rPr>
          <w:rFonts w:ascii="仿宋_GB2312" w:eastAsia="仿宋_GB2312" w:cs="仿宋_GB2312"/>
          <w:color w:val="000000"/>
          <w:sz w:val="32"/>
          <w:szCs w:val="32"/>
        </w:rPr>
        <w:t>。</w:t>
      </w:r>
    </w:p>
    <w:p>
      <w:pPr>
        <w:pStyle w:val="4"/>
        <w:widowControl/>
        <w:numPr>
          <w:ilvl w:val="0"/>
          <w:numId w:val="1"/>
        </w:numPr>
        <w:ind w:left="0" w:leftChars="0" w:firstLine="640" w:firstLineChars="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15</w:t>
      </w:r>
      <w:r>
        <w:rPr>
          <w:rFonts w:ascii="仿宋_GB2312" w:eastAsia="仿宋_GB2312" w:cs="仿宋_GB2312"/>
          <w:color w:val="000000"/>
          <w:sz w:val="32"/>
          <w:szCs w:val="32"/>
        </w:rPr>
        <w:t>.</w:t>
      </w:r>
      <w:r>
        <w:rPr>
          <w:rFonts w:hint="eastAsia" w:ascii="仿宋_GB2312" w:eastAsia="仿宋_GB2312" w:cs="仿宋_GB2312"/>
          <w:b/>
          <w:color w:val="000000"/>
          <w:sz w:val="32"/>
          <w:szCs w:val="32"/>
          <w:lang w:val="en-US" w:eastAsia="zh-CN"/>
        </w:rPr>
        <w:t>住房保障支出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lang w:val="en-US" w:eastAsia="zh-CN"/>
        </w:rPr>
        <w:t>住房改革支出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lang w:eastAsia="zh-CN"/>
        </w:rPr>
        <w:t>住房公积金</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5.6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5.76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102.9</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六、一般公共预算财政拨款基本支出决算情况说明</w:t>
      </w:r>
    </w:p>
    <w:p>
      <w:pPr>
        <w:pStyle w:val="4"/>
        <w:widowControl/>
        <w:ind w:firstLine="640"/>
        <w:rPr>
          <w:rFonts w:hint="eastAsia" w:ascii="仿宋_GB2312" w:eastAsia="仿宋_GB2312" w:cs="仿宋_GB2312"/>
          <w:color w:val="000000"/>
          <w:sz w:val="32"/>
          <w:szCs w:val="32"/>
          <w:lang w:eastAsia="zh-CN"/>
        </w:rPr>
      </w:pPr>
      <w:r>
        <w:rPr>
          <w:rFonts w:ascii="仿宋_GB2312" w:eastAsia="仿宋_GB2312" w:cs="仿宋_GB2312"/>
          <w:color w:val="000000"/>
          <w:sz w:val="32"/>
          <w:szCs w:val="32"/>
        </w:rPr>
        <w:t>2020年度财政拨款基本支出</w:t>
      </w:r>
      <w:r>
        <w:rPr>
          <w:rFonts w:hint="eastAsia" w:ascii="仿宋_GB2312" w:eastAsia="仿宋_GB2312" w:cs="仿宋_GB2312"/>
          <w:color w:val="000000"/>
          <w:sz w:val="32"/>
          <w:szCs w:val="32"/>
          <w:lang w:val="en-US" w:eastAsia="zh-CN"/>
        </w:rPr>
        <w:t>137.65</w:t>
      </w:r>
      <w:r>
        <w:rPr>
          <w:rFonts w:ascii="仿宋_GB2312" w:eastAsia="仿宋_GB2312" w:cs="仿宋_GB2312"/>
          <w:color w:val="000000"/>
          <w:sz w:val="32"/>
          <w:szCs w:val="32"/>
        </w:rPr>
        <w:t>万元，其中：人员经费</w:t>
      </w:r>
      <w:r>
        <w:rPr>
          <w:rFonts w:hint="eastAsia" w:ascii="仿宋_GB2312" w:eastAsia="仿宋_GB2312" w:cs="仿宋_GB2312"/>
          <w:color w:val="000000"/>
          <w:sz w:val="32"/>
          <w:szCs w:val="32"/>
          <w:lang w:val="en-US" w:eastAsia="zh-CN"/>
        </w:rPr>
        <w:t>113.17</w:t>
      </w:r>
      <w:r>
        <w:rPr>
          <w:rFonts w:ascii="仿宋_GB2312" w:eastAsia="仿宋_GB2312" w:cs="仿宋_GB2312"/>
          <w:color w:val="000000"/>
          <w:sz w:val="32"/>
          <w:szCs w:val="32"/>
        </w:rPr>
        <w:t>万元，主要包括:基本工资、津贴补贴、奖金、其他社会保障缴费、住房公积金、</w:t>
      </w:r>
      <w:r>
        <w:rPr>
          <w:rFonts w:hint="eastAsia" w:ascii="仿宋_GB2312" w:eastAsia="仿宋_GB2312" w:cs="仿宋_GB2312"/>
          <w:color w:val="000000"/>
          <w:sz w:val="32"/>
          <w:szCs w:val="32"/>
          <w:lang w:eastAsia="zh-CN"/>
        </w:rPr>
        <w:t>对个人和家庭的补助、</w:t>
      </w:r>
      <w:r>
        <w:rPr>
          <w:rFonts w:ascii="仿宋_GB2312" w:eastAsia="仿宋_GB2312" w:cs="仿宋_GB2312"/>
          <w:color w:val="000000"/>
          <w:sz w:val="32"/>
          <w:szCs w:val="32"/>
        </w:rPr>
        <w:t>抚恤金、生活补助、公用经费</w:t>
      </w:r>
      <w:r>
        <w:rPr>
          <w:rFonts w:hint="eastAsia" w:ascii="仿宋_GB2312" w:eastAsia="仿宋_GB2312" w:cs="仿宋_GB2312"/>
          <w:color w:val="000000"/>
          <w:sz w:val="32"/>
          <w:szCs w:val="32"/>
          <w:lang w:val="en-US" w:eastAsia="zh-CN"/>
        </w:rPr>
        <w:t>24.48</w:t>
      </w:r>
      <w:r>
        <w:rPr>
          <w:rFonts w:ascii="仿宋_GB2312" w:eastAsia="仿宋_GB2312" w:cs="仿宋_GB2312"/>
          <w:color w:val="000000"/>
          <w:sz w:val="32"/>
          <w:szCs w:val="32"/>
        </w:rPr>
        <w:t>万元，主要包括：办公费、印刷费、电费、邮电费、差旅费、维修（护）费、培训费、公务接待费、委托业务费、其他商品服务支出</w:t>
      </w:r>
      <w:r>
        <w:rPr>
          <w:rFonts w:hint="eastAsia" w:ascii="仿宋_GB2312" w:eastAsia="仿宋_GB2312" w:cs="仿宋_GB2312"/>
          <w:color w:val="000000"/>
          <w:sz w:val="32"/>
          <w:szCs w:val="32"/>
          <w:lang w:eastAsia="zh-CN"/>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七、政府性基金财政拨款收入支出决算情况说明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2020年度政府性基金预算财政拨款年初结转和结余</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万元，本年收入</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万元，本年支出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万元，年末结转和结余</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万元。具体情况说明如下：</w:t>
      </w:r>
    </w:p>
    <w:p>
      <w:pPr>
        <w:pStyle w:val="4"/>
        <w:widowControl/>
        <w:ind w:firstLine="640"/>
        <w:rPr>
          <w:rFonts w:ascii="楷体_GB2312" w:eastAsia="楷体_GB2312" w:cs="楷体_GB2312"/>
          <w:color w:val="000000"/>
          <w:sz w:val="32"/>
          <w:szCs w:val="32"/>
        </w:rPr>
      </w:pPr>
      <w:r>
        <w:rPr>
          <w:rFonts w:hint="eastAsia" w:ascii="仿宋_GB2312" w:eastAsia="仿宋_GB2312" w:cs="仿宋_GB2312"/>
          <w:color w:val="000000"/>
          <w:sz w:val="32"/>
          <w:szCs w:val="32"/>
          <w:lang w:eastAsia="zh-CN"/>
        </w:rPr>
        <w:t>八公山区财政局</w:t>
      </w:r>
      <w:r>
        <w:rPr>
          <w:rFonts w:ascii="仿宋_GB2312" w:eastAsia="仿宋_GB2312" w:cs="仿宋_GB2312"/>
          <w:color w:val="000000"/>
          <w:sz w:val="32"/>
          <w:szCs w:val="32"/>
        </w:rPr>
        <w:t>部门没有政府性基金收入，也没有使用政府性基金安排的支出。</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2020年度国有资本经营预算财政拨款年初结转和结余</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万元，本年收入</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万元，本年支出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万元，年末结转和结余</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万元。具体情况说明如下：</w:t>
      </w:r>
    </w:p>
    <w:p>
      <w:pPr>
        <w:pStyle w:val="4"/>
        <w:widowControl/>
        <w:ind w:firstLine="640"/>
        <w:rPr>
          <w:rFonts w:hint="eastAsia" w:ascii="楷体_GB2312" w:eastAsia="仿宋_GB2312" w:cs="楷体_GB2312"/>
          <w:color w:val="000000"/>
          <w:sz w:val="32"/>
          <w:szCs w:val="32"/>
          <w:lang w:eastAsia="zh-CN"/>
        </w:rPr>
      </w:pPr>
      <w:r>
        <w:rPr>
          <w:rFonts w:hint="eastAsia" w:ascii="仿宋_GB2312" w:eastAsia="仿宋_GB2312" w:cs="仿宋_GB2312"/>
          <w:color w:val="000000"/>
          <w:sz w:val="32"/>
          <w:szCs w:val="32"/>
          <w:lang w:eastAsia="zh-CN"/>
        </w:rPr>
        <w:t>八公山区财政局</w:t>
      </w:r>
      <w:r>
        <w:rPr>
          <w:rFonts w:ascii="仿宋_GB2312" w:eastAsia="仿宋_GB2312" w:cs="仿宋_GB2312"/>
          <w:color w:val="000000"/>
          <w:sz w:val="32"/>
          <w:szCs w:val="32"/>
        </w:rPr>
        <w:t>部门没有国有资本经营预算财政拨款收入，也没有使用国有资本经营预算财政拨款安排的支出</w:t>
      </w:r>
      <w:r>
        <w:rPr>
          <w:rFonts w:hint="eastAsia" w:ascii="仿宋_GB2312" w:eastAsia="仿宋_GB2312" w:cs="仿宋_GB2312"/>
          <w:color w:val="000000"/>
          <w:sz w:val="32"/>
          <w:szCs w:val="32"/>
          <w:lang w:eastAsia="zh-CN"/>
        </w:rPr>
        <w:t>。</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九、其他重要事项情况说明</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（一）机关运行经费支出情况。</w:t>
      </w:r>
    </w:p>
    <w:p>
      <w:pPr>
        <w:pStyle w:val="4"/>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w:t>
      </w:r>
      <w:r>
        <w:rPr>
          <w:rFonts w:hint="eastAsia" w:ascii="仿宋_GB2312" w:eastAsia="仿宋_GB2312" w:cs="仿宋_GB2312"/>
          <w:color w:val="000000"/>
          <w:sz w:val="32"/>
          <w:szCs w:val="32"/>
          <w:lang w:eastAsia="zh-CN"/>
        </w:rPr>
        <w:t>八公山区财政局</w:t>
      </w:r>
      <w:r>
        <w:rPr>
          <w:rFonts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24.48</w:t>
      </w:r>
      <w:r>
        <w:rPr>
          <w:rFonts w:ascii="仿宋_GB2312" w:eastAsia="仿宋_GB2312" w:cs="仿宋_GB2312"/>
          <w:color w:val="000000"/>
          <w:sz w:val="32"/>
          <w:szCs w:val="32"/>
        </w:rPr>
        <w:t>万元，比2019年减少</w:t>
      </w:r>
      <w:r>
        <w:rPr>
          <w:rFonts w:hint="eastAsia" w:ascii="仿宋_GB2312" w:eastAsia="仿宋_GB2312" w:cs="仿宋_GB2312"/>
          <w:color w:val="000000"/>
          <w:sz w:val="32"/>
          <w:szCs w:val="32"/>
          <w:lang w:val="en-US" w:eastAsia="zh-CN"/>
        </w:rPr>
        <w:t>19.57</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44.4</w:t>
      </w:r>
      <w:r>
        <w:rPr>
          <w:rFonts w:ascii="仿宋_GB2312" w:eastAsia="仿宋_GB2312" w:cs="仿宋_GB2312"/>
          <w:color w:val="000000"/>
          <w:sz w:val="32"/>
          <w:szCs w:val="32"/>
        </w:rPr>
        <w:t>%，主要原因是</w:t>
      </w:r>
      <w:r>
        <w:rPr>
          <w:rFonts w:hint="eastAsia" w:ascii="仿宋" w:hAnsi="仿宋" w:eastAsia="仿宋" w:cs="仿宋"/>
          <w:color w:val="000000"/>
          <w:sz w:val="32"/>
          <w:szCs w:val="32"/>
          <w:lang w:eastAsia="zh-CN"/>
        </w:rPr>
        <w:t>厉行节约</w:t>
      </w:r>
      <w:r>
        <w:rPr>
          <w:rFonts w:ascii="仿宋_GB2312" w:eastAsia="仿宋_GB2312" w:cs="仿宋_GB2312"/>
          <w:color w:val="000000"/>
          <w:sz w:val="32"/>
          <w:szCs w:val="32"/>
        </w:rPr>
        <w:t>。</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（二）政府采购支出情况。</w:t>
      </w:r>
    </w:p>
    <w:p>
      <w:pPr>
        <w:pStyle w:val="4"/>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2020年度，八公山区</w:t>
      </w:r>
      <w:r>
        <w:rPr>
          <w:rFonts w:hint="eastAsia" w:ascii="仿宋_GB2312" w:eastAsia="仿宋_GB2312" w:cs="仿宋_GB2312"/>
          <w:color w:val="000000"/>
          <w:sz w:val="32"/>
          <w:szCs w:val="32"/>
          <w:lang w:eastAsia="zh-CN"/>
        </w:rPr>
        <w:t>财政局</w:t>
      </w:r>
      <w:r>
        <w:rPr>
          <w:rFonts w:ascii="仿宋_GB2312" w:eastAsia="仿宋_GB2312" w:cs="仿宋_GB2312"/>
          <w:color w:val="000000"/>
          <w:sz w:val="32"/>
          <w:szCs w:val="32"/>
        </w:rPr>
        <w:t>政府采购支出总额</w:t>
      </w:r>
      <w:r>
        <w:rPr>
          <w:rFonts w:hint="eastAsia" w:ascii="仿宋_GB2312" w:eastAsia="仿宋_GB2312" w:cs="仿宋_GB2312"/>
          <w:color w:val="000000"/>
          <w:sz w:val="32"/>
          <w:szCs w:val="32"/>
          <w:lang w:val="en-US" w:eastAsia="zh-CN"/>
        </w:rPr>
        <w:t>121</w:t>
      </w:r>
      <w:r>
        <w:rPr>
          <w:rFonts w:ascii="仿宋_GB2312" w:eastAsia="仿宋_GB2312" w:cs="仿宋_GB2312"/>
          <w:color w:val="000000"/>
          <w:sz w:val="32"/>
          <w:szCs w:val="32"/>
        </w:rPr>
        <w:t>万元，其中：政府采购货物支出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万元、政府采购工程支出</w:t>
      </w:r>
      <w:r>
        <w:rPr>
          <w:rFonts w:hint="eastAsia" w:ascii="仿宋_GB2312" w:eastAsia="仿宋_GB2312" w:cs="仿宋_GB2312"/>
          <w:color w:val="000000"/>
          <w:sz w:val="32"/>
          <w:szCs w:val="32"/>
          <w:lang w:val="en-US" w:eastAsia="zh-CN"/>
        </w:rPr>
        <w:t>121</w:t>
      </w:r>
      <w:r>
        <w:rPr>
          <w:rFonts w:ascii="仿宋_GB2312" w:eastAsia="仿宋_GB2312" w:cs="仿宋_GB2312"/>
          <w:color w:val="000000"/>
          <w:sz w:val="32"/>
          <w:szCs w:val="32"/>
        </w:rPr>
        <w:t>万元、政府采购服务支出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万元。授予中小企业合同金额</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，其中：授予小微企业合同金额</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万元，占政府采购支出总额的</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（三）国有资产占有使用情况。</w:t>
      </w:r>
    </w:p>
    <w:p>
      <w:pPr>
        <w:pStyle w:val="4"/>
        <w:widowControl/>
        <w:snapToGrid w:val="0"/>
        <w:spacing w:line="600" w:lineRule="atLeast"/>
        <w:ind w:firstLine="640"/>
        <w:rPr>
          <w:rFonts w:ascii="楷体_GB2312" w:eastAsia="楷体_GB2312" w:cs="楷体_GB2312"/>
          <w:color w:val="000000"/>
          <w:sz w:val="32"/>
          <w:szCs w:val="32"/>
        </w:rPr>
      </w:pPr>
      <w:r>
        <w:rPr>
          <w:rFonts w:ascii="仿宋_GB2312" w:eastAsia="仿宋_GB2312" w:cs="仿宋_GB2312"/>
          <w:color w:val="000000"/>
          <w:sz w:val="32"/>
          <w:szCs w:val="32"/>
        </w:rPr>
        <w:t>截至2020年12月31日，八公山区</w:t>
      </w:r>
      <w:r>
        <w:rPr>
          <w:rFonts w:hint="eastAsia" w:ascii="仿宋_GB2312" w:eastAsia="仿宋_GB2312" w:cs="仿宋_GB2312"/>
          <w:color w:val="000000"/>
          <w:sz w:val="32"/>
          <w:szCs w:val="32"/>
          <w:lang w:val="en-US" w:eastAsia="zh-CN"/>
        </w:rPr>
        <w:t>财政局</w:t>
      </w:r>
      <w:r>
        <w:rPr>
          <w:rFonts w:ascii="仿宋_GB2312" w:eastAsia="仿宋_GB2312" w:cs="仿宋_GB2312"/>
          <w:color w:val="000000"/>
          <w:sz w:val="32"/>
          <w:szCs w:val="32"/>
        </w:rPr>
        <w:t>共有车辆</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辆，其中：主要领导干部用车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辆、机要通信用车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辆，特种专业技术用车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辆，离退休干部用车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辆；单价50万元以上的通用设备</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台（套），单价100万元以上专用设备</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台（套）。</w:t>
      </w:r>
      <w:r>
        <w:rPr>
          <w:rFonts w:ascii="楷体_GB2312" w:eastAsia="楷体_GB2312" w:cs="楷体_GB2312"/>
          <w:color w:val="000000"/>
          <w:sz w:val="32"/>
          <w:szCs w:val="32"/>
        </w:rPr>
        <w:br w:type="textWrapping"/>
      </w:r>
      <w:r>
        <w:rPr>
          <w:rFonts w:ascii="楷体_GB2312" w:eastAsia="楷体_GB2312" w:cs="楷体_GB2312"/>
          <w:color w:val="000000"/>
          <w:sz w:val="32"/>
          <w:szCs w:val="32"/>
        </w:rPr>
        <w:t xml:space="preserve">    （四）关于2020年度预算绩效情况说明</w:t>
      </w:r>
    </w:p>
    <w:p>
      <w:pPr>
        <w:pStyle w:val="4"/>
        <w:widowControl/>
        <w:ind w:firstLine="640"/>
        <w:rPr>
          <w:rFonts w:ascii="仿宋_GB2312" w:eastAsia="仿宋_GB2312" w:cs="仿宋_GB2312"/>
          <w:b/>
          <w:color w:val="000000"/>
          <w:sz w:val="32"/>
          <w:szCs w:val="32"/>
        </w:rPr>
      </w:pPr>
      <w:r>
        <w:rPr>
          <w:rFonts w:ascii="仿宋_GB2312" w:eastAsia="仿宋_GB2312" w:cs="仿宋_GB2312"/>
          <w:b/>
          <w:color w:val="000000"/>
          <w:sz w:val="32"/>
          <w:szCs w:val="32"/>
        </w:rPr>
        <w:t>1.预算绩效管理工作开展情况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根据预算绩效管理要求，本部门组织对2020年度纳入部门预算的项目支出全面开展了绩效自评，共</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个项目，</w:t>
      </w:r>
      <w:r>
        <w:rPr>
          <w:rFonts w:hint="eastAsia" w:ascii="仿宋_GB2312" w:eastAsia="仿宋_GB2312" w:cs="仿宋_GB2312"/>
          <w:color w:val="000000"/>
          <w:sz w:val="32"/>
          <w:szCs w:val="32"/>
          <w:lang w:val="en-US" w:eastAsia="zh-CN"/>
        </w:rPr>
        <w:t>内容包括：农村公益事业财政奖补项目，</w:t>
      </w:r>
      <w:r>
        <w:rPr>
          <w:rFonts w:ascii="仿宋_GB2312" w:eastAsia="仿宋_GB2312" w:cs="仿宋_GB2312"/>
          <w:color w:val="000000"/>
          <w:sz w:val="32"/>
          <w:szCs w:val="32"/>
        </w:rPr>
        <w:t>涉及资金</w:t>
      </w:r>
      <w:r>
        <w:rPr>
          <w:rFonts w:hint="eastAsia" w:ascii="仿宋_GB2312" w:eastAsia="仿宋_GB2312" w:cs="仿宋_GB2312"/>
          <w:color w:val="000000"/>
          <w:sz w:val="32"/>
          <w:szCs w:val="32"/>
          <w:lang w:val="en-US" w:eastAsia="zh-CN"/>
        </w:rPr>
        <w:t>204.3</w:t>
      </w:r>
      <w:r>
        <w:rPr>
          <w:rFonts w:ascii="仿宋_GB2312" w:eastAsia="仿宋_GB2312" w:cs="仿宋_GB2312"/>
          <w:color w:val="000000"/>
          <w:sz w:val="32"/>
          <w:szCs w:val="32"/>
        </w:rPr>
        <w:t>万元，占项目预算总额的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%。从评价总体情况来看，区财政局项目立项程序完整、规范，预算执行及时、有效，绩效目标得到较好实现，绩效管理水平不断提高。</w:t>
      </w:r>
    </w:p>
    <w:p>
      <w:pPr>
        <w:pStyle w:val="4"/>
        <w:widowControl/>
        <w:ind w:firstLine="640"/>
        <w:rPr>
          <w:rFonts w:hint="eastAsia" w:ascii="仿宋_GB2312" w:eastAsia="仿宋_GB2312" w:cs="仿宋_GB2312"/>
          <w:color w:val="000000"/>
          <w:sz w:val="32"/>
          <w:szCs w:val="32"/>
          <w:lang w:val="en-US" w:eastAsia="zh-CN"/>
        </w:rPr>
      </w:pPr>
      <w:r>
        <w:rPr>
          <w:rFonts w:ascii="仿宋_GB2312" w:eastAsia="仿宋_GB2312" w:cs="仿宋_GB2312"/>
          <w:color w:val="000000"/>
          <w:sz w:val="32"/>
          <w:szCs w:val="32"/>
        </w:rPr>
        <w:t>本部门共组织对</w:t>
      </w:r>
      <w:r>
        <w:rPr>
          <w:rFonts w:hint="eastAsia" w:ascii="仿宋_GB2312" w:eastAsia="仿宋_GB2312" w:cs="仿宋_GB2312"/>
          <w:color w:val="000000"/>
          <w:sz w:val="32"/>
          <w:szCs w:val="32"/>
          <w:lang w:val="en-US" w:eastAsia="zh-CN"/>
        </w:rPr>
        <w:t>农村公益事业财政奖补项目</w:t>
      </w:r>
      <w:r>
        <w:rPr>
          <w:rFonts w:ascii="仿宋_GB2312" w:eastAsia="仿宋_GB2312" w:cs="仿宋_GB2312"/>
          <w:color w:val="000000"/>
          <w:sz w:val="32"/>
          <w:szCs w:val="32"/>
        </w:rPr>
        <w:t>等</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个项目开展了部门绩效评价，涉及资金</w:t>
      </w:r>
      <w:r>
        <w:rPr>
          <w:rFonts w:hint="eastAsia" w:ascii="仿宋_GB2312" w:eastAsia="仿宋_GB2312" w:cs="仿宋_GB2312"/>
          <w:color w:val="000000"/>
          <w:sz w:val="32"/>
          <w:szCs w:val="32"/>
          <w:lang w:val="en-US" w:eastAsia="zh-CN"/>
        </w:rPr>
        <w:t>204.3</w:t>
      </w:r>
      <w:r>
        <w:rPr>
          <w:rFonts w:ascii="仿宋_GB2312" w:eastAsia="仿宋_GB2312" w:cs="仿宋_GB2312"/>
          <w:color w:val="000000"/>
          <w:sz w:val="32"/>
          <w:szCs w:val="32"/>
        </w:rPr>
        <w:t>万元。该项目开展绩效评价的组织方式</w:t>
      </w:r>
      <w:r>
        <w:rPr>
          <w:rFonts w:hint="eastAsia" w:ascii="仿宋_GB2312" w:eastAsia="仿宋_GB2312" w:cs="仿宋_GB2312"/>
          <w:color w:val="000000"/>
          <w:sz w:val="32"/>
          <w:szCs w:val="32"/>
          <w:lang w:val="en-US" w:eastAsia="zh-CN"/>
        </w:rPr>
        <w:t>是</w:t>
      </w:r>
      <w:r>
        <w:rPr>
          <w:rFonts w:ascii="仿宋_GB2312" w:eastAsia="仿宋_GB2312" w:cs="仿宋_GB2312"/>
          <w:color w:val="000000"/>
          <w:sz w:val="32"/>
          <w:szCs w:val="32"/>
        </w:rPr>
        <w:t>部门自主实施。从评价情况看，</w:t>
      </w:r>
      <w:r>
        <w:rPr>
          <w:rFonts w:hint="eastAsia" w:ascii="仿宋_GB2312" w:eastAsia="仿宋_GB2312" w:cs="仿宋_GB2312"/>
          <w:color w:val="000000"/>
          <w:sz w:val="32"/>
          <w:szCs w:val="32"/>
          <w:lang w:val="en-US" w:eastAsia="zh-CN"/>
        </w:rPr>
        <w:t>该项目立项完整，加大农村基础设施建设，有效提升村民的幸福感、获得感、安全感，达到预期绩效目标。</w:t>
      </w:r>
    </w:p>
    <w:p>
      <w:pPr>
        <w:pStyle w:val="4"/>
        <w:widowControl/>
        <w:ind w:left="960" w:leftChars="200" w:hanging="320" w:hangingChars="10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本单位未</w:t>
      </w:r>
      <w:r>
        <w:rPr>
          <w:rFonts w:ascii="仿宋_GB2312" w:eastAsia="仿宋_GB2312" w:cs="仿宋_GB2312"/>
          <w:color w:val="000000"/>
          <w:sz w:val="32"/>
          <w:szCs w:val="32"/>
        </w:rPr>
        <w:t>组织开展2020年度部门整体支出绩效自评</w:t>
      </w:r>
    </w:p>
    <w:p>
      <w:pPr>
        <w:pStyle w:val="4"/>
        <w:widowControl/>
        <w:numPr>
          <w:ilvl w:val="0"/>
          <w:numId w:val="2"/>
        </w:numPr>
        <w:ind w:firstLine="640"/>
        <w:rPr>
          <w:rFonts w:ascii="仿宋_GB2312" w:eastAsia="仿宋_GB2312" w:cs="仿宋_GB2312"/>
          <w:b/>
          <w:color w:val="000000"/>
          <w:sz w:val="32"/>
          <w:szCs w:val="32"/>
        </w:rPr>
      </w:pPr>
      <w:r>
        <w:rPr>
          <w:rFonts w:ascii="仿宋_GB2312" w:eastAsia="仿宋_GB2312" w:cs="仿宋_GB2312"/>
          <w:b/>
          <w:color w:val="000000"/>
          <w:sz w:val="32"/>
          <w:szCs w:val="32"/>
        </w:rPr>
        <w:t>部门决算中项目绩效自评结果</w:t>
      </w:r>
    </w:p>
    <w:p>
      <w:pPr>
        <w:adjustRightInd w:val="0"/>
        <w:snapToGrid w:val="0"/>
        <w:spacing w:line="600" w:lineRule="exact"/>
        <w:ind w:firstLine="640" w:firstLineChars="200"/>
        <w:rPr>
          <w:rFonts w:ascii="仿宋_GB2312" w:eastAsia="仿宋_GB2312" w:cs="仿宋_GB2312"/>
          <w:b/>
          <w:color w:val="000000"/>
          <w:sz w:val="32"/>
          <w:szCs w:val="32"/>
        </w:rPr>
      </w:pPr>
      <w:r>
        <w:rPr>
          <w:rFonts w:hint="eastAsia" w:ascii="仿宋" w:hAnsi="仿宋" w:eastAsia="仿宋" w:cs="仿宋"/>
          <w:sz w:val="32"/>
          <w:szCs w:val="32"/>
        </w:rPr>
        <w:t>根据预算绩效管理要求，本单位没有符合需要开展绩效评价的项目。</w:t>
      </w:r>
    </w:p>
    <w:p>
      <w:pPr>
        <w:adjustRightInd w:val="0"/>
        <w:snapToGrid w:val="0"/>
        <w:spacing w:line="600" w:lineRule="exact"/>
        <w:ind w:firstLine="643" w:firstLineChars="200"/>
        <w:rPr>
          <w:rFonts w:ascii="仿宋_GB2312" w:eastAsia="仿宋_GB2312" w:cs="仿宋_GB2312"/>
          <w:b/>
          <w:color w:val="000000"/>
          <w:sz w:val="32"/>
          <w:szCs w:val="32"/>
        </w:rPr>
      </w:pPr>
      <w:r>
        <w:rPr>
          <w:rFonts w:ascii="仿宋_GB2312" w:eastAsia="仿宋_GB2312" w:cs="仿宋_GB2312"/>
          <w:b/>
          <w:color w:val="000000"/>
          <w:sz w:val="32"/>
          <w:szCs w:val="32"/>
        </w:rPr>
        <w:t>3.部门评价项目绩效评价结果。</w:t>
      </w:r>
    </w:p>
    <w:p>
      <w:pPr>
        <w:adjustRightInd w:val="0"/>
        <w:snapToGrid w:val="0"/>
        <w:spacing w:line="600" w:lineRule="exact"/>
        <w:ind w:firstLine="640" w:firstLineChars="200"/>
        <w:rPr>
          <w:rFonts w:ascii="仿宋_GB2312" w:eastAsia="仿宋_GB2312" w:cs="仿宋_GB2312"/>
          <w:b/>
          <w:color w:val="000000"/>
          <w:sz w:val="32"/>
          <w:szCs w:val="32"/>
        </w:rPr>
      </w:pPr>
      <w:r>
        <w:rPr>
          <w:rFonts w:hint="eastAsia" w:ascii="仿宋" w:hAnsi="仿宋" w:eastAsia="仿宋" w:cs="仿宋"/>
          <w:sz w:val="32"/>
          <w:szCs w:val="32"/>
        </w:rPr>
        <w:t>根据预算绩效管理要求，本单位没有符合需要开展绩效评价的项目。</w:t>
      </w:r>
    </w:p>
    <w:p>
      <w:pPr>
        <w:pStyle w:val="4"/>
        <w:widowControl/>
        <w:ind w:firstLine="640"/>
        <w:rPr>
          <w:rFonts w:ascii="楷体_GB2312" w:eastAsia="楷体_GB2312" w:cs="楷体_GB2312"/>
          <w:color w:val="000000"/>
          <w:sz w:val="32"/>
          <w:szCs w:val="32"/>
        </w:rPr>
      </w:pP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第四部分 名词解释</w:t>
      </w:r>
    </w:p>
    <w:p>
      <w:pPr>
        <w:pStyle w:val="4"/>
        <w:widowControl/>
        <w:autoSpaceDE w:val="0"/>
        <w:snapToGrid w:val="0"/>
        <w:spacing w:line="600" w:lineRule="atLeast"/>
        <w:ind w:left="425" w:firstLine="205"/>
        <w:rPr>
          <w:rFonts w:ascii="仿宋_GB2312" w:eastAsia="仿宋_GB2312" w:cs="仿宋_GB2312"/>
          <w:color w:val="000000"/>
          <w:sz w:val="32"/>
          <w:szCs w:val="32"/>
        </w:rPr>
      </w:pPr>
      <w:r>
        <w:rPr>
          <w:rFonts w:ascii="仿宋_GB2312" w:eastAsia="仿宋_GB2312" w:cs="仿宋_GB2312"/>
          <w:b/>
          <w:color w:val="000000"/>
          <w:sz w:val="32"/>
          <w:szCs w:val="32"/>
        </w:rPr>
        <w:t>一、财政拨款收入：</w:t>
      </w:r>
      <w:r>
        <w:rPr>
          <w:rFonts w:ascii="仿宋_GB2312" w:eastAsia="仿宋_GB2312" w:cs="仿宋_GB2312"/>
          <w:color w:val="000000"/>
          <w:sz w:val="32"/>
          <w:szCs w:val="32"/>
        </w:rPr>
        <w:t>指单位从同级财政部门取得的财政预算资金。</w:t>
      </w:r>
    </w:p>
    <w:p>
      <w:pPr>
        <w:pStyle w:val="4"/>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二、事业收入：</w:t>
      </w:r>
      <w:r>
        <w:rPr>
          <w:rFonts w:ascii="仿宋_GB2312" w:eastAsia="仿宋_GB2312" w:cs="仿宋_GB2312"/>
          <w:color w:val="000000"/>
          <w:sz w:val="32"/>
          <w:szCs w:val="32"/>
        </w:rPr>
        <w:t>指事业单位开展专业业务活动及辅助活动所取得的收入。</w:t>
      </w:r>
    </w:p>
    <w:p>
      <w:pPr>
        <w:pStyle w:val="5"/>
        <w:widowControl/>
        <w:autoSpaceDE w:val="0"/>
        <w:snapToGrid w:val="0"/>
        <w:spacing w:before="0" w:after="0" w:line="600" w:lineRule="atLeast"/>
        <w:ind w:firstLine="627"/>
        <w:rPr>
          <w:rFonts w:hint="default" w:ascii="仿宋_GB2312" w:eastAsia="仿宋_GB2312" w:cs="仿宋_GB2312"/>
          <w:b/>
          <w:color w:val="000000"/>
        </w:rPr>
      </w:pPr>
      <w:r>
        <w:rPr>
          <w:rFonts w:hint="default" w:ascii="仿宋_GB2312" w:eastAsia="仿宋_GB2312" w:cs="仿宋_GB2312"/>
          <w:b/>
          <w:color w:val="000000"/>
          <w:sz w:val="32"/>
          <w:szCs w:val="32"/>
        </w:rPr>
        <w:t>三、上级补助收入：</w:t>
      </w:r>
      <w:r>
        <w:rPr>
          <w:rFonts w:hint="default" w:ascii="仿宋_GB2312" w:eastAsia="仿宋_GB2312" w:cs="仿宋_GB2312"/>
          <w:color w:val="000000"/>
          <w:sz w:val="32"/>
          <w:szCs w:val="32"/>
        </w:rPr>
        <w:t>指事业单位从主管部门和上级单位取得的非财政补助收入。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四、附属单位上缴收入：</w:t>
      </w:r>
      <w:r>
        <w:rPr>
          <w:rFonts w:hint="default" w:ascii="仿宋_GB2312" w:eastAsia="仿宋_GB2312" w:cs="仿宋_GB2312"/>
          <w:color w:val="000000"/>
          <w:sz w:val="32"/>
          <w:szCs w:val="32"/>
        </w:rPr>
        <w:t>指事业单位附属独立核算单位按照有关规定上缴的收入。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五、经营收入</w:t>
      </w:r>
      <w:r>
        <w:rPr>
          <w:rFonts w:cs="宋体"/>
          <w:b/>
          <w:color w:val="000000"/>
        </w:rPr>
        <w:t>：</w:t>
      </w:r>
      <w:r>
        <w:rPr>
          <w:rFonts w:hint="default" w:ascii="仿宋_GB2312" w:eastAsia="仿宋_GB2312" w:cs="仿宋_GB2312"/>
          <w:color w:val="000000"/>
          <w:sz w:val="32"/>
          <w:szCs w:val="32"/>
        </w:rPr>
        <w:t>指事业单位在专业业务活动及其辅助活动之外开展非独立核算经营活动取得的收入。</w:t>
      </w:r>
    </w:p>
    <w:p>
      <w:pPr>
        <w:pStyle w:val="5"/>
        <w:widowControl/>
        <w:autoSpaceDE w:val="0"/>
        <w:snapToGrid w:val="0"/>
        <w:spacing w:before="0" w:after="0" w:line="600" w:lineRule="atLeast"/>
        <w:ind w:firstLine="627"/>
        <w:rPr>
          <w:rFonts w:cs="宋体"/>
          <w:b/>
          <w:color w:val="000000"/>
        </w:rPr>
      </w:pPr>
      <w:r>
        <w:rPr>
          <w:rFonts w:hint="default" w:ascii="仿宋_GB2312" w:eastAsia="仿宋_GB2312" w:cs="仿宋_GB2312"/>
          <w:b/>
          <w:color w:val="000000"/>
          <w:sz w:val="32"/>
          <w:szCs w:val="32"/>
        </w:rPr>
        <w:t>六、其他收入：</w:t>
      </w:r>
      <w:r>
        <w:rPr>
          <w:rFonts w:hint="default" w:ascii="仿宋_GB2312" w:eastAsia="仿宋_GB2312" w:cs="仿宋_GB2312"/>
          <w:color w:val="000000"/>
          <w:sz w:val="32"/>
          <w:szCs w:val="32"/>
        </w:rPr>
        <w:t>指除财政拨款收入、事业收入、上级补助收入、附属单位上缴收入、经营收入以外的各项收入。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七、年初结转和结余：</w:t>
      </w:r>
      <w:r>
        <w:rPr>
          <w:rFonts w:hint="default" w:ascii="仿宋_GB2312" w:eastAsia="仿宋_GB2312" w:cs="仿宋_GB2312"/>
          <w:color w:val="000000"/>
          <w:sz w:val="32"/>
          <w:szCs w:val="32"/>
        </w:rPr>
        <w:t>指以前年度安排、结转到本年仍按原规定用途继续使用的资金。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八、结余分配：</w:t>
      </w:r>
      <w:r>
        <w:rPr>
          <w:rFonts w:hint="default" w:ascii="仿宋_GB2312" w:eastAsia="仿宋_GB2312" w:cs="仿宋_GB2312"/>
          <w:color w:val="000000"/>
          <w:sz w:val="32"/>
          <w:szCs w:val="32"/>
        </w:rPr>
        <w:t>指事业单位按照会计制度规定缴纳的所得税以及从非财政拨款结余中提取的职工福利基金、事业基金等。</w:t>
      </w:r>
    </w:p>
    <w:p>
      <w:pPr>
        <w:pStyle w:val="5"/>
        <w:widowControl/>
        <w:autoSpaceDE w:val="0"/>
        <w:snapToGrid w:val="0"/>
        <w:spacing w:before="0" w:after="0" w:line="600" w:lineRule="atLeast"/>
        <w:ind w:firstLine="627"/>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九、年末结转和结余：</w:t>
      </w:r>
      <w:r>
        <w:rPr>
          <w:rFonts w:hint="default" w:ascii="仿宋_GB2312" w:eastAsia="仿宋_GB2312" w:cs="仿宋_GB2312"/>
          <w:color w:val="000000"/>
          <w:sz w:val="32"/>
          <w:szCs w:val="32"/>
        </w:rPr>
        <w:t>指单位本年度或以前年度预算安排、因客观条件发生变化未全部执行或未执行，结转到以后年度继续使用的资金，或项目已经完成等产生的结余资金。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十、基本支出：</w:t>
      </w:r>
      <w:r>
        <w:rPr>
          <w:rFonts w:hint="default" w:ascii="仿宋_GB2312" w:eastAsia="仿宋_GB2312" w:cs="仿宋_GB2312"/>
          <w:color w:val="000000"/>
          <w:sz w:val="32"/>
          <w:szCs w:val="32"/>
        </w:rPr>
        <w:t>指单位为保障其机构正常运转、完成日常工作任务而发生的人员支出和公用支出。</w:t>
      </w:r>
    </w:p>
    <w:p>
      <w:pPr>
        <w:pStyle w:val="5"/>
        <w:widowControl/>
        <w:autoSpaceDE w:val="0"/>
        <w:spacing w:before="0" w:after="0" w:line="600" w:lineRule="atLeast"/>
        <w:ind w:firstLine="627"/>
        <w:jc w:val="both"/>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十一、项目支出：</w:t>
      </w:r>
      <w:r>
        <w:rPr>
          <w:rFonts w:hint="default" w:ascii="仿宋_GB2312" w:eastAsia="仿宋_GB2312" w:cs="仿宋_GB2312"/>
          <w:color w:val="000000"/>
          <w:sz w:val="32"/>
          <w:szCs w:val="32"/>
        </w:rPr>
        <w:t>指单位为完成特定行政任务和事业发展目标在基本支出之外所发生的支出。</w:t>
      </w:r>
      <w:r>
        <w:rPr>
          <w:rFonts w:hint="default" w:ascii="仿宋_GB2312" w:eastAsia="仿宋_GB2312" w:cs="仿宋_GB2312"/>
          <w:color w:val="000000"/>
          <w:sz w:val="32"/>
          <w:szCs w:val="32"/>
        </w:rPr>
        <w:br w:type="textWrapping"/>
      </w:r>
      <w:r>
        <w:rPr>
          <w:rFonts w:hint="default" w:ascii="仿宋_GB2312" w:eastAsia="仿宋_GB2312" w:cs="仿宋_GB2312"/>
          <w:color w:val="000000"/>
          <w:sz w:val="32"/>
          <w:szCs w:val="32"/>
        </w:rPr>
        <w:t xml:space="preserve">    </w:t>
      </w:r>
      <w:r>
        <w:rPr>
          <w:rFonts w:hint="default" w:ascii="仿宋_GB2312" w:eastAsia="仿宋_GB2312" w:cs="仿宋_GB2312"/>
          <w:b/>
          <w:color w:val="000000"/>
          <w:sz w:val="32"/>
          <w:szCs w:val="32"/>
        </w:rPr>
        <w:t>十二、经营支出：</w:t>
      </w:r>
      <w:r>
        <w:rPr>
          <w:rFonts w:hint="default" w:ascii="仿宋_GB2312" w:eastAsia="仿宋_GB2312" w:cs="仿宋_GB2312"/>
          <w:color w:val="000000"/>
          <w:sz w:val="32"/>
          <w:szCs w:val="32"/>
        </w:rPr>
        <w:t>指事业单位在专业业务活动及其辅助活动之外开展非独立核算经营活动发生的支出。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十三、</w:t>
      </w:r>
      <w:r>
        <w:rPr>
          <w:rFonts w:cs="宋体"/>
          <w:b/>
          <w:color w:val="000000"/>
          <w:sz w:val="32"/>
          <w:szCs w:val="32"/>
        </w:rPr>
        <w:t>“</w:t>
      </w:r>
      <w:r>
        <w:rPr>
          <w:rFonts w:hint="default" w:ascii="仿宋_GB2312" w:eastAsia="仿宋_GB2312" w:cs="仿宋_GB2312"/>
          <w:b/>
          <w:color w:val="000000"/>
          <w:sz w:val="32"/>
          <w:szCs w:val="32"/>
        </w:rPr>
        <w:t>三公</w:t>
      </w:r>
      <w:r>
        <w:rPr>
          <w:rFonts w:cs="宋体"/>
          <w:b/>
          <w:color w:val="000000"/>
          <w:sz w:val="32"/>
          <w:szCs w:val="32"/>
        </w:rPr>
        <w:t>”</w:t>
      </w:r>
      <w:r>
        <w:rPr>
          <w:rFonts w:hint="default" w:ascii="仿宋_GB2312" w:eastAsia="仿宋_GB2312" w:cs="仿宋_GB2312"/>
          <w:b/>
          <w:color w:val="000000"/>
          <w:sz w:val="32"/>
          <w:szCs w:val="32"/>
        </w:rPr>
        <w:t>经费：</w:t>
      </w:r>
      <w:r>
        <w:rPr>
          <w:rFonts w:hint="default" w:ascii="仿宋_GB2312" w:eastAsia="仿宋_GB2312" w:cs="仿宋_GB2312"/>
          <w:color w:val="000000"/>
          <w:sz w:val="32"/>
          <w:szCs w:val="32"/>
        </w:rPr>
        <w:t>纳入财政预决算管理的</w:t>
      </w:r>
      <w:r>
        <w:rPr>
          <w:rFonts w:cs="宋体"/>
          <w:color w:val="000000"/>
          <w:sz w:val="32"/>
          <w:szCs w:val="32"/>
        </w:rPr>
        <w:t>“</w:t>
      </w:r>
      <w:r>
        <w:rPr>
          <w:rFonts w:hint="default" w:ascii="仿宋_GB2312" w:eastAsia="仿宋_GB2312" w:cs="仿宋_GB2312"/>
          <w:color w:val="000000"/>
          <w:sz w:val="32"/>
          <w:szCs w:val="32"/>
        </w:rPr>
        <w:t>三公</w:t>
      </w:r>
      <w:r>
        <w:rPr>
          <w:rFonts w:cs="宋体"/>
          <w:color w:val="000000"/>
          <w:sz w:val="32"/>
          <w:szCs w:val="32"/>
        </w:rPr>
        <w:t>”</w:t>
      </w:r>
      <w:r>
        <w:rPr>
          <w:rFonts w:hint="default" w:ascii="仿宋_GB2312" w:eastAsia="仿宋_GB2312" w:cs="仿宋_GB2312"/>
          <w:color w:val="000000"/>
          <w:sz w:val="32"/>
          <w:szCs w:val="32"/>
        </w:rPr>
        <w:t>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十四、机关运行经费</w:t>
      </w:r>
      <w:r>
        <w:rPr>
          <w:rFonts w:hint="default" w:ascii="仿宋_GB2312" w:eastAsia="仿宋_GB2312" w:cs="仿宋_GB2312"/>
          <w:color w:val="000000"/>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pPr>
        <w:pStyle w:val="4"/>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pPr>
        <w:pStyle w:val="4"/>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4C04"/>
    <w:multiLevelType w:val="singleLevel"/>
    <w:tmpl w:val="14AE4C04"/>
    <w:lvl w:ilvl="0" w:tentative="0">
      <w:start w:val="2"/>
      <w:numFmt w:val="decimal"/>
      <w:lvlText w:val="%1."/>
      <w:lvlJc w:val="left"/>
      <w:pPr>
        <w:tabs>
          <w:tab w:val="left" w:pos="312"/>
        </w:tabs>
      </w:pPr>
    </w:lvl>
  </w:abstractNum>
  <w:abstractNum w:abstractNumId="1">
    <w:nsid w:val="45464FB2"/>
    <w:multiLevelType w:val="singleLevel"/>
    <w:tmpl w:val="45464FB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17C89"/>
    <w:rsid w:val="2FFD6646"/>
    <w:rsid w:val="759E1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5">
    <w:name w:val="p16"/>
    <w:basedOn w:val="1"/>
    <w:uiPriority w:val="0"/>
    <w:pPr>
      <w:keepNext w:val="0"/>
      <w:keepLines w:val="0"/>
      <w:widowControl w:val="0"/>
      <w:suppressLineNumbers w:val="0"/>
      <w:spacing w:before="100" w:beforeAutospacing="0" w:after="100" w:afterAutospacing="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2021-11-04T00:26:00Z</dcterms:created>
  <dc:creator>admin</dc:creator>
  <cp:lastModifiedBy>admin</cp:lastModifiedBy>
  <dcterms:modified xsi:type="dcterms:W3CDTF">2021-11-04T00:38:30Z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