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napToGrid w:val="0"/>
        <w:spacing w:line="360" w:lineRule="auto"/>
        <w:jc w:val="center"/>
        <w:rPr>
          <w:rFonts w:hint="eastAsia" w:ascii="宋体" w:hAnsi="宋体" w:cs="宋体"/>
          <w:b/>
          <w:color w:val="000000"/>
          <w:sz w:val="48"/>
          <w:szCs w:val="48"/>
        </w:rPr>
      </w:pPr>
      <w:r>
        <w:rPr>
          <w:rFonts w:hint="eastAsia" w:ascii="华文中宋" w:hAnsi="华文中宋" w:eastAsia="华文中宋" w:cs="华文中宋"/>
          <w:b/>
          <w:color w:val="000000"/>
          <w:sz w:val="48"/>
          <w:szCs w:val="48"/>
        </w:rPr>
        <w:t>八公山区人力资源</w:t>
      </w:r>
      <w:r>
        <w:rPr>
          <w:rFonts w:hint="eastAsia" w:ascii="宋体" w:hAnsi="宋体" w:cs="宋体"/>
          <w:b/>
          <w:color w:val="000000"/>
          <w:sz w:val="48"/>
          <w:szCs w:val="48"/>
        </w:rPr>
        <w:t>和社会保障局</w:t>
      </w:r>
    </w:p>
    <w:p>
      <w:pPr>
        <w:pStyle w:val="4"/>
        <w:widowControl/>
        <w:snapToGrid w:val="0"/>
        <w:spacing w:line="360" w:lineRule="auto"/>
        <w:jc w:val="center"/>
        <w:rPr>
          <w:rFonts w:hint="eastAsia" w:ascii="华文中宋" w:hAnsi="华文中宋" w:eastAsia="华文中宋" w:cs="华文中宋"/>
          <w:b/>
          <w:color w:val="000000"/>
          <w:sz w:val="48"/>
          <w:szCs w:val="48"/>
        </w:rPr>
      </w:pPr>
      <w:r>
        <w:rPr>
          <w:rFonts w:hint="eastAsia" w:ascii="华文中宋" w:hAnsi="华文中宋" w:eastAsia="华文中宋" w:cs="华文中宋"/>
          <w:b/>
          <w:color w:val="000000"/>
          <w:sz w:val="48"/>
          <w:szCs w:val="48"/>
        </w:rPr>
        <w:t>2020年度部门决算</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r>
        <w:rPr>
          <w:rFonts w:hint="eastAsia" w:ascii="宋体" w:hAnsi="宋体" w:cs="宋体"/>
          <w:color w:val="000000"/>
          <w:sz w:val="28"/>
          <w:szCs w:val="28"/>
        </w:rPr>
        <w:t xml:space="preserve"> </w:t>
      </w:r>
    </w:p>
    <w:p>
      <w:pPr>
        <w:pStyle w:val="4"/>
        <w:widowControl/>
        <w:rPr>
          <w:rFonts w:hint="eastAsia" w:ascii="宋体" w:hAnsi="宋体" w:cs="宋体"/>
          <w:color w:val="000000"/>
          <w:sz w:val="28"/>
          <w:szCs w:val="28"/>
        </w:rPr>
      </w:pPr>
    </w:p>
    <w:p>
      <w:pPr>
        <w:pStyle w:val="4"/>
        <w:widowControl/>
        <w:rPr>
          <w:rFonts w:hint="eastAsia" w:ascii="宋体" w:hAnsi="宋体" w:cs="宋体"/>
          <w:color w:val="000000"/>
          <w:sz w:val="28"/>
          <w:szCs w:val="28"/>
        </w:rPr>
      </w:pPr>
    </w:p>
    <w:p>
      <w:pPr>
        <w:pStyle w:val="5"/>
        <w:widowControl/>
        <w:snapToGrid w:val="0"/>
        <w:spacing w:before="0" w:after="0" w:line="360" w:lineRule="auto"/>
        <w:jc w:val="center"/>
        <w:rPr>
          <w:rFonts w:hint="eastAsia" w:ascii="黑体" w:hAnsi="宋体" w:eastAsia="黑体" w:cs="黑体"/>
          <w:color w:val="000000"/>
          <w:sz w:val="48"/>
          <w:szCs w:val="48"/>
        </w:rPr>
      </w:pPr>
      <w:r>
        <w:rPr>
          <w:rFonts w:ascii="黑体" w:eastAsia="黑体" w:cs="黑体"/>
          <w:color w:val="000000"/>
          <w:sz w:val="44"/>
          <w:szCs w:val="44"/>
        </w:rPr>
        <w:t>2021年9月</w:t>
      </w:r>
    </w:p>
    <w:p>
      <w:pPr>
        <w:pStyle w:val="4"/>
        <w:widowControl/>
        <w:spacing w:line="580" w:lineRule="atLeast"/>
        <w:jc w:val="center"/>
        <w:rPr>
          <w:rFonts w:hint="eastAsia" w:ascii="黑体" w:hAnsi="宋体" w:eastAsia="黑体" w:cs="黑体"/>
          <w:color w:val="000000"/>
          <w:sz w:val="48"/>
          <w:szCs w:val="48"/>
        </w:rPr>
      </w:pPr>
      <w:r>
        <w:rPr>
          <w:rFonts w:hint="eastAsia" w:ascii="黑体" w:hAnsi="宋体" w:eastAsia="黑体" w:cs="黑体"/>
          <w:color w:val="000000"/>
          <w:sz w:val="48"/>
          <w:szCs w:val="48"/>
        </w:rPr>
        <w:t>目  录</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第一部分 八公山区人力资源和社会保障局</w:t>
      </w:r>
      <w:r>
        <w:rPr>
          <w:rFonts w:ascii="仿宋_GB2312" w:eastAsia="仿宋_GB2312" w:cs="仿宋_GB2312"/>
          <w:b/>
          <w:color w:val="000000"/>
          <w:sz w:val="36"/>
          <w:szCs w:val="36"/>
        </w:rPr>
        <w:t>概况</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一、部门职责</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二、机构设置</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第二部分 八公山区人力资源和社会保障局2020</w:t>
      </w:r>
      <w:r>
        <w:rPr>
          <w:rFonts w:ascii="仿宋_GB2312" w:eastAsia="仿宋_GB2312" w:cs="仿宋_GB2312"/>
          <w:b/>
          <w:color w:val="000000"/>
          <w:sz w:val="36"/>
          <w:szCs w:val="36"/>
        </w:rPr>
        <w:t>年度部门决算表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七、政府性基金预算财政拨款收入支出决算表</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八、国有资本经营预算财政拨款支出决算表</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第三部分 八公山区人力资源和社会保障局2020</w:t>
      </w:r>
      <w:r>
        <w:rPr>
          <w:rFonts w:ascii="仿宋_GB2312" w:eastAsia="仿宋_GB2312" w:cs="仿宋_GB2312"/>
          <w:b/>
          <w:color w:val="000000"/>
          <w:sz w:val="36"/>
          <w:szCs w:val="36"/>
        </w:rPr>
        <w:t>年度部门决算情况说明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一、收入支出决算总体情况说明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二、收入决算情况说明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三、支出决算情况说明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四、财政拨款收入支出决算总体情况说明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五、一般公共预算财政拨款支出决算情况说明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六、一般公共预算财政拨款基本支出决算情况说明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七、政府性基金财政拨款收入支出决算情况说明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八、国有资本经营预算财政拨款支出决算情况说明</w:t>
      </w:r>
    </w:p>
    <w:p>
      <w:pPr>
        <w:pStyle w:val="4"/>
        <w:widowControl/>
        <w:autoSpaceDN w:val="0"/>
        <w:spacing w:line="510" w:lineRule="atLeast"/>
        <w:rPr>
          <w:rFonts w:hint="eastAsia" w:ascii="宋体" w:hAnsi="宋体" w:cs="宋体"/>
          <w:color w:val="000000"/>
          <w:sz w:val="36"/>
          <w:szCs w:val="36"/>
        </w:rPr>
      </w:pPr>
      <w:r>
        <w:rPr>
          <w:rFonts w:hint="eastAsia" w:ascii="宋体" w:hAnsi="宋体" w:cs="宋体"/>
          <w:color w:val="000000"/>
          <w:sz w:val="36"/>
          <w:szCs w:val="36"/>
        </w:rPr>
        <w:t>九、其他重要事项情况说明</w:t>
      </w:r>
    </w:p>
    <w:p>
      <w:pPr>
        <w:pStyle w:val="4"/>
        <w:widowControl/>
        <w:autoSpaceDN w:val="0"/>
        <w:spacing w:line="510" w:lineRule="atLeast"/>
        <w:rPr>
          <w:rFonts w:hint="eastAsia" w:ascii="宋体" w:hAnsi="宋体" w:cs="宋体"/>
          <w:b/>
          <w:color w:val="000000"/>
          <w:sz w:val="36"/>
          <w:szCs w:val="36"/>
        </w:rPr>
      </w:pPr>
      <w:r>
        <w:rPr>
          <w:rFonts w:hint="eastAsia" w:ascii="宋体" w:hAnsi="宋体" w:cs="宋体"/>
          <w:b/>
          <w:color w:val="000000"/>
          <w:sz w:val="36"/>
          <w:szCs w:val="36"/>
        </w:rPr>
        <w:t>第四部分 名词解释</w:t>
      </w: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both"/>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p>
    <w:p>
      <w:pPr>
        <w:pStyle w:val="4"/>
        <w:widowControl/>
        <w:jc w:val="center"/>
        <w:rPr>
          <w:rFonts w:hint="eastAsia" w:ascii="宋体" w:hAnsi="宋体" w:cs="宋体"/>
          <w:b/>
          <w:color w:val="000000"/>
          <w:sz w:val="36"/>
          <w:szCs w:val="36"/>
        </w:rPr>
      </w:pPr>
      <w:r>
        <w:rPr>
          <w:rFonts w:hint="eastAsia" w:ascii="宋体" w:hAnsi="宋体" w:cs="宋体"/>
          <w:b/>
          <w:color w:val="000000"/>
          <w:sz w:val="36"/>
          <w:szCs w:val="36"/>
        </w:rPr>
        <w:t>八公山区人力资源和社会保障局</w:t>
      </w:r>
      <w:r>
        <w:rPr>
          <w:rFonts w:ascii="仿宋_GB2312" w:eastAsia="仿宋_GB2312" w:cs="仿宋_GB2312"/>
          <w:b/>
          <w:color w:val="000000"/>
          <w:sz w:val="36"/>
          <w:szCs w:val="36"/>
        </w:rPr>
        <w:t>2020年</w:t>
      </w:r>
      <w:r>
        <w:rPr>
          <w:rFonts w:hint="eastAsia" w:ascii="宋体" w:hAnsi="宋体" w:cs="宋体"/>
          <w:b/>
          <w:color w:val="000000"/>
          <w:sz w:val="36"/>
          <w:szCs w:val="36"/>
        </w:rPr>
        <w:t>度部门决算</w:t>
      </w:r>
      <w:r>
        <w:rPr>
          <w:rFonts w:ascii="仿宋_GB2312" w:eastAsia="仿宋_GB2312" w:cs="仿宋_GB2312"/>
          <w:b/>
          <w:color w:val="000000"/>
          <w:sz w:val="36"/>
          <w:szCs w:val="36"/>
        </w:rPr>
        <w:t>情况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第一部分 八公山区人力资源和社会保障局概况</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一、部门职责</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二、机构设置</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从决算单位构成看，八公山区</w:t>
      </w:r>
      <w:r>
        <w:rPr>
          <w:rFonts w:hint="eastAsia" w:ascii="仿宋_GB2312" w:eastAsia="仿宋_GB2312" w:cs="仿宋_GB2312"/>
          <w:color w:val="000000"/>
          <w:sz w:val="32"/>
          <w:szCs w:val="32"/>
        </w:rPr>
        <w:t>人力资源和社会保障局</w:t>
      </w:r>
      <w:r>
        <w:rPr>
          <w:rFonts w:ascii="仿宋_GB2312" w:eastAsia="仿宋_GB2312" w:cs="仿宋_GB2312"/>
          <w:color w:val="000000"/>
          <w:sz w:val="32"/>
          <w:szCs w:val="32"/>
        </w:rPr>
        <w:t>2020年度部门决算包括：单位本级决算。</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纳入八公山区</w:t>
      </w:r>
      <w:r>
        <w:rPr>
          <w:rFonts w:hint="eastAsia" w:ascii="仿宋_GB2312" w:eastAsia="仿宋_GB2312" w:cs="仿宋_GB2312"/>
          <w:color w:val="000000"/>
          <w:sz w:val="32"/>
          <w:szCs w:val="32"/>
        </w:rPr>
        <w:t>人力资源和社会保障局</w:t>
      </w:r>
      <w:r>
        <w:rPr>
          <w:rFonts w:ascii="仿宋_GB2312" w:eastAsia="仿宋_GB2312" w:cs="仿宋_GB2312"/>
          <w:color w:val="000000"/>
          <w:sz w:val="32"/>
          <w:szCs w:val="32"/>
        </w:rPr>
        <w:t>2020年度部门决算编制范围的二级单位共</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个，详细情况见下表：</w:t>
      </w:r>
    </w:p>
    <w:tbl>
      <w:tblPr>
        <w:tblStyle w:val="2"/>
        <w:tblW w:w="0" w:type="auto"/>
        <w:jc w:val="center"/>
        <w:tblLayout w:type="fixed"/>
        <w:tblCellMar>
          <w:top w:w="0" w:type="dxa"/>
          <w:left w:w="0" w:type="dxa"/>
          <w:bottom w:w="0" w:type="dxa"/>
          <w:right w:w="0" w:type="dxa"/>
        </w:tblCellMar>
      </w:tblPr>
      <w:tblGrid>
        <w:gridCol w:w="1389"/>
        <w:gridCol w:w="5837"/>
      </w:tblGrid>
      <w:tr>
        <w:tblPrEx>
          <w:tblCellMar>
            <w:top w:w="0" w:type="dxa"/>
            <w:left w:w="0" w:type="dxa"/>
            <w:bottom w:w="0" w:type="dxa"/>
            <w:right w:w="0" w:type="dxa"/>
          </w:tblCellMar>
        </w:tblPrEx>
        <w:trPr>
          <w:trHeight w:val="397" w:hRule="atLeast"/>
          <w:jc w:val="center"/>
        </w:trPr>
        <w:tc>
          <w:tcPr>
            <w:tcW w:w="1389" w:type="dxa"/>
            <w:tcBorders>
              <w:top w:val="single" w:color="000000" w:sz="8" w:space="0"/>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5837" w:type="dxa"/>
            <w:tcBorders>
              <w:top w:val="single" w:color="000000" w:sz="8" w:space="0"/>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单位名称</w:t>
            </w:r>
          </w:p>
        </w:tc>
      </w:tr>
      <w:tr>
        <w:tblPrEx>
          <w:tblCellMar>
            <w:top w:w="0" w:type="dxa"/>
            <w:left w:w="0" w:type="dxa"/>
            <w:bottom w:w="0" w:type="dxa"/>
            <w:right w:w="0" w:type="dxa"/>
          </w:tblCellMar>
        </w:tblPrEx>
        <w:trPr>
          <w:trHeight w:val="397" w:hRule="atLeast"/>
          <w:jc w:val="center"/>
        </w:trPr>
        <w:tc>
          <w:tcPr>
            <w:tcW w:w="1389" w:type="dxa"/>
            <w:tcBorders>
              <w:top w:val="nil"/>
              <w:left w:val="single" w:color="000000" w:sz="8" w:space="0"/>
              <w:bottom w:val="single" w:color="000000" w:sz="8" w:space="0"/>
              <w:right w:val="single" w:color="000000" w:sz="8" w:space="0"/>
            </w:tcBorders>
            <w:shd w:val="clear" w:color="auto" w:fill="FFFFFF"/>
            <w:noWrap w:val="0"/>
            <w:tcMar>
              <w:left w:w="108" w:type="dxa"/>
              <w:right w:w="108" w:type="dxa"/>
            </w:tcMar>
            <w:vAlign w:val="center"/>
          </w:tcPr>
          <w:p>
            <w:pPr>
              <w:pStyle w:val="4"/>
              <w:widowControl/>
              <w:jc w:val="center"/>
              <w:rPr>
                <w:rFonts w:hint="eastAsia" w:ascii="宋体" w:hAnsi="宋体" w:cs="宋体"/>
                <w:color w:val="000000"/>
                <w:sz w:val="24"/>
                <w:szCs w:val="24"/>
              </w:rPr>
            </w:pPr>
            <w:r>
              <w:rPr>
                <w:rFonts w:hint="eastAsia" w:ascii="宋体" w:hAnsi="宋体" w:cs="宋体"/>
                <w:color w:val="000000"/>
                <w:sz w:val="24"/>
                <w:szCs w:val="24"/>
              </w:rPr>
              <w:t>1</w:t>
            </w:r>
          </w:p>
        </w:tc>
        <w:tc>
          <w:tcPr>
            <w:tcW w:w="5837" w:type="dxa"/>
            <w:tcBorders>
              <w:top w:val="nil"/>
              <w:left w:val="nil"/>
              <w:bottom w:val="single" w:color="000000" w:sz="8" w:space="0"/>
              <w:right w:val="single" w:color="000000" w:sz="8" w:space="0"/>
            </w:tcBorders>
            <w:shd w:val="clear" w:color="auto" w:fill="FFFFFF"/>
            <w:noWrap w:val="0"/>
            <w:tcMar>
              <w:left w:w="108" w:type="dxa"/>
              <w:right w:w="108" w:type="dxa"/>
            </w:tcMar>
            <w:vAlign w:val="center"/>
          </w:tcPr>
          <w:p>
            <w:pPr>
              <w:pStyle w:val="4"/>
              <w:widowControl/>
              <w:rPr>
                <w:rFonts w:hint="eastAsia" w:ascii="宋体" w:hAnsi="宋体" w:cs="宋体"/>
                <w:color w:val="000000"/>
                <w:sz w:val="24"/>
                <w:szCs w:val="24"/>
              </w:rPr>
            </w:pPr>
            <w:r>
              <w:rPr>
                <w:rFonts w:hint="eastAsia" w:ascii="宋体" w:hAnsi="宋体" w:cs="宋体"/>
                <w:color w:val="000000"/>
                <w:sz w:val="24"/>
                <w:szCs w:val="24"/>
              </w:rPr>
              <w:t>八公山区人力资源和社会保障局</w:t>
            </w:r>
            <w:r>
              <w:rPr>
                <w:rFonts w:ascii="仿宋_GB2312" w:eastAsia="仿宋_GB2312" w:cs="仿宋_GB2312"/>
                <w:color w:val="000000"/>
                <w:sz w:val="24"/>
                <w:szCs w:val="24"/>
              </w:rPr>
              <w:t>本级</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第二部分 八公山区人力资源和社会保障局2020年度部门决算表</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一、收入支出决算总表</w:t>
      </w:r>
    </w:p>
    <w:tbl>
      <w:tblPr>
        <w:tblStyle w:val="2"/>
        <w:tblW w:w="9735" w:type="dxa"/>
        <w:jc w:val="center"/>
        <w:tblLayout w:type="fixed"/>
        <w:tblCellMar>
          <w:top w:w="15" w:type="dxa"/>
          <w:left w:w="108" w:type="dxa"/>
          <w:bottom w:w="15" w:type="dxa"/>
          <w:right w:w="108" w:type="dxa"/>
        </w:tblCellMar>
      </w:tblPr>
      <w:tblGrid>
        <w:gridCol w:w="2085"/>
        <w:gridCol w:w="2625"/>
        <w:gridCol w:w="2430"/>
        <w:gridCol w:w="2595"/>
      </w:tblGrid>
      <w:tr>
        <w:tblPrEx>
          <w:tblCellMar>
            <w:top w:w="15" w:type="dxa"/>
            <w:left w:w="108" w:type="dxa"/>
            <w:bottom w:w="15" w:type="dxa"/>
            <w:right w:w="108" w:type="dxa"/>
          </w:tblCellMar>
        </w:tblPrEx>
        <w:trPr>
          <w:trHeight w:val="285" w:hRule="atLeast"/>
          <w:jc w:val="center"/>
        </w:trPr>
        <w:tc>
          <w:tcPr>
            <w:tcW w:w="2085" w:type="dxa"/>
            <w:noWrap w:val="0"/>
            <w:vAlign w:val="center"/>
          </w:tcPr>
          <w:p>
            <w:pPr>
              <w:pStyle w:val="4"/>
              <w:widowControl/>
              <w:rPr>
                <w:rFonts w:ascii="Arial" w:hAnsi="Arial" w:cs="Arial"/>
                <w:color w:val="000000"/>
                <w:sz w:val="20"/>
                <w:szCs w:val="20"/>
              </w:rPr>
            </w:pPr>
          </w:p>
        </w:tc>
        <w:tc>
          <w:tcPr>
            <w:tcW w:w="2625" w:type="dxa"/>
            <w:noWrap w:val="0"/>
            <w:vAlign w:val="center"/>
          </w:tcPr>
          <w:p>
            <w:pPr>
              <w:pStyle w:val="4"/>
              <w:widowControl/>
              <w:rPr>
                <w:rFonts w:ascii="Arial" w:hAnsi="Arial" w:cs="Arial"/>
                <w:color w:val="000000"/>
                <w:sz w:val="20"/>
                <w:szCs w:val="20"/>
              </w:rPr>
            </w:pPr>
          </w:p>
        </w:tc>
        <w:tc>
          <w:tcPr>
            <w:tcW w:w="5025" w:type="dxa"/>
            <w:gridSpan w:val="2"/>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公开01表</w:t>
            </w:r>
          </w:p>
        </w:tc>
      </w:tr>
      <w:tr>
        <w:tblPrEx>
          <w:tblCellMar>
            <w:top w:w="15" w:type="dxa"/>
            <w:left w:w="108" w:type="dxa"/>
            <w:bottom w:w="15" w:type="dxa"/>
            <w:right w:w="108" w:type="dxa"/>
          </w:tblCellMar>
        </w:tblPrEx>
        <w:trPr>
          <w:trHeight w:val="300" w:hRule="atLeast"/>
          <w:jc w:val="center"/>
        </w:trPr>
        <w:tc>
          <w:tcPr>
            <w:tcW w:w="4710" w:type="dxa"/>
            <w:gridSpan w:val="2"/>
            <w:tcBorders>
              <w:bottom w:val="single" w:color="000000" w:sz="4" w:space="0"/>
            </w:tcBorders>
            <w:noWrap w:val="0"/>
            <w:vAlign w:val="bottom"/>
          </w:tcPr>
          <w:p>
            <w:pPr>
              <w:pStyle w:val="4"/>
              <w:widowControl/>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5025" w:type="dxa"/>
            <w:gridSpan w:val="2"/>
            <w:tcBorders>
              <w:bottom w:val="single" w:color="000000" w:sz="4" w:space="0"/>
            </w:tcBorders>
            <w:noWrap w:val="0"/>
            <w:vAlign w:val="bottom"/>
          </w:tcPr>
          <w:p>
            <w:pPr>
              <w:pStyle w:val="4"/>
              <w:widowControl/>
              <w:jc w:val="right"/>
              <w:rPr>
                <w:rFonts w:hint="eastAsia" w:ascii="宋体" w:hAnsi="宋体" w:cs="宋体"/>
                <w:color w:val="000000"/>
                <w:sz w:val="24"/>
                <w:szCs w:val="24"/>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127" w:hRule="atLeast"/>
          <w:jc w:val="center"/>
        </w:trPr>
        <w:tc>
          <w:tcPr>
            <w:tcW w:w="471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502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支出</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金额</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1</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2</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四、上级补助收入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五、事业收入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六、经营收入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七、附属单位上缴收入</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八、其他收入</w:t>
            </w: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259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r>
              <w:rPr>
                <w:rFonts w:hint="eastAsia" w:ascii="Times New Roman" w:hAnsi="Times New Roman" w:eastAsia="仿宋_GB2312" w:cs="Arial"/>
                <w:color w:val="000000"/>
                <w:kern w:val="2"/>
                <w:sz w:val="22"/>
                <w:szCs w:val="22"/>
                <w:lang w:val="en-US" w:eastAsia="zh-CN" w:bidi="ar-SA"/>
              </w:rPr>
              <w:t>2147.79</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0"/>
                <w:szCs w:val="20"/>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二十二、灾害防治及应急管理支出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二十三、其他支出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二十五、债务付息支出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2625"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本年收入合计</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xml:space="preserve">    使用非财政拨款结余</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结余分配</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0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 xml:space="preserve">    年初结转和结余</w:t>
            </w:r>
          </w:p>
        </w:tc>
        <w:tc>
          <w:tcPr>
            <w:tcW w:w="262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2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年末结转和结余</w:t>
            </w:r>
          </w:p>
        </w:tc>
        <w:tc>
          <w:tcPr>
            <w:tcW w:w="259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bl>
    <w:p>
      <w:pPr>
        <w:pStyle w:val="4"/>
        <w:widowControl/>
        <w:jc w:val="both"/>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二、收入决算表</w:t>
      </w:r>
    </w:p>
    <w:p>
      <w:pPr>
        <w:pStyle w:val="4"/>
        <w:widowControl/>
        <w:ind w:firstLine="640"/>
        <w:rPr>
          <w:rFonts w:hint="eastAsia" w:ascii="宋体" w:hAnsi="宋体" w:cs="宋体"/>
          <w:color w:val="000000"/>
          <w:sz w:val="20"/>
          <w:szCs w:val="20"/>
        </w:rPr>
      </w:pPr>
      <w:r>
        <w:rPr>
          <w:rFonts w:hint="eastAsia" w:ascii="黑体" w:hAnsi="宋体" w:eastAsia="黑体" w:cs="黑体"/>
          <w:color w:val="000000"/>
          <w:sz w:val="32"/>
          <w:szCs w:val="32"/>
        </w:rPr>
        <w:t xml:space="preserve">                                             </w:t>
      </w:r>
    </w:p>
    <w:tbl>
      <w:tblPr>
        <w:tblStyle w:val="2"/>
        <w:tblW w:w="9718" w:type="dxa"/>
        <w:jc w:val="center"/>
        <w:tblLayout w:type="fixed"/>
        <w:tblCellMar>
          <w:top w:w="15" w:type="dxa"/>
          <w:left w:w="108" w:type="dxa"/>
          <w:bottom w:w="15" w:type="dxa"/>
          <w:right w:w="108" w:type="dxa"/>
        </w:tblCellMar>
      </w:tblPr>
      <w:tblGrid>
        <w:gridCol w:w="348"/>
        <w:gridCol w:w="375"/>
        <w:gridCol w:w="336"/>
        <w:gridCol w:w="1460"/>
        <w:gridCol w:w="1060"/>
        <w:gridCol w:w="990"/>
        <w:gridCol w:w="767"/>
        <w:gridCol w:w="939"/>
        <w:gridCol w:w="1252"/>
        <w:gridCol w:w="212"/>
        <w:gridCol w:w="414"/>
        <w:gridCol w:w="939"/>
        <w:gridCol w:w="626"/>
      </w:tblGrid>
      <w:tr>
        <w:tblPrEx>
          <w:tblCellMar>
            <w:top w:w="15" w:type="dxa"/>
            <w:left w:w="108" w:type="dxa"/>
            <w:bottom w:w="15" w:type="dxa"/>
            <w:right w:w="108" w:type="dxa"/>
          </w:tblCellMar>
        </w:tblPrEx>
        <w:trPr>
          <w:trHeight w:val="300" w:hRule="atLeast"/>
          <w:jc w:val="center"/>
        </w:trPr>
        <w:tc>
          <w:tcPr>
            <w:tcW w:w="2519" w:type="dxa"/>
            <w:gridSpan w:val="4"/>
            <w:noWrap w:val="0"/>
            <w:vAlign w:val="bottom"/>
          </w:tcPr>
          <w:p>
            <w:pPr>
              <w:pStyle w:val="4"/>
              <w:widowControl/>
              <w:jc w:val="left"/>
              <w:rPr>
                <w:rFonts w:hint="eastAsia" w:ascii="宋体" w:hAnsi="宋体" w:cs="宋体"/>
                <w:color w:val="000000"/>
                <w:sz w:val="20"/>
                <w:szCs w:val="20"/>
              </w:rPr>
            </w:pPr>
          </w:p>
        </w:tc>
        <w:tc>
          <w:tcPr>
            <w:tcW w:w="1060" w:type="dxa"/>
            <w:noWrap w:val="0"/>
            <w:vAlign w:val="bottom"/>
          </w:tcPr>
          <w:p>
            <w:pPr>
              <w:pStyle w:val="4"/>
              <w:widowControl/>
              <w:jc w:val="left"/>
              <w:rPr>
                <w:rFonts w:ascii="Arial" w:hAnsi="Arial" w:cs="Arial"/>
                <w:color w:val="000000"/>
                <w:sz w:val="20"/>
                <w:szCs w:val="20"/>
              </w:rPr>
            </w:pPr>
          </w:p>
        </w:tc>
        <w:tc>
          <w:tcPr>
            <w:tcW w:w="990" w:type="dxa"/>
            <w:noWrap w:val="0"/>
            <w:vAlign w:val="bottom"/>
          </w:tcPr>
          <w:p>
            <w:pPr>
              <w:pStyle w:val="4"/>
              <w:widowControl/>
              <w:jc w:val="left"/>
              <w:rPr>
                <w:rFonts w:ascii="Arial" w:hAnsi="Arial" w:cs="Arial"/>
                <w:color w:val="000000"/>
                <w:sz w:val="20"/>
                <w:szCs w:val="20"/>
              </w:rPr>
            </w:pPr>
          </w:p>
        </w:tc>
        <w:tc>
          <w:tcPr>
            <w:tcW w:w="767" w:type="dxa"/>
            <w:noWrap w:val="0"/>
            <w:vAlign w:val="bottom"/>
          </w:tcPr>
          <w:p>
            <w:pPr>
              <w:pStyle w:val="4"/>
              <w:widowControl/>
              <w:jc w:val="center"/>
              <w:rPr>
                <w:rFonts w:hint="eastAsia" w:ascii="宋体" w:hAnsi="宋体" w:cs="宋体"/>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1464" w:type="dxa"/>
            <w:gridSpan w:val="2"/>
            <w:noWrap w:val="0"/>
            <w:vAlign w:val="bottom"/>
          </w:tcPr>
          <w:p>
            <w:pPr>
              <w:pStyle w:val="4"/>
              <w:widowControl/>
              <w:wordWrap w:val="0"/>
              <w:jc w:val="right"/>
              <w:rPr>
                <w:rFonts w:hint="eastAsia" w:ascii="宋体" w:hAnsi="宋体" w:cs="宋体"/>
                <w:color w:val="000000"/>
                <w:sz w:val="20"/>
                <w:szCs w:val="20"/>
              </w:rPr>
            </w:pPr>
            <w:r>
              <w:rPr>
                <w:rFonts w:hint="eastAsia" w:ascii="宋体" w:hAnsi="宋体" w:cs="宋体"/>
                <w:color w:val="000000"/>
                <w:sz w:val="20"/>
                <w:szCs w:val="20"/>
              </w:rPr>
              <w:t> </w:t>
            </w:r>
          </w:p>
        </w:tc>
        <w:tc>
          <w:tcPr>
            <w:tcW w:w="1979" w:type="dxa"/>
            <w:gridSpan w:val="3"/>
            <w:noWrap w:val="0"/>
            <w:vAlign w:val="top"/>
          </w:tcPr>
          <w:p>
            <w:pPr>
              <w:pStyle w:val="4"/>
              <w:widowControl/>
              <w:ind w:right="97" w:firstLine="500"/>
              <w:rPr>
                <w:rFonts w:hint="eastAsia" w:ascii="宋体" w:hAnsi="宋体" w:cs="宋体"/>
                <w:color w:val="000000"/>
                <w:sz w:val="20"/>
                <w:szCs w:val="20"/>
              </w:rPr>
            </w:pPr>
            <w:r>
              <w:rPr>
                <w:rFonts w:hint="eastAsia" w:ascii="宋体" w:hAnsi="宋体" w:cs="宋体"/>
                <w:color w:val="000000"/>
                <w:sz w:val="20"/>
                <w:szCs w:val="20"/>
              </w:rPr>
              <w:t>公开02表</w:t>
            </w:r>
          </w:p>
        </w:tc>
      </w:tr>
      <w:tr>
        <w:tblPrEx>
          <w:tblCellMar>
            <w:top w:w="15" w:type="dxa"/>
            <w:left w:w="108" w:type="dxa"/>
            <w:bottom w:w="15" w:type="dxa"/>
            <w:right w:w="108" w:type="dxa"/>
          </w:tblCellMar>
        </w:tblPrEx>
        <w:trPr>
          <w:trHeight w:val="300" w:hRule="atLeast"/>
          <w:jc w:val="center"/>
        </w:trPr>
        <w:tc>
          <w:tcPr>
            <w:tcW w:w="3579" w:type="dxa"/>
            <w:gridSpan w:val="5"/>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990" w:type="dxa"/>
            <w:noWrap w:val="0"/>
            <w:vAlign w:val="bottom"/>
          </w:tcPr>
          <w:p>
            <w:pPr>
              <w:pStyle w:val="4"/>
              <w:widowControl/>
              <w:jc w:val="left"/>
              <w:rPr>
                <w:rFonts w:ascii="Arial" w:hAnsi="Arial" w:cs="Arial"/>
                <w:color w:val="000000"/>
                <w:sz w:val="20"/>
                <w:szCs w:val="20"/>
              </w:rPr>
            </w:pPr>
          </w:p>
        </w:tc>
        <w:tc>
          <w:tcPr>
            <w:tcW w:w="767" w:type="dxa"/>
            <w:noWrap w:val="0"/>
            <w:vAlign w:val="bottom"/>
          </w:tcPr>
          <w:p>
            <w:pPr>
              <w:pStyle w:val="4"/>
              <w:widowControl/>
              <w:jc w:val="center"/>
              <w:rPr>
                <w:rFonts w:hint="eastAsia" w:ascii="宋体" w:hAnsi="宋体" w:cs="宋体"/>
                <w:color w:val="000000"/>
                <w:sz w:val="20"/>
                <w:szCs w:val="20"/>
              </w:rPr>
            </w:pPr>
          </w:p>
        </w:tc>
        <w:tc>
          <w:tcPr>
            <w:tcW w:w="939" w:type="dxa"/>
            <w:noWrap w:val="0"/>
            <w:vAlign w:val="bottom"/>
          </w:tcPr>
          <w:p>
            <w:pPr>
              <w:pStyle w:val="4"/>
              <w:widowControl/>
              <w:jc w:val="left"/>
              <w:rPr>
                <w:rFonts w:ascii="Arial" w:hAnsi="Arial" w:cs="Arial"/>
                <w:color w:val="000000"/>
                <w:sz w:val="20"/>
                <w:szCs w:val="20"/>
              </w:rPr>
            </w:pPr>
          </w:p>
        </w:tc>
        <w:tc>
          <w:tcPr>
            <w:tcW w:w="1464" w:type="dxa"/>
            <w:gridSpan w:val="2"/>
            <w:noWrap w:val="0"/>
            <w:vAlign w:val="bottom"/>
          </w:tcPr>
          <w:p>
            <w:pPr>
              <w:pStyle w:val="4"/>
              <w:widowControl/>
              <w:ind w:right="60"/>
              <w:jc w:val="right"/>
              <w:rPr>
                <w:rFonts w:hint="eastAsia" w:ascii="宋体" w:hAnsi="宋体" w:cs="宋体"/>
                <w:color w:val="000000"/>
                <w:sz w:val="20"/>
                <w:szCs w:val="20"/>
              </w:rPr>
            </w:pPr>
          </w:p>
        </w:tc>
        <w:tc>
          <w:tcPr>
            <w:tcW w:w="1979" w:type="dxa"/>
            <w:gridSpan w:val="3"/>
            <w:noWrap w:val="0"/>
            <w:vAlign w:val="top"/>
          </w:tcPr>
          <w:p>
            <w:pPr>
              <w:pStyle w:val="4"/>
              <w:widowControl/>
              <w:ind w:right="448"/>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2519"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06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本年收入合计</w:t>
            </w:r>
          </w:p>
        </w:tc>
        <w:tc>
          <w:tcPr>
            <w:tcW w:w="99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财政拨款收入</w:t>
            </w:r>
          </w:p>
        </w:tc>
        <w:tc>
          <w:tcPr>
            <w:tcW w:w="767"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上级补助收入</w:t>
            </w:r>
          </w:p>
        </w:tc>
        <w:tc>
          <w:tcPr>
            <w:tcW w:w="2191" w:type="dxa"/>
            <w:gridSpan w:val="2"/>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事业收入</w:t>
            </w:r>
          </w:p>
        </w:tc>
        <w:tc>
          <w:tcPr>
            <w:tcW w:w="626" w:type="dxa"/>
            <w:gridSpan w:val="2"/>
            <w:vMerge w:val="restart"/>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c>
          <w:tcPr>
            <w:tcW w:w="939"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附属单位上缴收入</w:t>
            </w:r>
          </w:p>
        </w:tc>
        <w:tc>
          <w:tcPr>
            <w:tcW w:w="626"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其他</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收入</w:t>
            </w:r>
          </w:p>
        </w:tc>
      </w:tr>
      <w:tr>
        <w:tblPrEx>
          <w:tblCellMar>
            <w:top w:w="15" w:type="dxa"/>
            <w:left w:w="108" w:type="dxa"/>
            <w:bottom w:w="15" w:type="dxa"/>
            <w:right w:w="108" w:type="dxa"/>
          </w:tblCellMar>
        </w:tblPrEx>
        <w:trPr>
          <w:trHeight w:val="355" w:hRule="atLeast"/>
          <w:jc w:val="center"/>
        </w:trPr>
        <w:tc>
          <w:tcPr>
            <w:tcW w:w="1059"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06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67"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gridSpan w:val="2"/>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626"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626"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1059"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60" w:type="dxa"/>
            <w:vMerge w:val="continue"/>
            <w:tcBorders>
              <w:top w:val="nil"/>
              <w:left w:val="nil"/>
              <w:bottom w:val="single" w:color="000000" w:sz="4" w:space="0"/>
              <w:right w:val="single" w:color="000000" w:sz="4" w:space="0"/>
            </w:tcBorders>
            <w:noWrap w:val="0"/>
            <w:vAlign w:val="center"/>
          </w:tcPr>
          <w:p>
            <w:pPr>
              <w:rPr>
                <w:sz w:val="20"/>
              </w:rPr>
            </w:pPr>
          </w:p>
        </w:tc>
        <w:tc>
          <w:tcPr>
            <w:tcW w:w="106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9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767"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939"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小计</w:t>
            </w:r>
          </w:p>
        </w:tc>
        <w:tc>
          <w:tcPr>
            <w:tcW w:w="1252" w:type="dxa"/>
            <w:tcBorders>
              <w:top w:val="single" w:color="000000" w:sz="4" w:space="0"/>
              <w:left w:val="nil"/>
              <w:bottom w:val="single" w:color="000000" w:sz="4" w:space="0"/>
              <w:right w:val="single" w:color="000000" w:sz="4" w:space="0"/>
            </w:tcBorders>
            <w:noWrap w:val="0"/>
            <w:vAlign w:val="top"/>
          </w:tcPr>
          <w:p>
            <w:pPr>
              <w:pStyle w:val="4"/>
              <w:widowControl/>
              <w:rPr>
                <w:rFonts w:hint="eastAsia" w:ascii="宋体" w:hAnsi="宋体" w:cs="宋体"/>
                <w:color w:val="000000"/>
                <w:sz w:val="22"/>
                <w:szCs w:val="22"/>
              </w:rPr>
            </w:pPr>
            <w:r>
              <w:rPr>
                <w:rFonts w:hint="eastAsia" w:ascii="宋体" w:hAnsi="宋体" w:cs="宋体"/>
                <w:color w:val="000000"/>
                <w:sz w:val="22"/>
                <w:szCs w:val="22"/>
              </w:rPr>
              <w:t>其中：教育</w:t>
            </w:r>
          </w:p>
          <w:p>
            <w:pPr>
              <w:pStyle w:val="4"/>
              <w:widowControl/>
              <w:rPr>
                <w:rFonts w:hint="eastAsia" w:ascii="宋体" w:hAnsi="宋体" w:cs="宋体"/>
                <w:color w:val="000000"/>
                <w:sz w:val="22"/>
                <w:szCs w:val="22"/>
              </w:rPr>
            </w:pPr>
            <w:r>
              <w:rPr>
                <w:rFonts w:hint="eastAsia" w:ascii="宋体" w:hAnsi="宋体" w:cs="宋体"/>
                <w:color w:val="000000"/>
                <w:sz w:val="22"/>
                <w:szCs w:val="22"/>
              </w:rPr>
              <w:t>收费</w:t>
            </w:r>
          </w:p>
        </w:tc>
        <w:tc>
          <w:tcPr>
            <w:tcW w:w="626" w:type="dxa"/>
            <w:gridSpan w:val="2"/>
            <w:vMerge w:val="continue"/>
            <w:tcBorders>
              <w:top w:val="single" w:color="000000" w:sz="4" w:space="0"/>
              <w:left w:val="nil"/>
              <w:bottom w:val="single" w:color="000000" w:sz="4" w:space="0"/>
              <w:right w:val="single" w:color="000000" w:sz="4" w:space="0"/>
            </w:tcBorders>
            <w:noWrap w:val="0"/>
            <w:vAlign w:val="top"/>
          </w:tcPr>
          <w:p>
            <w:pPr>
              <w:rPr>
                <w:sz w:val="20"/>
              </w:rPr>
            </w:pPr>
          </w:p>
        </w:tc>
        <w:tc>
          <w:tcPr>
            <w:tcW w:w="939"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626"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348"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37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336"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6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06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99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76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93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0"/>
              </w:rPr>
            </w:pPr>
            <w:r>
              <w:rPr>
                <w:rFonts w:hint="eastAsia" w:cs="Arial"/>
                <w:b/>
                <w:bCs/>
                <w:color w:val="000000"/>
                <w:sz w:val="20"/>
              </w:rPr>
              <w:t>0.00</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93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公共安全支出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20405</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法院</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2040501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15.00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602.13</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文化和旅游</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2070102</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2.13</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20703</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体育</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2070302</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600.00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Arial"/>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2,147.79</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2,147.79</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Arial"/>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248.99</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仿宋_GB2312" w:cs="Arial"/>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248.99</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33.51</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2080102</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8.91</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2080105</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劳动保障监察</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仿宋_GB2312" w:cs="Arial"/>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2080109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社会保险经办机构</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2080199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其他人力资源和社会保障管理事务支出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201.56</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1,617.66</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1,617.66</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7.00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2080505</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1,400.00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2080506</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机关事业单位职业年金缴费支出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210.66</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2089901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281.14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卫生健康支出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1,138.61</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1,138.61</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21004</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公共卫生</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2100499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其他公共卫生支出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800.00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行政事业单位医疗</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338.61</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338.61</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0.67</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2101199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其他行政事业单位医疗支出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337.94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节能环保支出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环境保护管理事务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2110199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其他环境保护管理事务支出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30.09</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城乡社区支出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城乡社区管理事务</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2120199</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其他城乡社区管理事务支出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437.24</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住房保障支出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22102</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住房改革支出</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105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2210201</w:t>
            </w:r>
          </w:p>
        </w:tc>
        <w:tc>
          <w:tcPr>
            <w:tcW w:w="14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06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990"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22.00</w:t>
            </w:r>
          </w:p>
        </w:tc>
        <w:tc>
          <w:tcPr>
            <w:tcW w:w="76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0"/>
              </w:rPr>
            </w:pPr>
            <w:r>
              <w:rPr>
                <w:rFonts w:hint="eastAsia" w:ascii="宋体" w:hAnsi="宋体" w:eastAsia="宋体" w:cs="宋体"/>
                <w:i w:val="0"/>
                <w:iCs w:val="0"/>
                <w:color w:val="000000"/>
                <w:kern w:val="0"/>
                <w:sz w:val="20"/>
                <w:szCs w:val="20"/>
                <w:u w:val="none"/>
                <w:lang w:val="en-US" w:eastAsia="zh-CN" w:bidi="ar"/>
              </w:rPr>
              <w:t>0.00</w:t>
            </w:r>
          </w:p>
        </w:tc>
        <w:tc>
          <w:tcPr>
            <w:tcW w:w="125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gridSpan w:val="2"/>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939"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right"/>
              <w:textAlignment w:val="center"/>
              <w:rPr>
                <w:rFonts w:ascii="宋体" w:hAnsi="宋体" w:cs="Arial"/>
                <w:color w:val="000000"/>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62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bl>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三、支出决算表</w:t>
      </w:r>
    </w:p>
    <w:tbl>
      <w:tblPr>
        <w:tblStyle w:val="2"/>
        <w:tblW w:w="9656" w:type="dxa"/>
        <w:jc w:val="center"/>
        <w:tblLayout w:type="fixed"/>
        <w:tblCellMar>
          <w:top w:w="15" w:type="dxa"/>
          <w:left w:w="108" w:type="dxa"/>
          <w:bottom w:w="15" w:type="dxa"/>
          <w:right w:w="108" w:type="dxa"/>
        </w:tblCellMar>
      </w:tblPr>
      <w:tblGrid>
        <w:gridCol w:w="685"/>
        <w:gridCol w:w="922"/>
        <w:gridCol w:w="922"/>
        <w:gridCol w:w="1273"/>
        <w:gridCol w:w="964"/>
        <w:gridCol w:w="936"/>
        <w:gridCol w:w="993"/>
        <w:gridCol w:w="823"/>
        <w:gridCol w:w="950"/>
        <w:gridCol w:w="1188"/>
      </w:tblGrid>
      <w:tr>
        <w:tblPrEx>
          <w:tblCellMar>
            <w:top w:w="15" w:type="dxa"/>
            <w:left w:w="108" w:type="dxa"/>
            <w:bottom w:w="15" w:type="dxa"/>
            <w:right w:w="108" w:type="dxa"/>
          </w:tblCellMar>
        </w:tblPrEx>
        <w:trPr>
          <w:trHeight w:val="285" w:hRule="atLeast"/>
          <w:jc w:val="center"/>
        </w:trPr>
        <w:tc>
          <w:tcPr>
            <w:tcW w:w="685" w:type="dxa"/>
            <w:noWrap w:val="0"/>
            <w:vAlign w:val="bottom"/>
          </w:tcPr>
          <w:p>
            <w:pPr>
              <w:pStyle w:val="4"/>
              <w:widowControl/>
              <w:jc w:val="left"/>
              <w:rPr>
                <w:rFonts w:ascii="Arial" w:hAnsi="Arial" w:cs="Arial"/>
                <w:color w:val="000000"/>
                <w:sz w:val="20"/>
                <w:szCs w:val="20"/>
              </w:rPr>
            </w:pPr>
          </w:p>
        </w:tc>
        <w:tc>
          <w:tcPr>
            <w:tcW w:w="922" w:type="dxa"/>
            <w:noWrap w:val="0"/>
            <w:vAlign w:val="bottom"/>
          </w:tcPr>
          <w:p>
            <w:pPr>
              <w:pStyle w:val="4"/>
              <w:widowControl/>
              <w:jc w:val="left"/>
              <w:rPr>
                <w:rFonts w:ascii="Arial" w:hAnsi="Arial" w:cs="Arial"/>
                <w:color w:val="000000"/>
                <w:sz w:val="20"/>
                <w:szCs w:val="20"/>
              </w:rPr>
            </w:pPr>
          </w:p>
        </w:tc>
        <w:tc>
          <w:tcPr>
            <w:tcW w:w="922" w:type="dxa"/>
            <w:noWrap w:val="0"/>
            <w:vAlign w:val="bottom"/>
          </w:tcPr>
          <w:p>
            <w:pPr>
              <w:pStyle w:val="4"/>
              <w:widowControl/>
              <w:jc w:val="left"/>
              <w:rPr>
                <w:rFonts w:ascii="Arial" w:hAnsi="Arial" w:cs="Arial"/>
                <w:color w:val="000000"/>
                <w:sz w:val="20"/>
                <w:szCs w:val="20"/>
              </w:rPr>
            </w:pPr>
          </w:p>
        </w:tc>
        <w:tc>
          <w:tcPr>
            <w:tcW w:w="1273" w:type="dxa"/>
            <w:noWrap w:val="0"/>
            <w:vAlign w:val="bottom"/>
          </w:tcPr>
          <w:p>
            <w:pPr>
              <w:pStyle w:val="4"/>
              <w:widowControl/>
              <w:jc w:val="left"/>
              <w:rPr>
                <w:rFonts w:ascii="Arial" w:hAnsi="Arial" w:cs="Arial"/>
                <w:color w:val="000000"/>
                <w:sz w:val="20"/>
                <w:szCs w:val="20"/>
              </w:rPr>
            </w:pPr>
          </w:p>
        </w:tc>
        <w:tc>
          <w:tcPr>
            <w:tcW w:w="964" w:type="dxa"/>
            <w:noWrap w:val="0"/>
            <w:vAlign w:val="bottom"/>
          </w:tcPr>
          <w:p>
            <w:pPr>
              <w:pStyle w:val="4"/>
              <w:widowControl/>
              <w:jc w:val="left"/>
              <w:rPr>
                <w:rFonts w:ascii="Arial" w:hAnsi="Arial" w:cs="Arial"/>
                <w:color w:val="000000"/>
                <w:sz w:val="20"/>
                <w:szCs w:val="20"/>
              </w:rPr>
            </w:pPr>
          </w:p>
        </w:tc>
        <w:tc>
          <w:tcPr>
            <w:tcW w:w="936" w:type="dxa"/>
            <w:noWrap w:val="0"/>
            <w:vAlign w:val="bottom"/>
          </w:tcPr>
          <w:p>
            <w:pPr>
              <w:pStyle w:val="4"/>
              <w:widowControl/>
              <w:jc w:val="left"/>
              <w:rPr>
                <w:rFonts w:ascii="Arial" w:hAnsi="Arial" w:cs="Arial"/>
                <w:color w:val="000000"/>
                <w:sz w:val="20"/>
                <w:szCs w:val="20"/>
              </w:rPr>
            </w:pPr>
          </w:p>
        </w:tc>
        <w:tc>
          <w:tcPr>
            <w:tcW w:w="993" w:type="dxa"/>
            <w:noWrap w:val="0"/>
            <w:vAlign w:val="bottom"/>
          </w:tcPr>
          <w:p>
            <w:pPr>
              <w:pStyle w:val="4"/>
              <w:widowControl/>
              <w:jc w:val="left"/>
              <w:rPr>
                <w:rFonts w:ascii="Arial" w:hAnsi="Arial" w:cs="Arial"/>
                <w:color w:val="000000"/>
                <w:sz w:val="20"/>
                <w:szCs w:val="20"/>
              </w:rPr>
            </w:pPr>
          </w:p>
        </w:tc>
        <w:tc>
          <w:tcPr>
            <w:tcW w:w="823" w:type="dxa"/>
            <w:noWrap w:val="0"/>
            <w:vAlign w:val="bottom"/>
          </w:tcPr>
          <w:p>
            <w:pPr>
              <w:pStyle w:val="4"/>
              <w:widowControl/>
              <w:jc w:val="left"/>
              <w:rPr>
                <w:rFonts w:ascii="Arial" w:hAnsi="Arial" w:cs="Arial"/>
                <w:color w:val="000000"/>
                <w:sz w:val="20"/>
                <w:szCs w:val="20"/>
              </w:rPr>
            </w:pPr>
          </w:p>
        </w:tc>
        <w:tc>
          <w:tcPr>
            <w:tcW w:w="2138" w:type="dxa"/>
            <w:gridSpan w:val="2"/>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公开03表</w:t>
            </w:r>
          </w:p>
        </w:tc>
      </w:tr>
      <w:tr>
        <w:tblPrEx>
          <w:tblCellMar>
            <w:top w:w="15" w:type="dxa"/>
            <w:left w:w="108" w:type="dxa"/>
            <w:bottom w:w="15" w:type="dxa"/>
            <w:right w:w="108" w:type="dxa"/>
          </w:tblCellMar>
        </w:tblPrEx>
        <w:trPr>
          <w:trHeight w:val="300" w:hRule="atLeast"/>
          <w:jc w:val="center"/>
        </w:trPr>
        <w:tc>
          <w:tcPr>
            <w:tcW w:w="3802" w:type="dxa"/>
            <w:gridSpan w:val="4"/>
            <w:tcBorders>
              <w:bottom w:val="single" w:color="000000" w:sz="4" w:space="0"/>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964"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936" w:type="dxa"/>
            <w:tcBorders>
              <w:bottom w:val="single" w:color="000000" w:sz="4" w:space="0"/>
            </w:tcBorders>
            <w:noWrap w:val="0"/>
            <w:vAlign w:val="bottom"/>
          </w:tcPr>
          <w:p>
            <w:pPr>
              <w:pStyle w:val="4"/>
              <w:widowControl/>
              <w:jc w:val="center"/>
              <w:rPr>
                <w:rFonts w:hint="eastAsia" w:ascii="宋体" w:hAnsi="宋体" w:cs="宋体"/>
                <w:color w:val="000000"/>
                <w:sz w:val="24"/>
                <w:szCs w:val="24"/>
              </w:rPr>
            </w:pPr>
          </w:p>
        </w:tc>
        <w:tc>
          <w:tcPr>
            <w:tcW w:w="99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823" w:type="dxa"/>
            <w:tcBorders>
              <w:bottom w:val="single" w:color="000000" w:sz="4" w:space="0"/>
            </w:tcBorders>
            <w:noWrap w:val="0"/>
            <w:vAlign w:val="bottom"/>
          </w:tcPr>
          <w:p>
            <w:pPr>
              <w:pStyle w:val="4"/>
              <w:widowControl/>
              <w:jc w:val="left"/>
              <w:rPr>
                <w:rFonts w:ascii="Arial" w:hAnsi="Arial" w:cs="Arial"/>
                <w:color w:val="000000"/>
                <w:sz w:val="20"/>
                <w:szCs w:val="20"/>
              </w:rPr>
            </w:pPr>
          </w:p>
        </w:tc>
        <w:tc>
          <w:tcPr>
            <w:tcW w:w="2138" w:type="dxa"/>
            <w:gridSpan w:val="2"/>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450" w:hRule="atLeast"/>
          <w:jc w:val="center"/>
        </w:trPr>
        <w:tc>
          <w:tcPr>
            <w:tcW w:w="3802"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964"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本年支出合计</w:t>
            </w:r>
          </w:p>
        </w:tc>
        <w:tc>
          <w:tcPr>
            <w:tcW w:w="936"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99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823"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上缴上级支出</w:t>
            </w:r>
          </w:p>
        </w:tc>
        <w:tc>
          <w:tcPr>
            <w:tcW w:w="95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经营支出</w:t>
            </w:r>
          </w:p>
        </w:tc>
        <w:tc>
          <w:tcPr>
            <w:tcW w:w="1188"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对附属单位补助支出</w:t>
            </w:r>
          </w:p>
        </w:tc>
      </w:tr>
      <w:tr>
        <w:tblPrEx>
          <w:tblCellMar>
            <w:top w:w="15" w:type="dxa"/>
            <w:left w:w="108" w:type="dxa"/>
            <w:bottom w:w="15" w:type="dxa"/>
            <w:right w:w="108" w:type="dxa"/>
          </w:tblCellMar>
        </w:tblPrEx>
        <w:trPr>
          <w:trHeight w:val="975"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964" w:type="dxa"/>
            <w:vMerge w:val="continue"/>
            <w:tcBorders>
              <w:top w:val="nil"/>
              <w:left w:val="nil"/>
              <w:bottom w:val="single" w:color="000000" w:sz="4" w:space="0"/>
              <w:right w:val="single" w:color="000000" w:sz="4" w:space="0"/>
            </w:tcBorders>
            <w:noWrap w:val="0"/>
            <w:vAlign w:val="center"/>
          </w:tcPr>
          <w:p>
            <w:pPr>
              <w:rPr>
                <w:sz w:val="20"/>
              </w:rPr>
            </w:pPr>
          </w:p>
        </w:tc>
        <w:tc>
          <w:tcPr>
            <w:tcW w:w="936" w:type="dxa"/>
            <w:vMerge w:val="continue"/>
            <w:tcBorders>
              <w:top w:val="nil"/>
              <w:left w:val="nil"/>
              <w:bottom w:val="single" w:color="000000" w:sz="4" w:space="0"/>
              <w:right w:val="single" w:color="000000" w:sz="4" w:space="0"/>
            </w:tcBorders>
            <w:noWrap w:val="0"/>
            <w:vAlign w:val="center"/>
          </w:tcPr>
          <w:p>
            <w:pPr>
              <w:rPr>
                <w:sz w:val="20"/>
              </w:rPr>
            </w:pPr>
          </w:p>
        </w:tc>
        <w:tc>
          <w:tcPr>
            <w:tcW w:w="993" w:type="dxa"/>
            <w:vMerge w:val="continue"/>
            <w:tcBorders>
              <w:top w:val="nil"/>
              <w:left w:val="nil"/>
              <w:bottom w:val="single" w:color="000000" w:sz="4" w:space="0"/>
              <w:right w:val="single" w:color="000000" w:sz="4" w:space="0"/>
            </w:tcBorders>
            <w:noWrap w:val="0"/>
            <w:vAlign w:val="center"/>
          </w:tcPr>
          <w:p>
            <w:pPr>
              <w:rPr>
                <w:sz w:val="20"/>
              </w:rPr>
            </w:pPr>
          </w:p>
        </w:tc>
        <w:tc>
          <w:tcPr>
            <w:tcW w:w="823" w:type="dxa"/>
            <w:vMerge w:val="continue"/>
            <w:tcBorders>
              <w:top w:val="nil"/>
              <w:left w:val="nil"/>
              <w:bottom w:val="single" w:color="000000" w:sz="4" w:space="0"/>
              <w:right w:val="single" w:color="000000" w:sz="4" w:space="0"/>
            </w:tcBorders>
            <w:noWrap w:val="0"/>
            <w:vAlign w:val="center"/>
          </w:tcPr>
          <w:p>
            <w:pPr>
              <w:rPr>
                <w:sz w:val="20"/>
              </w:rPr>
            </w:pPr>
          </w:p>
        </w:tc>
        <w:tc>
          <w:tcPr>
            <w:tcW w:w="950" w:type="dxa"/>
            <w:vMerge w:val="continue"/>
            <w:tcBorders>
              <w:top w:val="nil"/>
              <w:left w:val="nil"/>
              <w:bottom w:val="single" w:color="000000" w:sz="4" w:space="0"/>
              <w:right w:val="single" w:color="000000" w:sz="4" w:space="0"/>
            </w:tcBorders>
            <w:noWrap w:val="0"/>
            <w:vAlign w:val="center"/>
          </w:tcPr>
          <w:p>
            <w:pPr>
              <w:rPr>
                <w:sz w:val="20"/>
              </w:rPr>
            </w:pPr>
          </w:p>
        </w:tc>
        <w:tc>
          <w:tcPr>
            <w:tcW w:w="1188"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0" w:hRule="atLeast"/>
          <w:jc w:val="center"/>
        </w:trPr>
        <w:tc>
          <w:tcPr>
            <w:tcW w:w="685"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92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92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2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公共安全支出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20405</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法院</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2040501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行政运行</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文化旅游体育与传媒支出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文化和旅游</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2070102</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20703</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体育</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2070302</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人力资源和社会保障管理事务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248.99</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248.99</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行政运行</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33.51</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33.51</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2080102</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8.91</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8.91</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2080105</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劳动保障监察</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社会保险经办机构</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其他人力资源和社会保障管理事务支出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201.56</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201.56</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行政事业单位养老支出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1,617.66</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1,617.66</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行政单位离退休</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7.00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7.00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2080505</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机关事业单位基本养老保险缴费支出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1,400.00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1,400.00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2080506</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机关事业单位职业年金缴费支出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210.66</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210.66</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其他社会保障和就业支出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2089901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其他社会保障和就业支出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卫生健康支出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21004</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公共卫生</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2100499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其他公共卫生支出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行政事业单位医疗</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338.61</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338.61</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行政单位医疗</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0.67</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0.67</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其他行政事业单位医疗支出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337.94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337.94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节能环保支出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环境保护管理事务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2110199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其他环境保护管理事务支出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城乡社区支出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城乡社区管理事务</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2120199</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其他城乡社区管理事务支出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住房保障支出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22102</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住房改革支出</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450" w:hRule="atLeast"/>
          <w:jc w:val="center"/>
        </w:trPr>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2210201</w:t>
            </w:r>
          </w:p>
        </w:tc>
        <w:tc>
          <w:tcPr>
            <w:tcW w:w="1273"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住房公积金</w:t>
            </w:r>
          </w:p>
        </w:tc>
        <w:tc>
          <w:tcPr>
            <w:tcW w:w="964"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3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99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23"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95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18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四、财政拨款收入支出决算总表</w:t>
      </w:r>
    </w:p>
    <w:tbl>
      <w:tblPr>
        <w:tblStyle w:val="2"/>
        <w:tblW w:w="9795" w:type="dxa"/>
        <w:jc w:val="center"/>
        <w:tblLayout w:type="fixed"/>
        <w:tblCellMar>
          <w:top w:w="15" w:type="dxa"/>
          <w:left w:w="108" w:type="dxa"/>
          <w:bottom w:w="15" w:type="dxa"/>
          <w:right w:w="108" w:type="dxa"/>
        </w:tblCellMar>
      </w:tblPr>
      <w:tblGrid>
        <w:gridCol w:w="2454"/>
        <w:gridCol w:w="620"/>
        <w:gridCol w:w="697"/>
        <w:gridCol w:w="819"/>
        <w:gridCol w:w="750"/>
        <w:gridCol w:w="315"/>
        <w:gridCol w:w="1365"/>
        <w:gridCol w:w="1237"/>
        <w:gridCol w:w="1538"/>
      </w:tblGrid>
      <w:tr>
        <w:tblPrEx>
          <w:tblCellMar>
            <w:top w:w="15" w:type="dxa"/>
            <w:left w:w="108" w:type="dxa"/>
            <w:bottom w:w="15" w:type="dxa"/>
            <w:right w:w="108" w:type="dxa"/>
          </w:tblCellMar>
        </w:tblPrEx>
        <w:trPr>
          <w:trHeight w:val="285" w:hRule="atLeast"/>
          <w:jc w:val="center"/>
        </w:trPr>
        <w:tc>
          <w:tcPr>
            <w:tcW w:w="2454" w:type="dxa"/>
            <w:noWrap w:val="0"/>
            <w:vAlign w:val="bottom"/>
          </w:tcPr>
          <w:p>
            <w:pPr>
              <w:pStyle w:val="4"/>
              <w:widowControl/>
              <w:jc w:val="left"/>
              <w:rPr>
                <w:rFonts w:ascii="Arial" w:hAnsi="Arial" w:cs="Arial"/>
                <w:color w:val="000000"/>
                <w:sz w:val="20"/>
                <w:szCs w:val="20"/>
              </w:rPr>
            </w:pPr>
          </w:p>
        </w:tc>
        <w:tc>
          <w:tcPr>
            <w:tcW w:w="1317" w:type="dxa"/>
            <w:gridSpan w:val="2"/>
            <w:noWrap w:val="0"/>
            <w:vAlign w:val="bottom"/>
          </w:tcPr>
          <w:p>
            <w:pPr>
              <w:pStyle w:val="4"/>
              <w:widowControl/>
              <w:jc w:val="left"/>
              <w:rPr>
                <w:rFonts w:ascii="Arial" w:hAnsi="Arial" w:cs="Arial"/>
                <w:color w:val="000000"/>
                <w:sz w:val="20"/>
                <w:szCs w:val="20"/>
              </w:rPr>
            </w:pPr>
          </w:p>
        </w:tc>
        <w:tc>
          <w:tcPr>
            <w:tcW w:w="1569" w:type="dxa"/>
            <w:gridSpan w:val="2"/>
            <w:noWrap w:val="0"/>
            <w:vAlign w:val="bottom"/>
          </w:tcPr>
          <w:p>
            <w:pPr>
              <w:pStyle w:val="4"/>
              <w:widowControl/>
              <w:jc w:val="left"/>
              <w:rPr>
                <w:rFonts w:ascii="Arial" w:hAnsi="Arial" w:cs="Arial"/>
                <w:color w:val="000000"/>
                <w:sz w:val="20"/>
                <w:szCs w:val="20"/>
              </w:rPr>
            </w:pPr>
          </w:p>
        </w:tc>
        <w:tc>
          <w:tcPr>
            <w:tcW w:w="4455" w:type="dxa"/>
            <w:gridSpan w:val="4"/>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公开04表</w:t>
            </w:r>
          </w:p>
        </w:tc>
      </w:tr>
      <w:tr>
        <w:tblPrEx>
          <w:tblCellMar>
            <w:top w:w="15" w:type="dxa"/>
            <w:left w:w="108" w:type="dxa"/>
            <w:bottom w:w="15" w:type="dxa"/>
            <w:right w:w="108" w:type="dxa"/>
          </w:tblCellMar>
        </w:tblPrEx>
        <w:trPr>
          <w:trHeight w:val="270" w:hRule="atLeast"/>
          <w:jc w:val="center"/>
        </w:trPr>
        <w:tc>
          <w:tcPr>
            <w:tcW w:w="3771" w:type="dxa"/>
            <w:gridSpan w:val="3"/>
            <w:tcBorders>
              <w:bottom w:val="single" w:color="000000" w:sz="4" w:space="0"/>
            </w:tcBorders>
            <w:noWrap w:val="0"/>
            <w:vAlign w:val="bottom"/>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1569" w:type="dxa"/>
            <w:gridSpan w:val="2"/>
            <w:tcBorders>
              <w:bottom w:val="single" w:color="000000" w:sz="4" w:space="0"/>
            </w:tcBorders>
            <w:noWrap w:val="0"/>
            <w:vAlign w:val="bottom"/>
          </w:tcPr>
          <w:p>
            <w:pPr>
              <w:pStyle w:val="4"/>
              <w:widowControl/>
              <w:jc w:val="left"/>
              <w:rPr>
                <w:rFonts w:ascii="Arial" w:hAnsi="Arial" w:cs="Arial"/>
                <w:color w:val="000000"/>
                <w:sz w:val="20"/>
                <w:szCs w:val="20"/>
              </w:rPr>
            </w:pPr>
          </w:p>
        </w:tc>
        <w:tc>
          <w:tcPr>
            <w:tcW w:w="4455" w:type="dxa"/>
            <w:gridSpan w:val="4"/>
            <w:tcBorders>
              <w:bottom w:val="single" w:color="000000" w:sz="4" w:space="0"/>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15" w:type="dxa"/>
            <w:left w:w="108" w:type="dxa"/>
            <w:bottom w:w="15" w:type="dxa"/>
            <w:right w:w="108" w:type="dxa"/>
          </w:tblCellMar>
        </w:tblPrEx>
        <w:trPr>
          <w:trHeight w:val="300" w:hRule="atLeast"/>
          <w:jc w:val="center"/>
        </w:trPr>
        <w:tc>
          <w:tcPr>
            <w:tcW w:w="307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收     入</w:t>
            </w:r>
          </w:p>
        </w:tc>
        <w:tc>
          <w:tcPr>
            <w:tcW w:w="6721" w:type="dxa"/>
            <w:gridSpan w:val="7"/>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支     出</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金额</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w:t>
            </w:r>
          </w:p>
        </w:tc>
        <w:tc>
          <w:tcPr>
            <w:tcW w:w="106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小计</w:t>
            </w:r>
          </w:p>
        </w:tc>
        <w:tc>
          <w:tcPr>
            <w:tcW w:w="13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一般公共预算财政拨款</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政府性基金预算财政拨款</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国有资本经营预算财政拨款</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1</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栏次</w:t>
            </w:r>
          </w:p>
        </w:tc>
        <w:tc>
          <w:tcPr>
            <w:tcW w:w="1065"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2</w:t>
            </w:r>
          </w:p>
        </w:tc>
        <w:tc>
          <w:tcPr>
            <w:tcW w:w="136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3</w:t>
            </w:r>
          </w:p>
        </w:tc>
        <w:tc>
          <w:tcPr>
            <w:tcW w:w="1237"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ascii="Times New Roman" w:hAnsi="Times New Roman" w:cs="Times New Roman"/>
                <w:color w:val="000000"/>
                <w:sz w:val="32"/>
                <w:szCs w:val="32"/>
              </w:rPr>
            </w:pPr>
            <w:r>
              <w:rPr>
                <w:rFonts w:hint="eastAsia" w:ascii="宋体" w:hAnsi="宋体" w:cs="宋体"/>
                <w:color w:val="000000"/>
                <w:sz w:val="22"/>
                <w:szCs w:val="22"/>
              </w:rPr>
              <w:t>4</w:t>
            </w:r>
          </w:p>
        </w:tc>
        <w:tc>
          <w:tcPr>
            <w:tcW w:w="153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0"/>
                <w:szCs w:val="20"/>
              </w:rPr>
              <w:t>5</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一、一般公共服务支出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二、外交支出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三、国有资本经营预算财政拨款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三、国防支出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四、公共安全支出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五、教育支出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六、科学技术支出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七、文化旅游体育与传媒支出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八、社会保障和就业支出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九、卫生健康支出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十、节能环保支出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十一、城乡社区支出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十二、农林水支出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十三、交通运输支出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十四、资源勘探工业信息等支出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十五、商业服务业等支出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十六、金融支出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十七、援助其他地区支出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十八、自然资源海洋气象等支出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十九、住房保障支出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二十、粮油物资储备支出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二十一、国有资本经营预算支出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二十二、灾害防治及应急管理支出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p>
        </w:tc>
        <w:tc>
          <w:tcPr>
            <w:tcW w:w="6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ascii="Times New Roman" w:hAnsi="Times New Roman" w:cs="Times New Roman"/>
                <w:color w:val="000000"/>
                <w:sz w:val="32"/>
                <w:szCs w:val="32"/>
              </w:rPr>
            </w:pP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2"/>
                <w:szCs w:val="22"/>
              </w:rPr>
              <w:t>二十三、其他支出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b/>
                <w:color w:val="000000"/>
                <w:sz w:val="22"/>
                <w:szCs w:val="22"/>
              </w:rPr>
            </w:pPr>
            <w:r>
              <w:rPr>
                <w:rFonts w:hint="eastAsia" w:ascii="宋体" w:hAnsi="宋体" w:cs="宋体"/>
                <w:b/>
                <w:color w:val="000000"/>
                <w:sz w:val="22"/>
                <w:szCs w:val="22"/>
              </w:rPr>
              <w:t>本年收入合计</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二十四、债务还本支出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年初财政拨款结转和结余</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二十五、债务付息支出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一、一般公共预算财政拨款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二十六、抗疫特别国债安排的支出</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二、政府性基金预算财政拨款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本年支出合计</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b/>
                <w:color w:val="000000"/>
                <w:sz w:val="22"/>
                <w:szCs w:val="22"/>
              </w:rPr>
            </w:pPr>
            <w:r>
              <w:rPr>
                <w:rFonts w:hint="eastAsia" w:ascii="宋体" w:hAnsi="宋体" w:cs="宋体"/>
                <w:color w:val="000000"/>
                <w:sz w:val="22"/>
                <w:szCs w:val="22"/>
              </w:rPr>
              <w:t>三、国有资本经营预算财政拨款</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年末财政拨款结转和结余</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300" w:hRule="atLeast"/>
          <w:jc w:val="center"/>
        </w:trPr>
        <w:tc>
          <w:tcPr>
            <w:tcW w:w="2454"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b/>
                <w:color w:val="000000"/>
                <w:sz w:val="22"/>
                <w:szCs w:val="22"/>
              </w:rPr>
              <w:t>总计</w:t>
            </w:r>
          </w:p>
        </w:tc>
        <w:tc>
          <w:tcPr>
            <w:tcW w:w="620"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516" w:type="dxa"/>
            <w:gridSpan w:val="2"/>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b/>
                <w:color w:val="000000"/>
                <w:sz w:val="22"/>
                <w:szCs w:val="22"/>
              </w:rPr>
              <w:t>总计</w:t>
            </w:r>
          </w:p>
        </w:tc>
        <w:tc>
          <w:tcPr>
            <w:tcW w:w="1065" w:type="dxa"/>
            <w:gridSpan w:val="2"/>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365"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4,392.86</w:t>
            </w:r>
          </w:p>
        </w:tc>
        <w:tc>
          <w:tcPr>
            <w:tcW w:w="1237"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153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五、一般公共预算财政拨款支出决算表</w:t>
      </w:r>
    </w:p>
    <w:tbl>
      <w:tblPr>
        <w:tblStyle w:val="2"/>
        <w:tblW w:w="0" w:type="auto"/>
        <w:jc w:val="center"/>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jc w:val="center"/>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公开05表</w:t>
            </w:r>
          </w:p>
        </w:tc>
      </w:tr>
      <w:tr>
        <w:tblPrEx>
          <w:tblCellMar>
            <w:top w:w="15" w:type="dxa"/>
            <w:left w:w="108" w:type="dxa"/>
            <w:bottom w:w="15" w:type="dxa"/>
            <w:right w:w="108" w:type="dxa"/>
          </w:tblCellMar>
        </w:tblPrEx>
        <w:trPr>
          <w:trHeight w:val="450" w:hRule="atLeast"/>
          <w:jc w:val="center"/>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jc w:val="center"/>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870" w:hRule="atLeast"/>
          <w:jc w:val="center"/>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jc w:val="center"/>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4,392.86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b/>
                <w:bCs/>
                <w:color w:val="000000"/>
                <w:sz w:val="22"/>
                <w:szCs w:val="22"/>
              </w:rPr>
            </w:pPr>
            <w:r>
              <w:rPr>
                <w:rFonts w:hint="eastAsia" w:cs="Arial"/>
                <w:b/>
                <w:bCs/>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公共安全支出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20405</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法院</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2040501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行政运行</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文化旅游体育与传媒支出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文化和旅游</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2070102</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20703</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体育</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2070302</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600.00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2,147.79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人力资源和社会保障管理事务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248.99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248.99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行政运行</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33.51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33.51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2080102</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一般行政管理事务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8.91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8.91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2080105</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劳动保障监察</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2080109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社会保险经办机构</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2080199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其他人力资源和社会保障管理事务支出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201.56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201.56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行政事业单位养老支出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1,617.66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1,617.66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行政单位离退休</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7.00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7.00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63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2080505</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机关事业单位基本养老保险缴费支出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1,400.00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1,400.00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79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2080506</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机关事业单位职业年金缴费支出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210.66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210.66</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1"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539"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2089901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其他社会保障和就业支出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281.14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卫生健康支出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1,138.61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21004</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公共卫生</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2100499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其他公共卫生支出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800.00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行政事业单位医疗</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338.61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338.61</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行政单位医疗</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0.67</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0.67</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2101199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其他行政事业单位医疗支出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337.94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337.94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节能环保支出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环境保护管理事务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2110199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其他环境保护管理事务支出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30.09</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城乡社区支出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城乡社区管理事务</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2120199</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其他城乡社区管理事务支出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437.24</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住房保障支出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03"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22102</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ascii="宋体" w:hAnsi="宋体" w:eastAsia="宋体" w:cs="宋体"/>
                <w:color w:val="000000"/>
                <w:sz w:val="22"/>
                <w:szCs w:val="22"/>
              </w:rPr>
              <w:t>住房改革支出</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15" w:type="dxa"/>
            <w:left w:w="108" w:type="dxa"/>
            <w:bottom w:w="15" w:type="dxa"/>
            <w:right w:w="108" w:type="dxa"/>
          </w:tblCellMar>
        </w:tblPrEx>
        <w:trPr>
          <w:trHeight w:val="814" w:hRule="atLeast"/>
          <w:jc w:val="center"/>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2210201</w:t>
            </w:r>
          </w:p>
        </w:tc>
        <w:tc>
          <w:tcPr>
            <w:tcW w:w="1425" w:type="dxa"/>
            <w:tcBorders>
              <w:top w:val="single" w:color="000000" w:sz="4" w:space="0"/>
              <w:left w:val="nil"/>
              <w:bottom w:val="single" w:color="000000" w:sz="4" w:space="0"/>
              <w:right w:val="single" w:color="000000" w:sz="4" w:space="0"/>
            </w:tcBorders>
            <w:noWrap w:val="0"/>
            <w:vAlign w:val="center"/>
          </w:tcPr>
          <w:p>
            <w:pPr>
              <w:rPr>
                <w:rFonts w:ascii="宋体" w:hAnsi="宋体" w:cs="Arial"/>
                <w:color w:val="000000"/>
                <w:sz w:val="22"/>
                <w:szCs w:val="22"/>
              </w:rPr>
            </w:pPr>
            <w:r>
              <w:rPr>
                <w:rFonts w:hint="eastAsia" w:cs="Arial"/>
                <w:color w:val="000000"/>
                <w:sz w:val="22"/>
                <w:szCs w:val="22"/>
              </w:rPr>
              <w:t xml:space="preserve">  </w:t>
            </w:r>
            <w:r>
              <w:rPr>
                <w:rFonts w:hint="eastAsia" w:ascii="宋体" w:hAnsi="宋体" w:eastAsia="宋体" w:cs="宋体"/>
                <w:color w:val="000000"/>
                <w:sz w:val="22"/>
                <w:szCs w:val="22"/>
              </w:rPr>
              <w:t>住房公积金</w:t>
            </w:r>
          </w:p>
        </w:tc>
        <w:tc>
          <w:tcPr>
            <w:tcW w:w="1252"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2191"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六、一般公共预算财政拨款基本支出决算表</w:t>
      </w:r>
    </w:p>
    <w:tbl>
      <w:tblPr>
        <w:tblStyle w:val="2"/>
        <w:tblW w:w="9666" w:type="dxa"/>
        <w:jc w:val="center"/>
        <w:tblLayout w:type="fixed"/>
        <w:tblCellMar>
          <w:top w:w="0" w:type="dxa"/>
          <w:left w:w="108" w:type="dxa"/>
          <w:bottom w:w="0" w:type="dxa"/>
          <w:right w:w="108" w:type="dxa"/>
        </w:tblCellMar>
      </w:tblPr>
      <w:tblGrid>
        <w:gridCol w:w="732"/>
        <w:gridCol w:w="2080"/>
        <w:gridCol w:w="586"/>
        <w:gridCol w:w="806"/>
        <w:gridCol w:w="1525"/>
        <w:gridCol w:w="499"/>
        <w:gridCol w:w="728"/>
        <w:gridCol w:w="2212"/>
        <w:gridCol w:w="498"/>
      </w:tblGrid>
      <w:tr>
        <w:tblPrEx>
          <w:tblCellMar>
            <w:top w:w="0" w:type="dxa"/>
            <w:left w:w="108" w:type="dxa"/>
            <w:bottom w:w="0" w:type="dxa"/>
            <w:right w:w="108" w:type="dxa"/>
          </w:tblCellMar>
        </w:tblPrEx>
        <w:trPr>
          <w:trHeight w:val="225" w:hRule="atLeast"/>
          <w:jc w:val="center"/>
        </w:trPr>
        <w:tc>
          <w:tcPr>
            <w:tcW w:w="732"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2080"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586" w:type="dxa"/>
            <w:tcBorders>
              <w:top w:val="nil"/>
              <w:left w:val="nil"/>
              <w:bottom w:val="nil"/>
              <w:right w:val="nil"/>
            </w:tcBorders>
            <w:shd w:val="clear" w:color="auto" w:fill="FFFFFF"/>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　</w:t>
            </w:r>
          </w:p>
        </w:tc>
        <w:tc>
          <w:tcPr>
            <w:tcW w:w="806"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1525"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499"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728" w:type="dxa"/>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tc>
        <w:tc>
          <w:tcPr>
            <w:tcW w:w="2710" w:type="dxa"/>
            <w:gridSpan w:val="2"/>
            <w:tcBorders>
              <w:top w:val="nil"/>
              <w:left w:val="nil"/>
              <w:bottom w:val="nil"/>
              <w:right w:val="nil"/>
            </w:tcBorders>
            <w:shd w:val="clear" w:color="auto" w:fill="FFFFFF"/>
            <w:noWrap w:val="0"/>
            <w:vAlign w:val="center"/>
          </w:tcPr>
          <w:p>
            <w:pPr>
              <w:pStyle w:val="4"/>
              <w:widowControl/>
              <w:jc w:val="left"/>
              <w:rPr>
                <w:rFonts w:hint="eastAsia" w:ascii="宋体" w:hAnsi="宋体" w:cs="宋体"/>
                <w:color w:val="000000"/>
                <w:sz w:val="20"/>
                <w:szCs w:val="20"/>
              </w:rPr>
            </w:pPr>
            <w:r>
              <w:rPr>
                <w:rFonts w:hint="eastAsia" w:ascii="宋体" w:hAnsi="宋体" w:cs="宋体"/>
                <w:color w:val="000000"/>
                <w:sz w:val="20"/>
                <w:szCs w:val="20"/>
              </w:rPr>
              <w:t>　</w:t>
            </w:r>
          </w:p>
          <w:p>
            <w:pPr>
              <w:pStyle w:val="4"/>
              <w:widowControl/>
              <w:ind w:right="97"/>
              <w:jc w:val="right"/>
              <w:rPr>
                <w:rFonts w:hint="eastAsia" w:ascii="宋体" w:hAnsi="宋体" w:cs="宋体"/>
                <w:color w:val="000000"/>
                <w:sz w:val="20"/>
                <w:szCs w:val="20"/>
              </w:rPr>
            </w:pPr>
            <w:r>
              <w:rPr>
                <w:rFonts w:hint="eastAsia" w:ascii="宋体" w:hAnsi="宋体" w:cs="宋体"/>
                <w:color w:val="000000"/>
                <w:sz w:val="20"/>
                <w:szCs w:val="20"/>
              </w:rPr>
              <w:t>公开06表</w:t>
            </w:r>
          </w:p>
        </w:tc>
      </w:tr>
      <w:tr>
        <w:tblPrEx>
          <w:tblCellMar>
            <w:top w:w="0" w:type="dxa"/>
            <w:left w:w="108" w:type="dxa"/>
            <w:bottom w:w="0" w:type="dxa"/>
            <w:right w:w="108" w:type="dxa"/>
          </w:tblCellMar>
        </w:tblPrEx>
        <w:trPr>
          <w:trHeight w:val="240" w:hRule="atLeast"/>
          <w:jc w:val="center"/>
        </w:trPr>
        <w:tc>
          <w:tcPr>
            <w:tcW w:w="4204" w:type="dxa"/>
            <w:gridSpan w:val="4"/>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ascii="Arial" w:hAnsi="Arial" w:cs="Arial"/>
                <w:color w:val="000000"/>
                <w:sz w:val="20"/>
                <w:szCs w:val="20"/>
              </w:rPr>
              <w:t>：</w:t>
            </w:r>
            <w:r>
              <w:rPr>
                <w:rFonts w:hint="eastAsia" w:ascii="Arial" w:hAnsi="Arial" w:cs="Arial"/>
                <w:color w:val="000000"/>
                <w:sz w:val="20"/>
                <w:szCs w:val="20"/>
                <w:lang w:eastAsia="zh-CN"/>
              </w:rPr>
              <w:t>八公山区人力资源和社会保障局</w:t>
            </w:r>
          </w:p>
        </w:tc>
        <w:tc>
          <w:tcPr>
            <w:tcW w:w="1525"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499"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728" w:type="dxa"/>
            <w:tcBorders>
              <w:top w:val="nil"/>
              <w:left w:val="nil"/>
              <w:bottom w:val="single" w:color="000000" w:sz="4" w:space="0"/>
              <w:right w:val="nil"/>
            </w:tcBorders>
            <w:noWrap w:val="0"/>
            <w:vAlign w:val="center"/>
          </w:tcPr>
          <w:p>
            <w:pPr>
              <w:pStyle w:val="4"/>
              <w:widowControl/>
              <w:jc w:val="left"/>
              <w:rPr>
                <w:rFonts w:ascii="Arial" w:hAnsi="Arial" w:cs="Arial"/>
                <w:color w:val="000000"/>
                <w:sz w:val="20"/>
                <w:szCs w:val="20"/>
              </w:rPr>
            </w:pPr>
          </w:p>
        </w:tc>
        <w:tc>
          <w:tcPr>
            <w:tcW w:w="2710" w:type="dxa"/>
            <w:gridSpan w:val="2"/>
            <w:tcBorders>
              <w:top w:val="nil"/>
              <w:left w:val="nil"/>
              <w:bottom w:val="single" w:color="000000" w:sz="4" w:space="0"/>
              <w:right w:val="nil"/>
            </w:tcBorders>
            <w:noWrap w:val="0"/>
            <w:vAlign w:val="center"/>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trHeight w:val="495"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科目编码</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科目名称</w:t>
            </w:r>
          </w:p>
        </w:tc>
        <w:tc>
          <w:tcPr>
            <w:tcW w:w="498"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0"/>
                <w:szCs w:val="20"/>
              </w:rPr>
            </w:pPr>
            <w:r>
              <w:rPr>
                <w:rFonts w:hint="eastAsia" w:ascii="宋体" w:hAnsi="宋体" w:cs="宋体"/>
                <w:color w:val="000000"/>
                <w:sz w:val="20"/>
                <w:szCs w:val="20"/>
              </w:rPr>
              <w:t>决算数</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工资福利支出</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4,082.76</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商品和服务支出</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19.95</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债务利息及费用支出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基本工资</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24.95</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30201</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5.39</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30701</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国内债务付息</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津贴补贴</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1.94</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30202</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印刷费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0.05</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30702</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国外债务付息</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奖金</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819.27</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30203</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咨询费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30703</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国内债务发行费用</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30106</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伙食补助费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30204</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手续费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30704</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国外债务发行费用</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30107</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绩效工资</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30205</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水费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资本性支出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30108</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机关事业单位基本养老保险费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2,030.09</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30206</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电费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31001</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房屋建筑物购建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30109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职业年金缴费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210.66</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30207</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邮电费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0.39</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31002</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办公设备购置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2.13</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30110</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职工基本医疗保险缴费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381.45</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30208</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取暖费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31003</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专用设备购置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公务员医疗补助缴费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99.68</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30209</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物业管理费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31005</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基础设施建设</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其他社会保障缴费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393.32</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30211</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差旅费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0.90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31006</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大型修缮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住房公积金</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22.00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30212</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因公出国（境）费用</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31007</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信息网络及软件购置更新</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30114</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30213</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维修（护）费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0.16</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31008</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物资储备</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30199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其他工资福利支出</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99.40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30214</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租赁费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31009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土地补偿</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对个人和家庭的补助</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288.02</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30215</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会议费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0.03</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31010</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安置补助</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30301</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离休费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30216</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培训费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0.11</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31011</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地上附着物和青苗补偿</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30302</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退休费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5.00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30217</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公务招待费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0.06</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31012</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拆迁补偿</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30303</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退职（役）费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30218</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专用材料费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31013</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公务用车购置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30304</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抚恤金</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30224</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被装购置费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31019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其他交通工具购置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30305</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生活补助</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283.02</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30225</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专用燃料费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31021</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文物和陈列品购置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30306</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救济费</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30226</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劳务费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0.10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31022</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无形资产购置</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30307</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医疗费补助</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30227</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委托业务费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8.66</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31099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其他资本性支出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30308</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助学金</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30228</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工会经费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1.59</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对企业补助</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30309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奖励金</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30229</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福利费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1.53</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31201</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资本金注入</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30310</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个人农业生产补贴</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30231</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公务用车运行维护费</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31203</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政府投资基金股权投资</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30399</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对其他个人和家庭的补助支出</w:t>
            </w:r>
          </w:p>
        </w:tc>
        <w:tc>
          <w:tcPr>
            <w:tcW w:w="586"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30239</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其他交通费用</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31204</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费用补贴</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30240</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税金及附加费用</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31205</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利息补贴</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30299</w:t>
            </w: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其他商品和服务支出</w:t>
            </w:r>
          </w:p>
        </w:tc>
        <w:tc>
          <w:tcPr>
            <w:tcW w:w="499"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0.98</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31299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其他对企业补助</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其他支出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39906</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赠与</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39907</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国家赔偿费用支出</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208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39908</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对民间非营利组织和群众性自治组织补贴</w:t>
            </w:r>
          </w:p>
        </w:tc>
        <w:tc>
          <w:tcPr>
            <w:tcW w:w="498" w:type="dxa"/>
            <w:tcBorders>
              <w:top w:val="single" w:color="000000" w:sz="4" w:space="0"/>
              <w:left w:val="nil"/>
              <w:bottom w:val="single" w:color="000000" w:sz="4" w:space="0"/>
              <w:right w:val="single" w:color="000000" w:sz="4" w:space="0"/>
            </w:tcBorders>
            <w:noWrap w:val="0"/>
            <w:vAlign w:val="center"/>
          </w:tcPr>
          <w:p>
            <w:pPr>
              <w:jc w:val="right"/>
              <w:rPr>
                <w:rFonts w:ascii="宋体" w:hAnsi="宋体" w:cs="Arial"/>
                <w:color w:val="000000"/>
                <w:sz w:val="22"/>
                <w:szCs w:val="22"/>
              </w:rPr>
            </w:pPr>
            <w:r>
              <w:rPr>
                <w:rFonts w:hint="eastAsia" w:cs="Arial"/>
                <w:color w:val="000000"/>
                <w:sz w:val="22"/>
                <w:szCs w:val="22"/>
              </w:rPr>
              <w:t>0.00</w:t>
            </w:r>
          </w:p>
        </w:tc>
      </w:tr>
      <w:tr>
        <w:tblPrEx>
          <w:tblCellMar>
            <w:top w:w="0" w:type="dxa"/>
            <w:left w:w="108" w:type="dxa"/>
            <w:bottom w:w="0" w:type="dxa"/>
            <w:right w:w="108" w:type="dxa"/>
          </w:tblCellMar>
        </w:tblPrEx>
        <w:trPr>
          <w:trHeight w:val="222" w:hRule="atLeast"/>
          <w:jc w:val="center"/>
        </w:trPr>
        <w:tc>
          <w:tcPr>
            <w:tcW w:w="281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　</w:t>
            </w:r>
          </w:p>
        </w:tc>
        <w:tc>
          <w:tcPr>
            <w:tcW w:w="58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806"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15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p>
        </w:tc>
        <w:tc>
          <w:tcPr>
            <w:tcW w:w="499"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72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39999</w:t>
            </w:r>
          </w:p>
        </w:tc>
        <w:tc>
          <w:tcPr>
            <w:tcW w:w="2212"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xml:space="preserve">  其他支出</w:t>
            </w:r>
          </w:p>
        </w:tc>
        <w:tc>
          <w:tcPr>
            <w:tcW w:w="498" w:type="dxa"/>
            <w:tcBorders>
              <w:top w:val="single" w:color="000000" w:sz="4" w:space="0"/>
              <w:left w:val="nil"/>
              <w:bottom w:val="single" w:color="000000" w:sz="4" w:space="0"/>
              <w:right w:val="single" w:color="000000" w:sz="4" w:space="0"/>
            </w:tcBorders>
            <w:noWrap w:val="0"/>
            <w:vAlign w:val="center"/>
          </w:tcPr>
          <w:p>
            <w:pPr>
              <w:jc w:val="left"/>
              <w:rPr>
                <w:rFonts w:ascii="宋体" w:hAnsi="宋体" w:cs="Arial"/>
                <w:color w:val="000000"/>
                <w:sz w:val="22"/>
                <w:szCs w:val="22"/>
              </w:rPr>
            </w:pPr>
            <w:r>
              <w:rPr>
                <w:rFonts w:hint="eastAsia" w:cs="Arial"/>
                <w:color w:val="000000"/>
                <w:sz w:val="22"/>
                <w:szCs w:val="22"/>
              </w:rPr>
              <w:t>0.00</w:t>
            </w:r>
          </w:p>
          <w:p>
            <w:pPr>
              <w:pStyle w:val="4"/>
              <w:widowControl/>
              <w:jc w:val="left"/>
              <w:rPr>
                <w:rFonts w:hint="eastAsia" w:ascii="宋体" w:hAnsi="宋体" w:cs="宋体"/>
                <w:color w:val="000000"/>
                <w:sz w:val="18"/>
                <w:szCs w:val="18"/>
              </w:rPr>
            </w:pPr>
          </w:p>
        </w:tc>
      </w:tr>
      <w:tr>
        <w:tblPrEx>
          <w:tblCellMar>
            <w:top w:w="0" w:type="dxa"/>
            <w:left w:w="108" w:type="dxa"/>
            <w:bottom w:w="0" w:type="dxa"/>
            <w:right w:w="108" w:type="dxa"/>
          </w:tblCellMar>
        </w:tblPrEx>
        <w:trPr>
          <w:trHeight w:val="222" w:hRule="atLeast"/>
          <w:jc w:val="center"/>
        </w:trPr>
        <w:tc>
          <w:tcPr>
            <w:tcW w:w="281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人员经费合计</w:t>
            </w:r>
          </w:p>
        </w:tc>
        <w:tc>
          <w:tcPr>
            <w:tcW w:w="586" w:type="dxa"/>
            <w:tcBorders>
              <w:top w:val="single" w:color="000000" w:sz="4" w:space="0"/>
              <w:left w:val="nil"/>
              <w:bottom w:val="single" w:color="000000" w:sz="4" w:space="0"/>
              <w:right w:val="single" w:color="000000" w:sz="4" w:space="0"/>
            </w:tcBorders>
            <w:noWrap w:val="0"/>
            <w:vAlign w:val="center"/>
          </w:tcPr>
          <w:p>
            <w:pPr>
              <w:jc w:val="left"/>
              <w:rPr>
                <w:rFonts w:ascii="宋体" w:hAnsi="宋体" w:cs="Arial"/>
                <w:color w:val="000000"/>
                <w:sz w:val="22"/>
                <w:szCs w:val="22"/>
              </w:rPr>
            </w:pPr>
            <w:r>
              <w:rPr>
                <w:rFonts w:hint="eastAsia" w:cs="Arial"/>
                <w:color w:val="000000"/>
                <w:sz w:val="22"/>
                <w:szCs w:val="22"/>
              </w:rPr>
              <w:t>4,370.78</w:t>
            </w:r>
          </w:p>
          <w:p>
            <w:pPr>
              <w:pStyle w:val="4"/>
              <w:widowControl/>
              <w:jc w:val="left"/>
              <w:rPr>
                <w:rFonts w:hint="eastAsia" w:ascii="宋体" w:hAnsi="宋体" w:cs="宋体"/>
                <w:color w:val="000000"/>
                <w:sz w:val="18"/>
                <w:szCs w:val="18"/>
              </w:rPr>
            </w:pPr>
            <w:r>
              <w:rPr>
                <w:rFonts w:hint="eastAsia" w:ascii="宋体" w:hAnsi="宋体" w:cs="宋体"/>
                <w:color w:val="000000"/>
                <w:sz w:val="18"/>
                <w:szCs w:val="18"/>
              </w:rPr>
              <w:t>　</w:t>
            </w:r>
          </w:p>
        </w:tc>
        <w:tc>
          <w:tcPr>
            <w:tcW w:w="5770" w:type="dxa"/>
            <w:gridSpan w:val="5"/>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18"/>
                <w:szCs w:val="18"/>
              </w:rPr>
            </w:pPr>
            <w:r>
              <w:rPr>
                <w:rFonts w:hint="eastAsia" w:ascii="宋体" w:hAnsi="宋体" w:cs="宋体"/>
                <w:color w:val="000000"/>
                <w:sz w:val="18"/>
                <w:szCs w:val="18"/>
              </w:rPr>
              <w:t>公用经费合计</w:t>
            </w:r>
          </w:p>
        </w:tc>
        <w:tc>
          <w:tcPr>
            <w:tcW w:w="498" w:type="dxa"/>
            <w:tcBorders>
              <w:top w:val="single" w:color="000000" w:sz="4" w:space="0"/>
              <w:left w:val="nil"/>
              <w:bottom w:val="single" w:color="000000" w:sz="4" w:space="0"/>
              <w:right w:val="single" w:color="000000" w:sz="4" w:space="0"/>
            </w:tcBorders>
            <w:noWrap w:val="0"/>
            <w:vAlign w:val="center"/>
          </w:tcPr>
          <w:p>
            <w:pPr>
              <w:pStyle w:val="4"/>
              <w:widowControl/>
              <w:jc w:val="left"/>
              <w:rPr>
                <w:rFonts w:ascii="宋体" w:hAnsi="宋体" w:cs="宋体"/>
                <w:color w:val="000000"/>
                <w:sz w:val="18"/>
                <w:szCs w:val="18"/>
              </w:rPr>
            </w:pPr>
            <w:r>
              <w:rPr>
                <w:rFonts w:hint="eastAsia" w:ascii="宋体" w:hAnsi="宋体" w:cs="宋体"/>
                <w:color w:val="000000"/>
                <w:sz w:val="18"/>
                <w:szCs w:val="18"/>
              </w:rPr>
              <w:t>　</w:t>
            </w:r>
          </w:p>
          <w:p>
            <w:pPr>
              <w:jc w:val="left"/>
              <w:rPr>
                <w:rFonts w:ascii="宋体" w:hAnsi="宋体" w:cs="Arial"/>
                <w:color w:val="000000"/>
                <w:sz w:val="22"/>
                <w:szCs w:val="22"/>
              </w:rPr>
            </w:pPr>
            <w:r>
              <w:rPr>
                <w:rFonts w:hint="eastAsia" w:cs="Arial"/>
                <w:color w:val="000000"/>
                <w:sz w:val="22"/>
                <w:szCs w:val="22"/>
              </w:rPr>
              <w:t>22.08</w:t>
            </w:r>
          </w:p>
          <w:p>
            <w:pPr>
              <w:pStyle w:val="4"/>
              <w:widowControl/>
              <w:jc w:val="left"/>
              <w:rPr>
                <w:rFonts w:hint="eastAsia" w:ascii="宋体" w:hAnsi="宋体" w:cs="宋体"/>
                <w:color w:val="000000"/>
                <w:sz w:val="18"/>
                <w:szCs w:val="18"/>
              </w:rPr>
            </w:pPr>
          </w:p>
        </w:tc>
      </w:tr>
    </w:tbl>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jc w:val="center"/>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七、政府性基金预算财政拨款收入支出决算表</w:t>
      </w:r>
    </w:p>
    <w:p>
      <w:pPr>
        <w:pStyle w:val="4"/>
        <w:widowControl/>
        <w:rPr>
          <w:rFonts w:hint="eastAsia" w:ascii="黑体" w:hAnsi="宋体" w:eastAsia="黑体" w:cs="黑体"/>
          <w:color w:val="000000"/>
          <w:sz w:val="20"/>
          <w:szCs w:val="20"/>
        </w:rPr>
      </w:pPr>
      <w:r>
        <w:rPr>
          <w:rFonts w:hint="eastAsia" w:ascii="黑体" w:hAnsi="宋体" w:eastAsia="黑体" w:cs="黑体"/>
          <w:color w:val="000000"/>
          <w:sz w:val="20"/>
          <w:szCs w:val="20"/>
        </w:rPr>
        <w:t xml:space="preserve">                                                                               </w:t>
      </w:r>
      <w:r>
        <w:rPr>
          <w:rFonts w:hint="eastAsia" w:ascii="宋体" w:hAnsi="宋体" w:cs="宋体"/>
          <w:color w:val="000000"/>
          <w:sz w:val="20"/>
          <w:szCs w:val="20"/>
        </w:rPr>
        <w:t>公开07表</w:t>
      </w:r>
    </w:p>
    <w:tbl>
      <w:tblPr>
        <w:tblStyle w:val="2"/>
        <w:tblW w:w="9180" w:type="dxa"/>
        <w:jc w:val="center"/>
        <w:tblLayout w:type="fixed"/>
        <w:tblCellMar>
          <w:top w:w="0" w:type="dxa"/>
          <w:left w:w="108" w:type="dxa"/>
          <w:bottom w:w="0" w:type="dxa"/>
          <w:right w:w="108" w:type="dxa"/>
        </w:tblCellMar>
      </w:tblPr>
      <w:tblGrid>
        <w:gridCol w:w="430"/>
        <w:gridCol w:w="430"/>
        <w:gridCol w:w="430"/>
        <w:gridCol w:w="540"/>
        <w:gridCol w:w="460"/>
        <w:gridCol w:w="580"/>
        <w:gridCol w:w="640"/>
        <w:gridCol w:w="480"/>
        <w:gridCol w:w="430"/>
        <w:gridCol w:w="430"/>
        <w:gridCol w:w="430"/>
        <w:gridCol w:w="430"/>
        <w:gridCol w:w="430"/>
        <w:gridCol w:w="460"/>
        <w:gridCol w:w="820"/>
        <w:gridCol w:w="880"/>
        <w:gridCol w:w="880"/>
      </w:tblGrid>
      <w:tr>
        <w:tblPrEx>
          <w:tblCellMar>
            <w:top w:w="0" w:type="dxa"/>
            <w:left w:w="108" w:type="dxa"/>
            <w:bottom w:w="0" w:type="dxa"/>
            <w:right w:w="108" w:type="dxa"/>
          </w:tblCellMar>
        </w:tblPrEx>
        <w:trPr>
          <w:trHeight w:val="255" w:hRule="atLeast"/>
          <w:jc w:val="center"/>
        </w:trPr>
        <w:tc>
          <w:tcPr>
            <w:tcW w:w="3990" w:type="dxa"/>
            <w:gridSpan w:val="8"/>
            <w:tcBorders>
              <w:top w:val="nil"/>
              <w:left w:val="nil"/>
              <w:bottom w:val="nil"/>
              <w:right w:val="nil"/>
            </w:tcBorders>
            <w:noWrap w:val="0"/>
            <w:vAlign w:val="bottom"/>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eastAsia="zh-CN"/>
              </w:rPr>
              <w:t>八公山区人力资源和社会保障局</w:t>
            </w: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3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46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820" w:type="dxa"/>
            <w:tcBorders>
              <w:top w:val="nil"/>
              <w:left w:val="nil"/>
              <w:bottom w:val="nil"/>
              <w:right w:val="nil"/>
            </w:tcBorders>
            <w:noWrap w:val="0"/>
            <w:vAlign w:val="bottom"/>
          </w:tcPr>
          <w:p>
            <w:pPr>
              <w:pStyle w:val="4"/>
              <w:widowControl/>
              <w:jc w:val="left"/>
              <w:rPr>
                <w:rFonts w:ascii="Arial" w:hAnsi="Arial" w:cs="Arial"/>
                <w:color w:val="000000"/>
                <w:sz w:val="20"/>
                <w:szCs w:val="20"/>
              </w:rPr>
            </w:pPr>
          </w:p>
        </w:tc>
        <w:tc>
          <w:tcPr>
            <w:tcW w:w="1760" w:type="dxa"/>
            <w:gridSpan w:val="2"/>
            <w:tcBorders>
              <w:top w:val="nil"/>
              <w:left w:val="nil"/>
              <w:bottom w:val="nil"/>
              <w:right w:val="nil"/>
            </w:tcBorders>
            <w:noWrap w:val="0"/>
            <w:vAlign w:val="bottom"/>
          </w:tcPr>
          <w:p>
            <w:pPr>
              <w:pStyle w:val="4"/>
              <w:widowControl/>
              <w:jc w:val="right"/>
              <w:rPr>
                <w:rFonts w:hint="eastAsia" w:ascii="宋体" w:hAnsi="宋体" w:cs="宋体"/>
                <w:color w:val="000000"/>
                <w:sz w:val="20"/>
                <w:szCs w:val="20"/>
              </w:rPr>
            </w:pPr>
            <w:r>
              <w:rPr>
                <w:rFonts w:hint="eastAsia" w:ascii="宋体" w:hAnsi="宋体" w:cs="宋体"/>
                <w:color w:val="000000"/>
                <w:sz w:val="20"/>
                <w:szCs w:val="20"/>
              </w:rPr>
              <w:t>金额单位：万元</w:t>
            </w:r>
          </w:p>
        </w:tc>
      </w:tr>
      <w:tr>
        <w:tblPrEx>
          <w:tblCellMar>
            <w:top w:w="0" w:type="dxa"/>
            <w:left w:w="108" w:type="dxa"/>
            <w:bottom w:w="0" w:type="dxa"/>
            <w:right w:w="108" w:type="dxa"/>
          </w:tblCellMar>
        </w:tblPrEx>
        <w:trPr>
          <w:trHeight w:val="465" w:hRule="atLeast"/>
          <w:jc w:val="center"/>
        </w:trPr>
        <w:tc>
          <w:tcPr>
            <w:tcW w:w="129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540"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168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年初结转和结余</w:t>
            </w:r>
          </w:p>
        </w:tc>
        <w:tc>
          <w:tcPr>
            <w:tcW w:w="134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本年收入</w:t>
            </w:r>
          </w:p>
        </w:tc>
        <w:tc>
          <w:tcPr>
            <w:tcW w:w="1290"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c>
          <w:tcPr>
            <w:tcW w:w="3040" w:type="dxa"/>
            <w:gridSpan w:val="4"/>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年末结转和结余</w:t>
            </w:r>
          </w:p>
        </w:tc>
      </w:tr>
      <w:tr>
        <w:tblPrEx>
          <w:tblCellMar>
            <w:top w:w="0" w:type="dxa"/>
            <w:left w:w="108" w:type="dxa"/>
            <w:bottom w:w="0" w:type="dxa"/>
            <w:right w:w="108" w:type="dxa"/>
          </w:tblCellMar>
        </w:tblPrEx>
        <w:trPr>
          <w:trHeight w:val="615"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5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64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和结余</w:t>
            </w:r>
          </w:p>
        </w:tc>
        <w:tc>
          <w:tcPr>
            <w:tcW w:w="4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43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c>
          <w:tcPr>
            <w:tcW w:w="46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82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基本支出结转</w:t>
            </w:r>
          </w:p>
        </w:tc>
        <w:tc>
          <w:tcPr>
            <w:tcW w:w="1760" w:type="dxa"/>
            <w:gridSpan w:val="2"/>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项目支出结转和结余</w:t>
            </w:r>
          </w:p>
        </w:tc>
      </w:tr>
      <w:tr>
        <w:tblPrEx>
          <w:tblCellMar>
            <w:top w:w="0" w:type="dxa"/>
            <w:left w:w="108" w:type="dxa"/>
            <w:bottom w:w="0" w:type="dxa"/>
            <w:right w:w="108" w:type="dxa"/>
          </w:tblCellMar>
        </w:tblPrEx>
        <w:trPr>
          <w:trHeight w:val="308"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项目支出结转</w:t>
            </w:r>
          </w:p>
        </w:tc>
        <w:tc>
          <w:tcPr>
            <w:tcW w:w="880"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项目支出结余</w:t>
            </w:r>
          </w:p>
        </w:tc>
      </w:tr>
      <w:tr>
        <w:tblPrEx>
          <w:tblCellMar>
            <w:top w:w="0" w:type="dxa"/>
            <w:left w:w="108" w:type="dxa"/>
            <w:bottom w:w="0" w:type="dxa"/>
            <w:right w:w="108" w:type="dxa"/>
          </w:tblCellMar>
        </w:tblPrEx>
        <w:trPr>
          <w:trHeight w:val="2006" w:hRule="atLeast"/>
          <w:jc w:val="center"/>
        </w:trPr>
        <w:tc>
          <w:tcPr>
            <w:tcW w:w="129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rPr>
                <w:sz w:val="20"/>
              </w:rPr>
            </w:pPr>
          </w:p>
        </w:tc>
        <w:tc>
          <w:tcPr>
            <w:tcW w:w="540"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580" w:type="dxa"/>
            <w:vMerge w:val="continue"/>
            <w:tcBorders>
              <w:top w:val="nil"/>
              <w:left w:val="nil"/>
              <w:bottom w:val="single" w:color="000000" w:sz="4" w:space="0"/>
              <w:right w:val="single" w:color="000000" w:sz="4" w:space="0"/>
            </w:tcBorders>
            <w:noWrap w:val="0"/>
            <w:vAlign w:val="center"/>
          </w:tcPr>
          <w:p>
            <w:pPr>
              <w:rPr>
                <w:sz w:val="20"/>
              </w:rPr>
            </w:pPr>
          </w:p>
        </w:tc>
        <w:tc>
          <w:tcPr>
            <w:tcW w:w="640" w:type="dxa"/>
            <w:vMerge w:val="continue"/>
            <w:tcBorders>
              <w:top w:val="nil"/>
              <w:left w:val="nil"/>
              <w:bottom w:val="single" w:color="000000" w:sz="4" w:space="0"/>
              <w:right w:val="single" w:color="000000" w:sz="4" w:space="0"/>
            </w:tcBorders>
            <w:noWrap w:val="0"/>
            <w:vAlign w:val="center"/>
          </w:tcPr>
          <w:p>
            <w:pPr>
              <w:rPr>
                <w:sz w:val="20"/>
              </w:rPr>
            </w:pPr>
          </w:p>
        </w:tc>
        <w:tc>
          <w:tcPr>
            <w:tcW w:w="48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30" w:type="dxa"/>
            <w:vMerge w:val="continue"/>
            <w:tcBorders>
              <w:top w:val="nil"/>
              <w:left w:val="nil"/>
              <w:bottom w:val="single" w:color="000000" w:sz="4" w:space="0"/>
              <w:right w:val="single" w:color="000000" w:sz="4" w:space="0"/>
            </w:tcBorders>
            <w:noWrap w:val="0"/>
            <w:vAlign w:val="center"/>
          </w:tcPr>
          <w:p>
            <w:pPr>
              <w:rPr>
                <w:sz w:val="20"/>
              </w:rPr>
            </w:pPr>
          </w:p>
        </w:tc>
        <w:tc>
          <w:tcPr>
            <w:tcW w:w="460" w:type="dxa"/>
            <w:vMerge w:val="continue"/>
            <w:tcBorders>
              <w:top w:val="nil"/>
              <w:left w:val="nil"/>
              <w:bottom w:val="single" w:color="000000" w:sz="4" w:space="0"/>
              <w:right w:val="single" w:color="000000" w:sz="4" w:space="0"/>
            </w:tcBorders>
            <w:noWrap w:val="0"/>
            <w:vAlign w:val="center"/>
          </w:tcPr>
          <w:p>
            <w:pPr>
              <w:rPr>
                <w:sz w:val="20"/>
              </w:rPr>
            </w:pPr>
          </w:p>
        </w:tc>
        <w:tc>
          <w:tcPr>
            <w:tcW w:w="82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c>
          <w:tcPr>
            <w:tcW w:w="880" w:type="dxa"/>
            <w:vMerge w:val="continue"/>
            <w:tcBorders>
              <w:top w:val="nil"/>
              <w:left w:val="nil"/>
              <w:bottom w:val="single" w:color="000000" w:sz="4" w:space="0"/>
              <w:right w:val="single" w:color="000000" w:sz="4" w:space="0"/>
            </w:tcBorders>
            <w:noWrap w:val="0"/>
            <w:vAlign w:val="center"/>
          </w:tcPr>
          <w:p>
            <w:pPr>
              <w:rPr>
                <w:sz w:val="20"/>
              </w:rPr>
            </w:pPr>
          </w:p>
        </w:tc>
      </w:tr>
      <w:tr>
        <w:tblPrEx>
          <w:tblCellMar>
            <w:top w:w="0" w:type="dxa"/>
            <w:left w:w="108" w:type="dxa"/>
            <w:bottom w:w="0" w:type="dxa"/>
            <w:right w:w="108" w:type="dxa"/>
          </w:tblCellMar>
        </w:tblPrEx>
        <w:trPr>
          <w:trHeight w:val="308" w:hRule="atLeast"/>
          <w:jc w:val="center"/>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类</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款</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项</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b/>
                <w:color w:val="000000"/>
                <w:sz w:val="22"/>
                <w:szCs w:val="22"/>
              </w:rPr>
            </w:pPr>
            <w:r>
              <w:rPr>
                <w:rFonts w:hint="eastAsia" w:ascii="宋体" w:hAnsi="宋体" w:cs="宋体"/>
                <w:b/>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r>
              <w:rPr>
                <w:rFonts w:hint="eastAsia" w:ascii="宋体" w:hAnsi="宋体" w:cs="宋体"/>
                <w:b/>
                <w:color w:val="000000"/>
                <w:sz w:val="22"/>
                <w:szCs w:val="22"/>
              </w:rPr>
              <w:t>　</w:t>
            </w:r>
          </w:p>
        </w:tc>
      </w:tr>
      <w:tr>
        <w:tblPrEx>
          <w:tblCellMar>
            <w:top w:w="0" w:type="dxa"/>
            <w:left w:w="108" w:type="dxa"/>
            <w:bottom w:w="0" w:type="dxa"/>
            <w:right w:w="108" w:type="dxa"/>
          </w:tblCellMar>
        </w:tblPrEx>
        <w:trPr>
          <w:trHeight w:val="500" w:hRule="atLeast"/>
          <w:jc w:val="center"/>
        </w:trPr>
        <w:tc>
          <w:tcPr>
            <w:tcW w:w="129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0"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r>
        <w:tblPrEx>
          <w:tblCellMar>
            <w:top w:w="0" w:type="dxa"/>
            <w:left w:w="108" w:type="dxa"/>
            <w:bottom w:w="0" w:type="dxa"/>
            <w:right w:w="108" w:type="dxa"/>
          </w:tblCellMar>
        </w:tblPrEx>
        <w:trPr>
          <w:trHeight w:val="559" w:hRule="atLeast"/>
          <w:jc w:val="center"/>
        </w:trPr>
        <w:tc>
          <w:tcPr>
            <w:tcW w:w="1290" w:type="dxa"/>
            <w:gridSpan w:val="3"/>
            <w:tcBorders>
              <w:top w:val="nil"/>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540" w:type="dxa"/>
            <w:tcBorders>
              <w:top w:val="nil"/>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5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64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3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46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2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c>
          <w:tcPr>
            <w:tcW w:w="880" w:type="dxa"/>
            <w:tcBorders>
              <w:top w:val="nil"/>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r>
              <w:rPr>
                <w:rFonts w:hint="eastAsia" w:ascii="宋体" w:hAnsi="宋体" w:cs="宋体"/>
                <w:color w:val="000000"/>
                <w:sz w:val="22"/>
                <w:szCs w:val="22"/>
              </w:rPr>
              <w:t>　</w:t>
            </w:r>
          </w:p>
        </w:tc>
      </w:tr>
    </w:tbl>
    <w:p>
      <w:pPr>
        <w:pStyle w:val="4"/>
        <w:widowControl/>
        <w:rPr>
          <w:rFonts w:hint="eastAsia" w:ascii="黑体" w:hAnsi="宋体" w:eastAsia="黑体" w:cs="黑体"/>
          <w:color w:val="000000"/>
          <w:sz w:val="32"/>
          <w:szCs w:val="32"/>
        </w:rPr>
      </w:pPr>
      <w:r>
        <w:rPr>
          <w:rFonts w:ascii="楷体_GB2312" w:eastAsia="楷体_GB2312" w:cs="楷体_GB2312"/>
          <w:color w:val="000000"/>
          <w:sz w:val="32"/>
          <w:szCs w:val="32"/>
        </w:rPr>
        <w:t>注：</w:t>
      </w: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部门没有政府性基金收入，也没有使用政府性基金安排的支出，故此表无数据。</w:t>
      </w:r>
    </w:p>
    <w:p>
      <w:pPr>
        <w:pStyle w:val="4"/>
        <w:widowControl/>
        <w:rPr>
          <w:rFonts w:hint="eastAsia" w:ascii="黑体" w:hAnsi="宋体" w:eastAsia="黑体" w:cs="黑体"/>
          <w:color w:val="000000"/>
          <w:sz w:val="32"/>
          <w:szCs w:val="32"/>
        </w:rPr>
      </w:pPr>
      <w:r>
        <w:rPr>
          <w:rFonts w:hint="eastAsia" w:ascii="黑体" w:hAnsi="宋体" w:eastAsia="黑体" w:cs="黑体"/>
          <w:color w:val="000000"/>
          <w:sz w:val="32"/>
          <w:szCs w:val="32"/>
        </w:rPr>
        <w:t xml:space="preserve"> </w:t>
      </w: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rPr>
          <w:rFonts w:hint="eastAsia" w:ascii="黑体" w:hAnsi="宋体" w:eastAsia="黑体" w:cs="黑体"/>
          <w:color w:val="000000"/>
          <w:sz w:val="32"/>
          <w:szCs w:val="32"/>
        </w:rPr>
      </w:pPr>
    </w:p>
    <w:p>
      <w:pPr>
        <w:pStyle w:val="4"/>
        <w:widowControl/>
        <w:ind w:firstLine="640"/>
        <w:jc w:val="center"/>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八、国有资本经营预算财政拨款支出决算表</w:t>
      </w:r>
    </w:p>
    <w:tbl>
      <w:tblPr>
        <w:tblStyle w:val="2"/>
        <w:tblW w:w="0" w:type="auto"/>
        <w:tblInd w:w="93" w:type="dxa"/>
        <w:tblLayout w:type="fixed"/>
        <w:tblCellMar>
          <w:top w:w="15" w:type="dxa"/>
          <w:left w:w="108" w:type="dxa"/>
          <w:bottom w:w="15" w:type="dxa"/>
          <w:right w:w="108" w:type="dxa"/>
        </w:tblCellMar>
      </w:tblPr>
      <w:tblGrid>
        <w:gridCol w:w="573"/>
        <w:gridCol w:w="573"/>
        <w:gridCol w:w="574"/>
        <w:gridCol w:w="1425"/>
        <w:gridCol w:w="1252"/>
        <w:gridCol w:w="2191"/>
        <w:gridCol w:w="2191"/>
      </w:tblGrid>
      <w:tr>
        <w:tblPrEx>
          <w:tblCellMar>
            <w:top w:w="15" w:type="dxa"/>
            <w:left w:w="108" w:type="dxa"/>
            <w:bottom w:w="15" w:type="dxa"/>
            <w:right w:w="108" w:type="dxa"/>
          </w:tblCellMar>
        </w:tblPrEx>
        <w:trPr>
          <w:trHeight w:val="360" w:hRule="atLeast"/>
        </w:trPr>
        <w:tc>
          <w:tcPr>
            <w:tcW w:w="8779" w:type="dxa"/>
            <w:gridSpan w:val="7"/>
            <w:noWrap w:val="0"/>
            <w:vAlign w:val="bottom"/>
          </w:tcPr>
          <w:p>
            <w:pPr>
              <w:pStyle w:val="4"/>
              <w:widowControl/>
              <w:ind w:firstLine="7276"/>
              <w:jc w:val="left"/>
              <w:rPr>
                <w:rFonts w:ascii="Arial" w:hAnsi="Arial" w:cs="Arial"/>
                <w:color w:val="000000"/>
                <w:sz w:val="20"/>
                <w:szCs w:val="20"/>
              </w:rPr>
            </w:pPr>
            <w:r>
              <w:rPr>
                <w:rFonts w:hint="eastAsia" w:ascii="宋体" w:hAnsi="宋体" w:cs="宋体"/>
                <w:color w:val="000000"/>
                <w:sz w:val="20"/>
                <w:szCs w:val="20"/>
              </w:rPr>
              <w:t>公开08表</w:t>
            </w:r>
          </w:p>
        </w:tc>
      </w:tr>
      <w:tr>
        <w:tblPrEx>
          <w:tblCellMar>
            <w:top w:w="15" w:type="dxa"/>
            <w:left w:w="108" w:type="dxa"/>
            <w:bottom w:w="15" w:type="dxa"/>
            <w:right w:w="108" w:type="dxa"/>
          </w:tblCellMar>
        </w:tblPrEx>
        <w:trPr>
          <w:trHeight w:val="450" w:hRule="atLeast"/>
        </w:trPr>
        <w:tc>
          <w:tcPr>
            <w:tcW w:w="8779" w:type="dxa"/>
            <w:gridSpan w:val="7"/>
            <w:tcBorders>
              <w:bottom w:val="single" w:color="000000" w:sz="4" w:space="0"/>
            </w:tcBorders>
            <w:noWrap w:val="0"/>
            <w:vAlign w:val="center"/>
          </w:tcPr>
          <w:p>
            <w:pPr>
              <w:pStyle w:val="4"/>
              <w:widowControl/>
              <w:jc w:val="left"/>
              <w:rPr>
                <w:rFonts w:ascii="Arial" w:hAnsi="Arial" w:cs="Arial"/>
                <w:color w:val="000000"/>
                <w:sz w:val="20"/>
                <w:szCs w:val="20"/>
              </w:rPr>
            </w:pPr>
            <w:r>
              <w:rPr>
                <w:rFonts w:hint="eastAsia" w:ascii="宋体" w:hAnsi="宋体" w:cs="宋体"/>
                <w:color w:val="000000"/>
                <w:sz w:val="20"/>
                <w:szCs w:val="20"/>
              </w:rPr>
              <w:t>部门：</w:t>
            </w:r>
            <w:r>
              <w:rPr>
                <w:rFonts w:hint="eastAsia" w:ascii="宋体" w:hAnsi="宋体" w:cs="宋体"/>
                <w:color w:val="000000"/>
                <w:sz w:val="20"/>
                <w:szCs w:val="20"/>
                <w:lang w:val="en-US" w:eastAsia="zh-CN"/>
              </w:rPr>
              <w:t>八公山区人力资源和社会保障局</w:t>
            </w:r>
            <w:r>
              <w:rPr>
                <w:rFonts w:hint="eastAsia" w:ascii="宋体" w:hAnsi="宋体" w:cs="宋体"/>
                <w:color w:val="000000"/>
                <w:sz w:val="20"/>
                <w:szCs w:val="20"/>
              </w:rPr>
              <w:t xml:space="preserve">                                       金额单位：万元</w:t>
            </w:r>
          </w:p>
        </w:tc>
      </w:tr>
      <w:tr>
        <w:tblPrEx>
          <w:tblCellMar>
            <w:top w:w="15" w:type="dxa"/>
            <w:left w:w="108" w:type="dxa"/>
            <w:bottom w:w="15" w:type="dxa"/>
            <w:right w:w="108" w:type="dxa"/>
          </w:tblCellMar>
        </w:tblPrEx>
        <w:trPr>
          <w:trHeight w:val="781" w:hRule="atLeast"/>
        </w:trPr>
        <w:tc>
          <w:tcPr>
            <w:tcW w:w="1720" w:type="dxa"/>
            <w:gridSpan w:val="3"/>
            <w:vMerge w:val="restart"/>
            <w:tcBorders>
              <w:top w:val="nil"/>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科目编码</w:t>
            </w:r>
          </w:p>
        </w:tc>
        <w:tc>
          <w:tcPr>
            <w:tcW w:w="1425"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科目名称</w:t>
            </w:r>
          </w:p>
        </w:tc>
        <w:tc>
          <w:tcPr>
            <w:tcW w:w="5634" w:type="dxa"/>
            <w:gridSpan w:val="3"/>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本年支出</w:t>
            </w:r>
          </w:p>
        </w:tc>
      </w:tr>
      <w:tr>
        <w:tblPrEx>
          <w:tblCellMar>
            <w:top w:w="15" w:type="dxa"/>
            <w:left w:w="108" w:type="dxa"/>
            <w:bottom w:w="15" w:type="dxa"/>
            <w:right w:w="108" w:type="dxa"/>
          </w:tblCellMar>
        </w:tblPrEx>
        <w:trPr>
          <w:trHeight w:val="300"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restart"/>
            <w:tcBorders>
              <w:top w:val="nil"/>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基本支出</w:t>
            </w:r>
          </w:p>
        </w:tc>
        <w:tc>
          <w:tcPr>
            <w:tcW w:w="2191" w:type="dxa"/>
            <w:vMerge w:val="restart"/>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项目支出</w:t>
            </w:r>
          </w:p>
        </w:tc>
      </w:tr>
      <w:tr>
        <w:tblPrEx>
          <w:tblCellMar>
            <w:top w:w="15" w:type="dxa"/>
            <w:left w:w="108" w:type="dxa"/>
            <w:bottom w:w="15" w:type="dxa"/>
            <w:right w:w="108" w:type="dxa"/>
          </w:tblCellMar>
        </w:tblPrEx>
        <w:trPr>
          <w:trHeight w:val="286"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454" w:hRule="atLeast"/>
        </w:trPr>
        <w:tc>
          <w:tcPr>
            <w:tcW w:w="1720" w:type="dxa"/>
            <w:gridSpan w:val="3"/>
            <w:vMerge w:val="continue"/>
            <w:tcBorders>
              <w:top w:val="nil"/>
              <w:left w:val="single" w:color="000000" w:sz="4" w:space="0"/>
              <w:bottom w:val="single" w:color="000000" w:sz="4" w:space="0"/>
              <w:right w:val="single" w:color="000000" w:sz="4" w:space="0"/>
            </w:tcBorders>
            <w:noWrap w:val="0"/>
            <w:vAlign w:val="center"/>
          </w:tcPr>
          <w:p>
            <w:pPr>
              <w:rPr>
                <w:sz w:val="20"/>
              </w:rPr>
            </w:pPr>
          </w:p>
        </w:tc>
        <w:tc>
          <w:tcPr>
            <w:tcW w:w="1425"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1252" w:type="dxa"/>
            <w:vMerge w:val="continue"/>
            <w:tcBorders>
              <w:top w:val="nil"/>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c>
          <w:tcPr>
            <w:tcW w:w="2191" w:type="dxa"/>
            <w:vMerge w:val="continue"/>
            <w:tcBorders>
              <w:top w:val="single" w:color="000000" w:sz="4" w:space="0"/>
              <w:left w:val="nil"/>
              <w:bottom w:val="single" w:color="000000" w:sz="4" w:space="0"/>
              <w:right w:val="single" w:color="000000" w:sz="4" w:space="0"/>
            </w:tcBorders>
            <w:noWrap w:val="0"/>
            <w:vAlign w:val="center"/>
          </w:tcPr>
          <w:p>
            <w:pPr>
              <w:rPr>
                <w:sz w:val="20"/>
              </w:rPr>
            </w:pPr>
          </w:p>
        </w:tc>
      </w:tr>
      <w:tr>
        <w:tblPrEx>
          <w:tblCellMar>
            <w:top w:w="15" w:type="dxa"/>
            <w:left w:w="108" w:type="dxa"/>
            <w:bottom w:w="15" w:type="dxa"/>
            <w:right w:w="108" w:type="dxa"/>
          </w:tblCellMar>
        </w:tblPrEx>
        <w:trPr>
          <w:trHeight w:val="673" w:hRule="atLeast"/>
        </w:trPr>
        <w:tc>
          <w:tcPr>
            <w:tcW w:w="573" w:type="dxa"/>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类</w:t>
            </w:r>
          </w:p>
        </w:tc>
        <w:tc>
          <w:tcPr>
            <w:tcW w:w="573"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款</w:t>
            </w:r>
          </w:p>
        </w:tc>
        <w:tc>
          <w:tcPr>
            <w:tcW w:w="574"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项</w:t>
            </w: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center"/>
              <w:rPr>
                <w:rFonts w:hint="eastAsia" w:ascii="宋体" w:hAnsi="宋体" w:cs="宋体"/>
                <w:color w:val="000000"/>
                <w:sz w:val="22"/>
                <w:szCs w:val="22"/>
              </w:rPr>
            </w:pPr>
            <w:r>
              <w:rPr>
                <w:rFonts w:hint="eastAsia" w:ascii="宋体" w:hAnsi="宋体" w:cs="宋体"/>
                <w:color w:val="000000"/>
                <w:sz w:val="22"/>
                <w:szCs w:val="22"/>
              </w:rPr>
              <w:t>合计</w:t>
            </w: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b/>
                <w:color w:val="000000"/>
                <w:sz w:val="22"/>
                <w:szCs w:val="22"/>
              </w:rPr>
            </w:pPr>
          </w:p>
        </w:tc>
      </w:tr>
      <w:tr>
        <w:tblPrEx>
          <w:tblCellMar>
            <w:top w:w="15" w:type="dxa"/>
            <w:left w:w="108" w:type="dxa"/>
            <w:bottom w:w="15" w:type="dxa"/>
            <w:right w:w="108" w:type="dxa"/>
          </w:tblCellMar>
        </w:tblPrEx>
        <w:trPr>
          <w:trHeight w:val="634"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r>
        <w:tblPrEx>
          <w:tblCellMar>
            <w:top w:w="15" w:type="dxa"/>
            <w:left w:w="108" w:type="dxa"/>
            <w:bottom w:w="15" w:type="dxa"/>
            <w:right w:w="108" w:type="dxa"/>
          </w:tblCellMar>
        </w:tblPrEx>
        <w:trPr>
          <w:trHeight w:val="799" w:hRule="atLeast"/>
        </w:trPr>
        <w:tc>
          <w:tcPr>
            <w:tcW w:w="1720"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425" w:type="dxa"/>
            <w:tcBorders>
              <w:top w:val="single" w:color="000000" w:sz="4" w:space="0"/>
              <w:left w:val="nil"/>
              <w:bottom w:val="single" w:color="000000" w:sz="4" w:space="0"/>
              <w:right w:val="single" w:color="000000" w:sz="4" w:space="0"/>
            </w:tcBorders>
            <w:noWrap w:val="0"/>
            <w:vAlign w:val="center"/>
          </w:tcPr>
          <w:p>
            <w:pPr>
              <w:pStyle w:val="4"/>
              <w:widowControl/>
              <w:jc w:val="left"/>
              <w:rPr>
                <w:rFonts w:hint="eastAsia" w:ascii="宋体" w:hAnsi="宋体" w:cs="宋体"/>
                <w:color w:val="000000"/>
                <w:sz w:val="22"/>
                <w:szCs w:val="22"/>
              </w:rPr>
            </w:pPr>
          </w:p>
        </w:tc>
        <w:tc>
          <w:tcPr>
            <w:tcW w:w="1252"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c>
          <w:tcPr>
            <w:tcW w:w="2191" w:type="dxa"/>
            <w:tcBorders>
              <w:top w:val="single" w:color="000000" w:sz="4" w:space="0"/>
              <w:left w:val="nil"/>
              <w:bottom w:val="single" w:color="000000" w:sz="4" w:space="0"/>
              <w:right w:val="single" w:color="000000" w:sz="4" w:space="0"/>
            </w:tcBorders>
            <w:noWrap w:val="0"/>
            <w:vAlign w:val="center"/>
          </w:tcPr>
          <w:p>
            <w:pPr>
              <w:pStyle w:val="4"/>
              <w:widowControl/>
              <w:jc w:val="right"/>
              <w:rPr>
                <w:rFonts w:hint="eastAsia" w:ascii="宋体" w:hAnsi="宋体" w:cs="宋体"/>
                <w:color w:val="000000"/>
                <w:sz w:val="22"/>
                <w:szCs w:val="22"/>
              </w:rPr>
            </w:pPr>
          </w:p>
        </w:tc>
      </w:tr>
    </w:tbl>
    <w:p>
      <w:pPr>
        <w:pStyle w:val="4"/>
        <w:widowControl/>
        <w:rPr>
          <w:rFonts w:hint="eastAsia" w:ascii="黑体" w:hAnsi="宋体" w:eastAsia="黑体" w:cs="黑体"/>
          <w:color w:val="000000"/>
          <w:sz w:val="20"/>
          <w:szCs w:val="20"/>
        </w:rPr>
      </w:pPr>
      <w:r>
        <w:rPr>
          <w:rFonts w:ascii="楷体_GB2312" w:eastAsia="楷体_GB2312" w:cs="楷体_GB2312"/>
          <w:color w:val="000000"/>
          <w:sz w:val="32"/>
          <w:szCs w:val="32"/>
        </w:rPr>
        <w:t>注：</w:t>
      </w: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部门没有使用国有资本经营预算财政拨款安排的支出，故此表无数据。</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第三部分 八公山区人力资源和社会保障局2020年度部门决算情况说明</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一、收入支出决算总体情况说明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2020年度收入总计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万元（含使用非财政拨款结转结余和年初结转结余）、支出总计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万元（含结余分配和年末结转结余）。与2019年相比，收、支总计</w:t>
      </w:r>
      <w:r>
        <w:rPr>
          <w:rFonts w:hint="eastAsia" w:ascii="仿宋_GB2312" w:eastAsia="仿宋_GB2312" w:cs="仿宋_GB2312"/>
          <w:color w:val="000000"/>
          <w:sz w:val="32"/>
          <w:szCs w:val="32"/>
          <w:lang w:val="en-US" w:eastAsia="zh-CN"/>
        </w:rPr>
        <w:t>各</w:t>
      </w:r>
      <w:r>
        <w:rPr>
          <w:rFonts w:ascii="仿宋_GB2312" w:eastAsia="仿宋_GB2312" w:cs="仿宋_GB2312"/>
          <w:color w:val="000000"/>
          <w:sz w:val="32"/>
          <w:szCs w:val="32"/>
        </w:rPr>
        <w:t>减少</w:t>
      </w:r>
      <w:r>
        <w:rPr>
          <w:rFonts w:hint="eastAsia" w:ascii="仿宋_GB2312" w:eastAsia="仿宋_GB2312" w:cs="仿宋_GB2312"/>
          <w:color w:val="000000"/>
          <w:sz w:val="32"/>
          <w:szCs w:val="32"/>
          <w:lang w:val="en-US" w:eastAsia="zh-CN"/>
        </w:rPr>
        <w:t>547.59</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11.1</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；二是</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二、收入决算情况说明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2020年度收入合计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万元，其中：财政拨款收入</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三、支出决算情况说明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2020年度支出合计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万元，其中：基本支出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四、财政拨款收入支出决算总体情况说明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2020年度财政拨款收入总计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万元（含年初财政拨款结转结余），支出总计</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万元（含年末财政拨款结转和结余）。与2019年相比，财政拨款收、支总计各减少</w:t>
      </w:r>
      <w:r>
        <w:rPr>
          <w:rFonts w:hint="eastAsia" w:ascii="仿宋_GB2312" w:eastAsia="仿宋_GB2312" w:cs="仿宋_GB2312"/>
          <w:color w:val="000000"/>
          <w:sz w:val="32"/>
          <w:szCs w:val="32"/>
          <w:lang w:val="en-US" w:eastAsia="zh-CN"/>
        </w:rPr>
        <w:t>547.59</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11.1</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；二是</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减少</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五、一般公共预算财政拨款支出决算情况说明</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（一）一般公共预算财政拨款支出决算总体情况。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万元，占本年支出的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%。与2019年相比，一般公共预算财政拨款支出减少</w:t>
      </w:r>
      <w:r>
        <w:rPr>
          <w:rFonts w:hint="eastAsia" w:ascii="仿宋_GB2312" w:eastAsia="仿宋_GB2312" w:cs="仿宋_GB2312"/>
          <w:color w:val="000000"/>
          <w:sz w:val="32"/>
          <w:szCs w:val="32"/>
          <w:lang w:val="en-US" w:eastAsia="zh-CN"/>
        </w:rPr>
        <w:t>547.59</w:t>
      </w:r>
      <w:r>
        <w:rPr>
          <w:rFonts w:ascii="仿宋_GB2312" w:eastAsia="仿宋_GB2312" w:cs="仿宋_GB2312"/>
          <w:color w:val="000000"/>
          <w:sz w:val="32"/>
          <w:szCs w:val="32"/>
        </w:rPr>
        <w:t>万元，下降</w:t>
      </w:r>
      <w:r>
        <w:rPr>
          <w:rFonts w:hint="eastAsia" w:ascii="仿宋_GB2312" w:eastAsia="仿宋_GB2312" w:cs="仿宋_GB2312"/>
          <w:color w:val="000000"/>
          <w:sz w:val="32"/>
          <w:szCs w:val="32"/>
          <w:lang w:val="en-US" w:eastAsia="zh-CN"/>
        </w:rPr>
        <w:t>11.1</w:t>
      </w:r>
      <w:r>
        <w:rPr>
          <w:rFonts w:ascii="仿宋_GB2312" w:eastAsia="仿宋_GB2312" w:cs="仿宋_GB2312"/>
          <w:color w:val="000000"/>
          <w:sz w:val="32"/>
          <w:szCs w:val="32"/>
        </w:rPr>
        <w:t>%。主要原因一是</w:t>
      </w:r>
      <w:r>
        <w:rPr>
          <w:rFonts w:hint="eastAsia" w:ascii="仿宋" w:hAnsi="仿宋" w:eastAsia="仿宋" w:cs="仿宋"/>
          <w:color w:val="000000"/>
          <w:sz w:val="32"/>
          <w:szCs w:val="32"/>
        </w:rPr>
        <w:t>一般公共服务支出</w:t>
      </w:r>
      <w:r>
        <w:rPr>
          <w:rFonts w:hint="eastAsia" w:ascii="仿宋" w:hAnsi="仿宋" w:eastAsia="仿宋" w:cs="仿宋"/>
          <w:color w:val="000000"/>
          <w:sz w:val="32"/>
          <w:szCs w:val="32"/>
          <w:lang w:eastAsia="zh-CN"/>
        </w:rPr>
        <w:t>本年度为</w:t>
      </w:r>
      <w:r>
        <w:rPr>
          <w:rFonts w:hint="eastAsia" w:ascii="仿宋" w:hAnsi="仿宋" w:eastAsia="仿宋" w:cs="仿宋"/>
          <w:color w:val="000000"/>
          <w:sz w:val="32"/>
          <w:szCs w:val="32"/>
          <w:lang w:val="en-US" w:eastAsia="zh-CN"/>
        </w:rPr>
        <w:t>0万元</w:t>
      </w:r>
      <w:r>
        <w:rPr>
          <w:rFonts w:ascii="仿宋_GB2312" w:eastAsia="仿宋_GB2312" w:cs="仿宋_GB2312"/>
          <w:color w:val="000000"/>
          <w:sz w:val="32"/>
          <w:szCs w:val="32"/>
        </w:rPr>
        <w:t>；二是</w:t>
      </w:r>
      <w:r>
        <w:rPr>
          <w:rFonts w:hint="eastAsia" w:ascii="仿宋" w:hAnsi="仿宋" w:eastAsia="仿宋" w:cs="仿宋"/>
          <w:color w:val="000000"/>
          <w:sz w:val="32"/>
          <w:szCs w:val="32"/>
        </w:rPr>
        <w:t>灾害防治及应急管理支出</w:t>
      </w:r>
      <w:r>
        <w:rPr>
          <w:rFonts w:hint="eastAsia" w:ascii="仿宋" w:hAnsi="仿宋" w:eastAsia="仿宋" w:cs="仿宋"/>
          <w:color w:val="000000"/>
          <w:sz w:val="32"/>
          <w:szCs w:val="32"/>
          <w:lang w:eastAsia="zh-CN"/>
        </w:rPr>
        <w:t>本年度为</w:t>
      </w:r>
      <w:r>
        <w:rPr>
          <w:rFonts w:hint="eastAsia" w:ascii="仿宋" w:hAnsi="仿宋" w:eastAsia="仿宋" w:cs="仿宋"/>
          <w:color w:val="000000"/>
          <w:sz w:val="32"/>
          <w:szCs w:val="32"/>
          <w:lang w:val="en-US" w:eastAsia="zh-CN"/>
        </w:rPr>
        <w:t>0万元</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（二）一般公共预算财政拨款支出决算结构情况。</w:t>
      </w:r>
    </w:p>
    <w:p>
      <w:pPr>
        <w:pStyle w:val="4"/>
        <w:widowControl/>
        <w:ind w:firstLine="640"/>
        <w:rPr>
          <w:rFonts w:ascii="楷体_GB2312" w:eastAsia="楷体_GB2312" w:cs="楷体_GB2312"/>
          <w:color w:val="000000"/>
          <w:sz w:val="32"/>
          <w:szCs w:val="32"/>
        </w:rPr>
      </w:pPr>
      <w:r>
        <w:rPr>
          <w:rFonts w:ascii="仿宋_GB2312" w:eastAsia="仿宋_GB2312" w:cs="仿宋_GB2312"/>
          <w:color w:val="000000"/>
          <w:sz w:val="32"/>
          <w:szCs w:val="32"/>
        </w:rPr>
        <w:t>2020年度一般公共预算财政拨款支出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万元，主要用于以下方面：</w:t>
      </w:r>
      <w:r>
        <w:rPr>
          <w:rFonts w:hint="eastAsia" w:ascii="仿宋_GB2312" w:eastAsia="仿宋_GB2312" w:cs="仿宋_GB2312"/>
          <w:b/>
          <w:color w:val="000000"/>
          <w:sz w:val="32"/>
          <w:szCs w:val="32"/>
        </w:rPr>
        <w:t>公共安全支出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15</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0.3</w:t>
      </w:r>
      <w:r>
        <w:rPr>
          <w:rFonts w:ascii="仿宋_GB2312" w:eastAsia="仿宋_GB2312" w:cs="仿宋_GB2312"/>
          <w:color w:val="000000"/>
          <w:sz w:val="32"/>
          <w:szCs w:val="32"/>
        </w:rPr>
        <w:t>%;</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602.13</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13.7</w:t>
      </w:r>
      <w:r>
        <w:rPr>
          <w:rFonts w:ascii="仿宋_GB2312" w:eastAsia="仿宋_GB2312" w:cs="仿宋_GB2312"/>
          <w:color w:val="000000"/>
          <w:sz w:val="32"/>
          <w:szCs w:val="32"/>
        </w:rPr>
        <w:t>%；</w:t>
      </w:r>
      <w:r>
        <w:rPr>
          <w:rFonts w:hint="eastAsia" w:ascii="仿宋_GB2312" w:eastAsia="仿宋_GB2312" w:cs="仿宋_GB2312"/>
          <w:b/>
          <w:color w:val="000000"/>
          <w:sz w:val="32"/>
          <w:szCs w:val="32"/>
        </w:rPr>
        <w:t>社会保障和就业支出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2147.79</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48.9</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卫生健康支出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1138.61</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25.9</w:t>
      </w:r>
      <w:r>
        <w:rPr>
          <w:rFonts w:ascii="仿宋_GB2312" w:eastAsia="仿宋_GB2312" w:cs="仿宋_GB2312"/>
          <w:color w:val="000000"/>
          <w:sz w:val="32"/>
          <w:szCs w:val="32"/>
        </w:rPr>
        <w:t>%；</w:t>
      </w:r>
      <w:r>
        <w:rPr>
          <w:rFonts w:hint="eastAsia" w:ascii="仿宋_GB2312" w:eastAsia="仿宋_GB2312" w:cs="仿宋_GB2312"/>
          <w:b/>
          <w:color w:val="000000"/>
          <w:sz w:val="32"/>
          <w:szCs w:val="32"/>
        </w:rPr>
        <w:t>节能环保支出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30.09</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0.7</w:t>
      </w:r>
      <w:r>
        <w:rPr>
          <w:rFonts w:ascii="仿宋_GB2312" w:eastAsia="仿宋_GB2312" w:cs="仿宋_GB2312"/>
          <w:color w:val="000000"/>
          <w:sz w:val="32"/>
          <w:szCs w:val="32"/>
        </w:rPr>
        <w:t>%；</w:t>
      </w:r>
      <w:r>
        <w:rPr>
          <w:rFonts w:hint="eastAsia" w:ascii="仿宋_GB2312" w:eastAsia="仿宋_GB2312" w:cs="仿宋_GB2312"/>
          <w:b/>
          <w:color w:val="000000"/>
          <w:sz w:val="32"/>
          <w:szCs w:val="32"/>
        </w:rPr>
        <w:t>城乡社区支出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437.24</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w:t>
      </w:r>
      <w:r>
        <w:rPr>
          <w:rFonts w:ascii="仿宋_GB2312" w:eastAsia="仿宋_GB2312" w:cs="仿宋_GB2312"/>
          <w:color w:val="000000"/>
          <w:sz w:val="32"/>
          <w:szCs w:val="32"/>
        </w:rPr>
        <w:t>%；</w:t>
      </w:r>
      <w:r>
        <w:rPr>
          <w:rFonts w:hint="eastAsia" w:ascii="仿宋_GB2312" w:eastAsia="仿宋_GB2312" w:cs="仿宋_GB2312"/>
          <w:b/>
          <w:color w:val="000000"/>
          <w:sz w:val="32"/>
          <w:szCs w:val="32"/>
        </w:rPr>
        <w:t>住房保障支出</w:t>
      </w:r>
      <w:r>
        <w:rPr>
          <w:rFonts w:ascii="仿宋_GB2312" w:eastAsia="仿宋_GB2312" w:cs="仿宋_GB2312"/>
          <w:b/>
          <w:color w:val="000000"/>
          <w:sz w:val="32"/>
          <w:szCs w:val="32"/>
        </w:rPr>
        <w:t>（类）</w:t>
      </w:r>
      <w:r>
        <w:rPr>
          <w:rFonts w:ascii="仿宋_GB2312" w:eastAsia="仿宋_GB2312" w:cs="仿宋_GB2312"/>
          <w:color w:val="000000"/>
          <w:sz w:val="32"/>
          <w:szCs w:val="32"/>
        </w:rPr>
        <w:t>支出</w:t>
      </w:r>
      <w:r>
        <w:rPr>
          <w:rFonts w:hint="eastAsia" w:ascii="仿宋_GB2312" w:eastAsia="仿宋_GB2312" w:cs="仿宋_GB2312"/>
          <w:color w:val="000000"/>
          <w:sz w:val="32"/>
          <w:szCs w:val="32"/>
        </w:rPr>
        <w:t>22</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0.5</w:t>
      </w:r>
      <w:r>
        <w:rPr>
          <w:rFonts w:ascii="仿宋_GB2312" w:eastAsia="仿宋_GB2312" w:cs="仿宋_GB2312"/>
          <w:color w:val="000000"/>
          <w:sz w:val="32"/>
          <w:szCs w:val="32"/>
        </w:rPr>
        <w:t>%。</w:t>
      </w:r>
    </w:p>
    <w:p>
      <w:pPr>
        <w:pStyle w:val="4"/>
        <w:widowControl/>
        <w:ind w:firstLine="640"/>
        <w:rPr>
          <w:rFonts w:ascii="楷体_GB2312" w:eastAsia="楷体_GB2312" w:cs="楷体_GB2312"/>
          <w:color w:val="000000"/>
          <w:sz w:val="32"/>
          <w:szCs w:val="32"/>
        </w:rPr>
      </w:pPr>
      <w:r>
        <w:rPr>
          <w:rFonts w:ascii="楷体_GB2312" w:eastAsia="楷体_GB2312" w:cs="楷体_GB2312"/>
          <w:color w:val="000000"/>
          <w:sz w:val="32"/>
          <w:szCs w:val="32"/>
        </w:rPr>
        <w:t>（三）一般公共预算财政拨款支出决算具体情况。</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2020年度一般公共预算财政拨款支出年初预算为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%。其中:基本支出</w:t>
      </w:r>
      <w:r>
        <w:rPr>
          <w:rFonts w:hint="eastAsia" w:ascii="仿宋_GB2312" w:eastAsia="仿宋_GB2312" w:cs="仿宋_GB2312"/>
          <w:color w:val="000000"/>
          <w:sz w:val="32"/>
          <w:szCs w:val="32"/>
        </w:rPr>
        <w:t>4392.86</w:t>
      </w:r>
      <w:r>
        <w:rPr>
          <w:rFonts w:ascii="仿宋_GB2312" w:eastAsia="仿宋_GB2312" w:cs="仿宋_GB2312"/>
          <w:color w:val="000000"/>
          <w:sz w:val="32"/>
          <w:szCs w:val="32"/>
        </w:rPr>
        <w:t>万元，占</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%；项目支出</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万元。具体情况如下：</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1.</w:t>
      </w:r>
      <w:r>
        <w:rPr>
          <w:rFonts w:hint="eastAsia" w:ascii="仿宋_GB2312" w:eastAsia="仿宋_GB2312" w:cs="仿宋_GB2312"/>
          <w:b/>
          <w:color w:val="000000"/>
          <w:sz w:val="32"/>
          <w:szCs w:val="32"/>
        </w:rPr>
        <w:t>公共安全支出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法院</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15</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15</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仿宋" w:hAnsi="仿宋" w:eastAsia="仿宋" w:cs="仿宋"/>
          <w:color w:val="000000"/>
          <w:sz w:val="32"/>
          <w:szCs w:val="32"/>
          <w:lang w:val="en-US" w:eastAsia="zh-CN"/>
        </w:rPr>
      </w:pPr>
      <w:r>
        <w:rPr>
          <w:rFonts w:ascii="仿宋_GB2312" w:eastAsia="仿宋_GB2312" w:cs="仿宋_GB2312"/>
          <w:color w:val="000000"/>
          <w:sz w:val="32"/>
          <w:szCs w:val="32"/>
        </w:rPr>
        <w:t>2.</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文化和旅游</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2.13</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rPr>
        <w:t>2.13</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 w:hAnsi="仿宋" w:eastAsia="仿宋" w:cs="仿宋"/>
          <w:color w:val="000000"/>
          <w:sz w:val="32"/>
          <w:szCs w:val="32"/>
          <w:lang w:eastAsia="zh-CN"/>
        </w:rPr>
        <w:t>。</w:t>
      </w:r>
    </w:p>
    <w:p>
      <w:pPr>
        <w:pStyle w:val="4"/>
        <w:widowControl/>
        <w:ind w:firstLine="640"/>
        <w:rPr>
          <w:rFonts w:hint="eastAsia" w:ascii="仿宋" w:hAnsi="仿宋" w:eastAsia="仿宋" w:cs="仿宋"/>
          <w:color w:val="000000"/>
          <w:sz w:val="32"/>
          <w:szCs w:val="32"/>
          <w:lang w:val="en-US" w:eastAsia="zh-CN"/>
        </w:rPr>
      </w:pPr>
      <w:r>
        <w:rPr>
          <w:rFonts w:hint="eastAsia" w:ascii="仿宋_GB2312" w:eastAsia="仿宋_GB2312" w:cs="仿宋_GB2312"/>
          <w:color w:val="000000"/>
          <w:sz w:val="32"/>
          <w:szCs w:val="32"/>
          <w:lang w:val="en-US" w:eastAsia="zh-CN"/>
        </w:rPr>
        <w:t>3.</w:t>
      </w:r>
      <w:r>
        <w:rPr>
          <w:rFonts w:hint="eastAsia" w:ascii="仿宋_GB2312" w:eastAsia="仿宋_GB2312" w:cs="仿宋_GB2312"/>
          <w:b/>
          <w:color w:val="000000"/>
          <w:sz w:val="32"/>
          <w:szCs w:val="32"/>
        </w:rPr>
        <w:t>文化旅游体育与传媒支出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体育</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600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600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r>
        <w:rPr>
          <w:rFonts w:hint="eastAsia" w:ascii="仿宋" w:hAnsi="仿宋" w:eastAsia="仿宋" w:cs="仿宋"/>
          <w:color w:val="000000"/>
          <w:sz w:val="32"/>
          <w:szCs w:val="32"/>
          <w:lang w:eastAsia="zh-CN"/>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3.</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行政运行</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33.51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33.51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4.</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一般行政管理事务</w:t>
      </w:r>
      <w:r>
        <w:rPr>
          <w:rFonts w:ascii="仿宋_GB2312" w:eastAsia="仿宋_GB2312" w:cs="仿宋_GB2312"/>
          <w:b/>
          <w:color w:val="000000"/>
          <w:sz w:val="32"/>
          <w:szCs w:val="32"/>
        </w:rPr>
        <w:t>（项）。</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8.91</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8.91</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5．</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劳动保障监察</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6.</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社会保险经办机构</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7.</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人力资源和社会保障管理事务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其他人力资源和社会保障管理事务支出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201.56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201.56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8.</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行政单位离退休</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7.00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7.00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9.</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机关事业单位基本养老保险缴费支出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1400.00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1400.00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10.</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行政事业单位养老支出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 xml:space="preserve"> 机关事业单位职业年金缴费支出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210.66</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210.66</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11.</w:t>
      </w:r>
      <w:r>
        <w:rPr>
          <w:rFonts w:hint="eastAsia" w:ascii="仿宋_GB2312" w:eastAsia="仿宋_GB2312" w:cs="仿宋_GB2312"/>
          <w:b/>
          <w:bCs/>
          <w:color w:val="000000"/>
          <w:sz w:val="32"/>
          <w:szCs w:val="32"/>
          <w:lang w:eastAsia="zh-CN"/>
        </w:rPr>
        <w:t>社会保障和就业支出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其他社会保障和就业支出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 xml:space="preserve"> 其他社会保障和就业支出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281.14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281.14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12.</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公共卫生</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其他公共卫生支出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800.00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800.00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13.</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行政单位医疗</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0.67</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0.67</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14.</w:t>
      </w:r>
      <w:r>
        <w:rPr>
          <w:rFonts w:hint="eastAsia" w:ascii="仿宋_GB2312" w:eastAsia="仿宋_GB2312" w:cs="仿宋_GB2312"/>
          <w:b/>
          <w:bCs/>
          <w:color w:val="000000"/>
          <w:sz w:val="32"/>
          <w:szCs w:val="32"/>
          <w:lang w:eastAsia="zh-CN"/>
        </w:rPr>
        <w:t>卫生健康支出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行政事业单位医疗</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其他行政事业单位医疗支出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337.94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337.94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ascii="仿宋_GB2312" w:eastAsia="仿宋_GB2312" w:cs="仿宋_GB2312"/>
          <w:color w:val="000000"/>
          <w:sz w:val="32"/>
          <w:szCs w:val="32"/>
        </w:rPr>
      </w:pPr>
      <w:r>
        <w:rPr>
          <w:rFonts w:hint="eastAsia" w:ascii="仿宋_GB2312" w:eastAsia="仿宋_GB2312" w:cs="仿宋_GB2312"/>
          <w:color w:val="000000"/>
          <w:sz w:val="32"/>
          <w:szCs w:val="32"/>
          <w:lang w:val="en-US" w:eastAsia="zh-CN"/>
        </w:rPr>
        <w:t>15.</w:t>
      </w:r>
      <w:r>
        <w:rPr>
          <w:rFonts w:hint="eastAsia" w:ascii="仿宋_GB2312" w:eastAsia="仿宋_GB2312" w:cs="仿宋_GB2312"/>
          <w:b/>
          <w:bCs/>
          <w:color w:val="000000"/>
          <w:sz w:val="32"/>
          <w:szCs w:val="32"/>
          <w:lang w:eastAsia="zh-CN"/>
        </w:rPr>
        <w:t>节能环保支出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环境保护管理事务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其他环境保护管理事务支出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30.09</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30.09</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16.</w:t>
      </w:r>
      <w:r>
        <w:rPr>
          <w:rFonts w:hint="eastAsia" w:ascii="仿宋_GB2312" w:eastAsia="仿宋_GB2312" w:cs="仿宋_GB2312"/>
          <w:b/>
          <w:bCs/>
          <w:color w:val="000000"/>
          <w:sz w:val="32"/>
          <w:szCs w:val="32"/>
          <w:lang w:eastAsia="zh-CN"/>
        </w:rPr>
        <w:t>城乡社区支出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城乡社区管理事务</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其他城乡社区管理事务支出</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437.24</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437.24</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default"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17.</w:t>
      </w:r>
      <w:r>
        <w:rPr>
          <w:rFonts w:hint="eastAsia" w:ascii="仿宋_GB2312" w:eastAsia="仿宋_GB2312" w:cs="仿宋_GB2312"/>
          <w:b/>
          <w:bCs/>
          <w:color w:val="000000"/>
          <w:sz w:val="32"/>
          <w:szCs w:val="32"/>
          <w:lang w:eastAsia="zh-CN"/>
        </w:rPr>
        <w:t>住房保障支出</w:t>
      </w:r>
      <w:r>
        <w:rPr>
          <w:rFonts w:ascii="仿宋_GB2312" w:eastAsia="仿宋_GB2312" w:cs="仿宋_GB2312"/>
          <w:b/>
          <w:color w:val="000000"/>
          <w:sz w:val="32"/>
          <w:szCs w:val="32"/>
        </w:rPr>
        <w:t>（类）</w:t>
      </w:r>
      <w:r>
        <w:rPr>
          <w:rFonts w:hint="eastAsia" w:ascii="仿宋_GB2312" w:eastAsia="仿宋_GB2312" w:cs="仿宋_GB2312"/>
          <w:b/>
          <w:color w:val="000000"/>
          <w:sz w:val="32"/>
          <w:szCs w:val="32"/>
        </w:rPr>
        <w:t>住房改革支出</w:t>
      </w:r>
      <w:r>
        <w:rPr>
          <w:rFonts w:ascii="仿宋_GB2312" w:eastAsia="仿宋_GB2312" w:cs="仿宋_GB2312"/>
          <w:b/>
          <w:color w:val="000000"/>
          <w:sz w:val="32"/>
          <w:szCs w:val="32"/>
        </w:rPr>
        <w:t>（款）</w:t>
      </w:r>
      <w:r>
        <w:rPr>
          <w:rFonts w:hint="eastAsia" w:ascii="仿宋_GB2312" w:eastAsia="仿宋_GB2312" w:cs="仿宋_GB2312"/>
          <w:b/>
          <w:color w:val="000000"/>
          <w:sz w:val="32"/>
          <w:szCs w:val="32"/>
        </w:rPr>
        <w:t>住房公积金</w:t>
      </w:r>
      <w:r>
        <w:rPr>
          <w:rFonts w:ascii="仿宋_GB2312" w:eastAsia="仿宋_GB2312" w:cs="仿宋_GB2312"/>
          <w:b/>
          <w:color w:val="000000"/>
          <w:sz w:val="32"/>
          <w:szCs w:val="32"/>
        </w:rPr>
        <w:t>（项）</w:t>
      </w:r>
      <w:r>
        <w:rPr>
          <w:rFonts w:hint="eastAsia" w:ascii="仿宋_GB2312" w:eastAsia="仿宋_GB2312" w:cs="仿宋_GB2312"/>
          <w:b/>
          <w:color w:val="000000"/>
          <w:sz w:val="32"/>
          <w:szCs w:val="32"/>
          <w:lang w:eastAsia="zh-CN"/>
        </w:rPr>
        <w:t>。</w:t>
      </w:r>
      <w:r>
        <w:rPr>
          <w:rFonts w:ascii="仿宋_GB2312" w:eastAsia="仿宋_GB2312" w:cs="仿宋_GB2312"/>
          <w:color w:val="000000"/>
          <w:sz w:val="32"/>
          <w:szCs w:val="32"/>
        </w:rPr>
        <w:t>年初预算为</w:t>
      </w:r>
      <w:r>
        <w:rPr>
          <w:rFonts w:hint="eastAsia" w:ascii="仿宋_GB2312" w:eastAsia="仿宋_GB2312" w:cs="仿宋_GB2312"/>
          <w:color w:val="000000"/>
          <w:sz w:val="32"/>
          <w:szCs w:val="32"/>
          <w:lang w:val="en-US" w:eastAsia="zh-CN"/>
        </w:rPr>
        <w:t>22.00</w:t>
      </w:r>
      <w:r>
        <w:rPr>
          <w:rFonts w:ascii="仿宋_GB2312" w:eastAsia="仿宋_GB2312" w:cs="仿宋_GB2312"/>
          <w:color w:val="000000"/>
          <w:sz w:val="32"/>
          <w:szCs w:val="32"/>
        </w:rPr>
        <w:t>万元，支出决算为</w:t>
      </w:r>
      <w:r>
        <w:rPr>
          <w:rFonts w:hint="eastAsia" w:ascii="仿宋_GB2312" w:eastAsia="仿宋_GB2312" w:cs="仿宋_GB2312"/>
          <w:color w:val="000000"/>
          <w:sz w:val="32"/>
          <w:szCs w:val="32"/>
          <w:lang w:val="en-US" w:eastAsia="zh-CN"/>
        </w:rPr>
        <w:t>22.00</w:t>
      </w:r>
      <w:r>
        <w:rPr>
          <w:rFonts w:ascii="仿宋_GB2312" w:eastAsia="仿宋_GB2312" w:cs="仿宋_GB2312"/>
          <w:color w:val="000000"/>
          <w:sz w:val="32"/>
          <w:szCs w:val="32"/>
        </w:rPr>
        <w:t>万元，完成年初预算的</w:t>
      </w:r>
      <w:r>
        <w:rPr>
          <w:rFonts w:hint="eastAsia" w:ascii="仿宋_GB2312" w:eastAsia="仿宋_GB2312" w:cs="仿宋_GB2312"/>
          <w:color w:val="000000"/>
          <w:sz w:val="32"/>
          <w:szCs w:val="32"/>
          <w:lang w:val="en-US" w:eastAsia="zh-CN"/>
        </w:rPr>
        <w:t>100</w:t>
      </w:r>
      <w:r>
        <w:rPr>
          <w:rFonts w:ascii="仿宋_GB2312" w:eastAsia="仿宋_GB2312" w:cs="仿宋_GB2312"/>
          <w:color w:val="000000"/>
          <w:sz w:val="32"/>
          <w:szCs w:val="32"/>
        </w:rPr>
        <w:t>%。</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六、一般公共预算财政拨款基本支出决算情况说明</w:t>
      </w:r>
    </w:p>
    <w:p>
      <w:pPr>
        <w:pStyle w:val="4"/>
        <w:widowControl/>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2020年度财政拨款基本支出</w:t>
      </w:r>
      <w:r>
        <w:rPr>
          <w:rFonts w:hint="eastAsia" w:ascii="仿宋_GB2312" w:eastAsia="仿宋_GB2312" w:cs="仿宋_GB2312"/>
          <w:color w:val="000000"/>
          <w:sz w:val="32"/>
          <w:szCs w:val="32"/>
          <w:highlight w:val="none"/>
        </w:rPr>
        <w:t>4392</w:t>
      </w:r>
      <w:r>
        <w:rPr>
          <w:rFonts w:hint="eastAsia" w:ascii="仿宋_GB2312" w:eastAsia="仿宋_GB2312" w:cs="仿宋_GB2312"/>
          <w:color w:val="000000"/>
          <w:sz w:val="32"/>
          <w:szCs w:val="32"/>
          <w:highlight w:val="none"/>
          <w:lang w:val="en-US" w:eastAsia="zh-CN"/>
        </w:rPr>
        <w:t>.8</w:t>
      </w:r>
      <w:r>
        <w:rPr>
          <w:rFonts w:hint="eastAsia" w:ascii="仿宋_GB2312" w:eastAsia="仿宋_GB2312" w:cs="仿宋_GB2312"/>
          <w:color w:val="000000"/>
          <w:sz w:val="32"/>
          <w:szCs w:val="32"/>
          <w:highlight w:val="none"/>
        </w:rPr>
        <w:t>6</w:t>
      </w:r>
      <w:r>
        <w:rPr>
          <w:rFonts w:ascii="仿宋_GB2312" w:eastAsia="仿宋_GB2312" w:cs="仿宋_GB2312"/>
          <w:color w:val="000000"/>
          <w:sz w:val="32"/>
          <w:szCs w:val="32"/>
        </w:rPr>
        <w:t>万元，其中：人员经费</w:t>
      </w:r>
      <w:r>
        <w:rPr>
          <w:rFonts w:hint="eastAsia" w:ascii="仿宋_GB2312" w:eastAsia="仿宋_GB2312" w:cs="仿宋_GB2312"/>
          <w:color w:val="000000"/>
          <w:sz w:val="32"/>
          <w:szCs w:val="32"/>
        </w:rPr>
        <w:t>4370.78</w:t>
      </w:r>
      <w:r>
        <w:rPr>
          <w:rFonts w:ascii="仿宋_GB2312" w:eastAsia="仿宋_GB2312" w:cs="仿宋_GB2312"/>
          <w:color w:val="000000"/>
          <w:sz w:val="32"/>
          <w:szCs w:val="32"/>
        </w:rPr>
        <w:t>万元，主要包括:基本工资、津贴补贴、奖金、机关事业单位基本养老保险费、职业年金缴费、职工基本医疗保险缴费、公务员医疗补助缴费、其他社会保障缴费、住房公积金、其他工资福利支出、退休费、生活补助；公用经费</w:t>
      </w:r>
      <w:r>
        <w:rPr>
          <w:rFonts w:hint="eastAsia" w:ascii="仿宋_GB2312" w:eastAsia="仿宋_GB2312" w:cs="仿宋_GB2312"/>
          <w:color w:val="000000"/>
          <w:sz w:val="32"/>
          <w:szCs w:val="32"/>
        </w:rPr>
        <w:t>22.08</w:t>
      </w:r>
      <w:r>
        <w:rPr>
          <w:rFonts w:ascii="仿宋_GB2312" w:eastAsia="仿宋_GB2312" w:cs="仿宋_GB2312"/>
          <w:color w:val="000000"/>
          <w:sz w:val="32"/>
          <w:szCs w:val="32"/>
        </w:rPr>
        <w:t>万元，主要包括：办公费、印刷费、邮电费、差旅费、维修（护）费、会议费、培训费、公务接待费、劳务费、委托业务费、工会经费、福利费、其他商品服务支出、办公设备购置等。</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七、政府性基金财政拨款收入支出决算情况说明</w:t>
      </w:r>
    </w:p>
    <w:p>
      <w:pPr>
        <w:pStyle w:val="4"/>
        <w:widowControl/>
        <w:ind w:firstLine="640"/>
        <w:rPr>
          <w:rFonts w:ascii="楷体_GB2312" w:eastAsia="楷体_GB2312" w:cs="楷体_GB2312"/>
          <w:color w:val="000000"/>
          <w:sz w:val="32"/>
          <w:szCs w:val="32"/>
        </w:rPr>
      </w:pP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没有政府性基金收入，也没有使用政府性基金安排的支出。</w:t>
      </w:r>
    </w:p>
    <w:p>
      <w:pPr>
        <w:pStyle w:val="4"/>
        <w:widowControl/>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八、国有资本经营预算财政拨款支出情况说明</w:t>
      </w:r>
    </w:p>
    <w:p>
      <w:pPr>
        <w:pStyle w:val="4"/>
        <w:widowControl/>
        <w:ind w:firstLine="640"/>
        <w:rPr>
          <w:rFonts w:ascii="楷体_GB2312" w:eastAsia="楷体_GB2312" w:cs="楷体_GB2312"/>
          <w:color w:val="000000"/>
          <w:sz w:val="32"/>
          <w:szCs w:val="32"/>
        </w:rPr>
      </w:pPr>
      <w:r>
        <w:rPr>
          <w:rFonts w:hint="eastAsia" w:ascii="楷体_GB2312" w:eastAsia="楷体_GB2312" w:cs="楷体_GB2312"/>
          <w:color w:val="000000"/>
          <w:sz w:val="32"/>
          <w:szCs w:val="32"/>
          <w:lang w:eastAsia="zh-CN"/>
        </w:rPr>
        <w:t>八公山区人力资源和社会保障局</w:t>
      </w:r>
      <w:r>
        <w:rPr>
          <w:rFonts w:ascii="楷体_GB2312" w:eastAsia="楷体_GB2312" w:cs="楷体_GB2312"/>
          <w:color w:val="000000"/>
          <w:sz w:val="32"/>
          <w:szCs w:val="32"/>
        </w:rPr>
        <w:t>没有国有资本经营预算财政拨款收入，也没有使用国有资本经营预算财政拨款安排的支出。</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九、其他重要事项情况说明</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（一）机关运行经费支出情况。</w:t>
      </w:r>
    </w:p>
    <w:p>
      <w:pPr>
        <w:pStyle w:val="4"/>
        <w:widowControl/>
        <w:snapToGrid w:val="0"/>
        <w:spacing w:line="600" w:lineRule="atLeast"/>
        <w:ind w:firstLine="640"/>
        <w:rPr>
          <w:rFonts w:ascii="仿宋_GB2312" w:eastAsia="仿宋_GB2312" w:cs="仿宋_GB2312"/>
          <w:color w:val="000000"/>
          <w:sz w:val="32"/>
          <w:szCs w:val="32"/>
        </w:rPr>
      </w:pPr>
      <w:r>
        <w:rPr>
          <w:rFonts w:ascii="仿宋_GB2312" w:eastAsia="仿宋_GB2312" w:cs="仿宋_GB2312"/>
          <w:color w:val="000000"/>
          <w:sz w:val="32"/>
          <w:szCs w:val="32"/>
        </w:rPr>
        <w:t>2020年度，八公山区</w:t>
      </w:r>
      <w:r>
        <w:rPr>
          <w:rFonts w:hint="eastAsia" w:ascii="仿宋_GB2312" w:eastAsia="仿宋_GB2312" w:cs="仿宋_GB2312"/>
          <w:color w:val="000000"/>
          <w:sz w:val="32"/>
          <w:szCs w:val="32"/>
        </w:rPr>
        <w:t>人力资源和社会保障局</w:t>
      </w:r>
      <w:r>
        <w:rPr>
          <w:rFonts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19.95</w:t>
      </w:r>
      <w:r>
        <w:rPr>
          <w:rFonts w:ascii="仿宋_GB2312" w:eastAsia="仿宋_GB2312" w:cs="仿宋_GB2312"/>
          <w:color w:val="000000"/>
          <w:sz w:val="32"/>
          <w:szCs w:val="32"/>
        </w:rPr>
        <w:t>万元，比2019年增加</w:t>
      </w:r>
      <w:r>
        <w:rPr>
          <w:rFonts w:hint="eastAsia" w:ascii="仿宋_GB2312" w:eastAsia="仿宋_GB2312" w:cs="仿宋_GB2312"/>
          <w:color w:val="000000"/>
          <w:sz w:val="32"/>
          <w:szCs w:val="32"/>
          <w:lang w:val="en-US" w:eastAsia="zh-CN"/>
        </w:rPr>
        <w:t>3.24</w:t>
      </w:r>
      <w:r>
        <w:rPr>
          <w:rFonts w:ascii="仿宋_GB2312" w:eastAsia="仿宋_GB2312" w:cs="仿宋_GB2312"/>
          <w:color w:val="000000"/>
          <w:sz w:val="32"/>
          <w:szCs w:val="32"/>
        </w:rPr>
        <w:t>万元，增长</w:t>
      </w:r>
      <w:r>
        <w:rPr>
          <w:rFonts w:hint="eastAsia" w:ascii="仿宋_GB2312" w:eastAsia="仿宋_GB2312" w:cs="仿宋_GB2312"/>
          <w:color w:val="000000"/>
          <w:sz w:val="32"/>
          <w:szCs w:val="32"/>
          <w:lang w:val="en-US" w:eastAsia="zh-CN"/>
        </w:rPr>
        <w:t>19.4</w:t>
      </w:r>
      <w:r>
        <w:rPr>
          <w:rFonts w:ascii="仿宋_GB2312" w:eastAsia="仿宋_GB2312" w:cs="仿宋_GB2312"/>
          <w:color w:val="000000"/>
          <w:sz w:val="32"/>
          <w:szCs w:val="32"/>
        </w:rPr>
        <w:t>%，主要原因是</w:t>
      </w:r>
      <w:r>
        <w:rPr>
          <w:rFonts w:hint="eastAsia"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hint="eastAsia" w:ascii="仿宋_GB2312" w:eastAsia="仿宋_GB2312" w:cs="仿宋_GB2312"/>
          <w:color w:val="000000"/>
          <w:sz w:val="32"/>
          <w:szCs w:val="32"/>
        </w:rPr>
        <w:t>年增加工会福利及支付劳务派遣费</w:t>
      </w:r>
      <w:r>
        <w:rPr>
          <w:rFonts w:ascii="仿宋_GB2312" w:eastAsia="仿宋_GB2312" w:cs="仿宋_GB2312"/>
          <w:color w:val="000000"/>
          <w:sz w:val="32"/>
          <w:szCs w:val="32"/>
        </w:rPr>
        <w:t>。</w:t>
      </w: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（二）政府采购支出情况。</w:t>
      </w:r>
    </w:p>
    <w:p>
      <w:pPr>
        <w:pStyle w:val="4"/>
        <w:widowControl/>
        <w:snapToGrid w:val="0"/>
        <w:spacing w:line="600" w:lineRule="atLeast"/>
        <w:ind w:firstLine="640"/>
        <w:rPr>
          <w:rFonts w:hint="eastAsia" w:ascii="仿宋_GB2312" w:eastAsia="仿宋_GB2312" w:cs="仿宋_GB2312"/>
          <w:color w:val="000000"/>
          <w:sz w:val="32"/>
          <w:szCs w:val="32"/>
        </w:rPr>
      </w:pPr>
      <w:r>
        <w:rPr>
          <w:rFonts w:hint="eastAsia" w:ascii="仿宋_GB2312" w:eastAsia="仿宋_GB2312" w:cs="仿宋_GB2312"/>
          <w:color w:val="000000"/>
          <w:sz w:val="32"/>
          <w:szCs w:val="32"/>
        </w:rPr>
        <w:t>2020年度，八公山区人力资源和社会保障局没有政府采购计划，故没有数据。</w:t>
      </w:r>
    </w:p>
    <w:p>
      <w:pPr>
        <w:pStyle w:val="4"/>
        <w:widowControl/>
        <w:snapToGrid w:val="0"/>
        <w:spacing w:line="600" w:lineRule="atLeast"/>
        <w:ind w:firstLine="640"/>
        <w:rPr>
          <w:rFonts w:ascii="楷体_GB2312" w:eastAsia="楷体_GB2312" w:cs="楷体_GB2312"/>
          <w:color w:val="000000"/>
          <w:sz w:val="32"/>
          <w:szCs w:val="32"/>
        </w:rPr>
      </w:pPr>
    </w:p>
    <w:p>
      <w:pPr>
        <w:pStyle w:val="4"/>
        <w:widowControl/>
        <w:snapToGrid w:val="0"/>
        <w:spacing w:line="600" w:lineRule="atLeast"/>
        <w:ind w:firstLine="640"/>
        <w:rPr>
          <w:rFonts w:ascii="楷体_GB2312" w:eastAsia="楷体_GB2312" w:cs="楷体_GB2312"/>
          <w:color w:val="000000"/>
          <w:sz w:val="32"/>
          <w:szCs w:val="32"/>
        </w:rPr>
      </w:pPr>
    </w:p>
    <w:p>
      <w:pPr>
        <w:pStyle w:val="4"/>
        <w:widowControl/>
        <w:snapToGrid w:val="0"/>
        <w:spacing w:line="600" w:lineRule="atLeast"/>
        <w:ind w:firstLine="640"/>
        <w:rPr>
          <w:rFonts w:ascii="楷体_GB2312" w:eastAsia="楷体_GB2312" w:cs="楷体_GB2312"/>
          <w:color w:val="000000"/>
          <w:sz w:val="32"/>
          <w:szCs w:val="32"/>
        </w:rPr>
      </w:pPr>
      <w:r>
        <w:rPr>
          <w:rFonts w:ascii="楷体_GB2312" w:eastAsia="楷体_GB2312" w:cs="楷体_GB2312"/>
          <w:color w:val="000000"/>
          <w:sz w:val="32"/>
          <w:szCs w:val="32"/>
        </w:rPr>
        <w:t>（三）国有资产占有使用情况。</w:t>
      </w:r>
    </w:p>
    <w:p>
      <w:pPr>
        <w:pStyle w:val="4"/>
        <w:widowControl/>
        <w:snapToGrid w:val="0"/>
        <w:spacing w:line="600" w:lineRule="atLeast"/>
        <w:ind w:firstLine="640"/>
        <w:rPr>
          <w:rFonts w:ascii="楷体_GB2312" w:eastAsia="楷体_GB2312" w:cs="楷体_GB2312"/>
          <w:color w:val="000000"/>
          <w:sz w:val="32"/>
          <w:szCs w:val="32"/>
        </w:rPr>
      </w:pPr>
      <w:bookmarkStart w:id="0" w:name="_GoBack"/>
      <w:r>
        <w:rPr>
          <w:rFonts w:ascii="仿宋_GB2312" w:eastAsia="仿宋_GB2312" w:cs="仿宋_GB2312"/>
          <w:color w:val="000000"/>
          <w:sz w:val="32"/>
          <w:szCs w:val="32"/>
        </w:rPr>
        <w:t>截至2020年12月31日，八公山区</w:t>
      </w:r>
      <w:r>
        <w:rPr>
          <w:rFonts w:hint="eastAsia" w:ascii="仿宋_GB2312" w:eastAsia="仿宋_GB2312" w:cs="仿宋_GB2312"/>
          <w:color w:val="000000"/>
          <w:sz w:val="32"/>
          <w:szCs w:val="32"/>
        </w:rPr>
        <w:t>人力资源和社会保障局</w:t>
      </w:r>
      <w:r>
        <w:rPr>
          <w:rFonts w:ascii="仿宋_GB2312" w:eastAsia="仿宋_GB2312" w:cs="仿宋_GB2312"/>
          <w:color w:val="000000"/>
          <w:sz w:val="32"/>
          <w:szCs w:val="32"/>
        </w:rPr>
        <w:t>共有车辆</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辆，其中：主要领导干部用车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辆、机要通信用车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辆、应急保障用车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辆，特种专业技术用车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辆，离退休干部用车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辆</w:t>
      </w:r>
      <w:r>
        <w:rPr>
          <w:rFonts w:ascii="楷体_GB2312" w:eastAsia="楷体_GB2312" w:cs="楷体_GB2312"/>
          <w:color w:val="000000"/>
          <w:sz w:val="32"/>
          <w:szCs w:val="32"/>
        </w:rPr>
        <w:t>（只列报车辆不为0的车型）</w:t>
      </w:r>
      <w:r>
        <w:rPr>
          <w:rFonts w:ascii="仿宋_GB2312" w:eastAsia="仿宋_GB2312" w:cs="仿宋_GB2312"/>
          <w:color w:val="000000"/>
          <w:sz w:val="32"/>
          <w:szCs w:val="32"/>
        </w:rPr>
        <w:t>；单价50万元以上的通用设备</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台（套），单价100万元以上专用设备</w:t>
      </w:r>
      <w:r>
        <w:rPr>
          <w:rFonts w:hint="eastAsia" w:ascii="仿宋_GB2312" w:eastAsia="仿宋_GB2312" w:cs="仿宋_GB2312"/>
          <w:color w:val="000000"/>
          <w:sz w:val="32"/>
          <w:szCs w:val="32"/>
          <w:lang w:val="en-US" w:eastAsia="zh-CN"/>
        </w:rPr>
        <w:t>0</w:t>
      </w:r>
      <w:r>
        <w:rPr>
          <w:rFonts w:ascii="仿宋_GB2312" w:eastAsia="仿宋_GB2312" w:cs="仿宋_GB2312"/>
          <w:color w:val="000000"/>
          <w:sz w:val="32"/>
          <w:szCs w:val="32"/>
        </w:rPr>
        <w:t>台（套）。</w:t>
      </w:r>
      <w:r>
        <w:rPr>
          <w:rFonts w:ascii="楷体_GB2312" w:eastAsia="楷体_GB2312" w:cs="楷体_GB2312"/>
          <w:color w:val="000000"/>
          <w:sz w:val="32"/>
          <w:szCs w:val="32"/>
        </w:rPr>
        <w:br w:type="textWrapping"/>
      </w:r>
      <w:bookmarkEnd w:id="0"/>
      <w:r>
        <w:rPr>
          <w:rFonts w:ascii="楷体_GB2312" w:eastAsia="楷体_GB2312" w:cs="楷体_GB2312"/>
          <w:color w:val="000000"/>
          <w:sz w:val="32"/>
          <w:szCs w:val="32"/>
        </w:rPr>
        <w:t xml:space="preserve">    （四）关于2020年度预算绩效情况说明</w:t>
      </w:r>
    </w:p>
    <w:p>
      <w:pPr>
        <w:pStyle w:val="4"/>
        <w:widowControl/>
        <w:ind w:firstLine="640"/>
        <w:rPr>
          <w:rFonts w:ascii="楷体_GB2312" w:eastAsia="楷体_GB2312" w:cs="楷体_GB2312"/>
          <w:color w:val="000000"/>
          <w:sz w:val="32"/>
          <w:szCs w:val="32"/>
        </w:rPr>
      </w:pPr>
      <w:r>
        <w:rPr>
          <w:rFonts w:hint="eastAsia" w:ascii="仿宋_GB2312" w:eastAsia="仿宋_GB2312" w:cs="仿宋_GB2312"/>
          <w:color w:val="000000"/>
          <w:sz w:val="32"/>
          <w:szCs w:val="32"/>
        </w:rPr>
        <w:t>本单位无项目支出</w:t>
      </w:r>
      <w:r>
        <w:rPr>
          <w:rFonts w:ascii="仿宋_GB2312" w:eastAsia="仿宋_GB2312" w:cs="仿宋_GB2312"/>
          <w:color w:val="000000"/>
          <w:sz w:val="32"/>
          <w:szCs w:val="32"/>
        </w:rPr>
        <w:t>。</w:t>
      </w:r>
    </w:p>
    <w:p>
      <w:pPr>
        <w:pStyle w:val="4"/>
        <w:widowControl/>
        <w:snapToGrid w:val="0"/>
        <w:spacing w:line="600" w:lineRule="atLeast"/>
        <w:ind w:firstLine="640"/>
        <w:rPr>
          <w:rFonts w:hint="eastAsia" w:ascii="黑体" w:hAnsi="宋体" w:eastAsia="黑体" w:cs="黑体"/>
          <w:color w:val="000000"/>
          <w:sz w:val="32"/>
          <w:szCs w:val="32"/>
        </w:rPr>
      </w:pPr>
      <w:r>
        <w:rPr>
          <w:rFonts w:hint="eastAsia" w:ascii="黑体" w:hAnsi="宋体" w:eastAsia="黑体" w:cs="黑体"/>
          <w:color w:val="000000"/>
          <w:sz w:val="32"/>
          <w:szCs w:val="32"/>
        </w:rPr>
        <w:t>第四部分 名词解释</w:t>
      </w:r>
    </w:p>
    <w:p>
      <w:pPr>
        <w:pStyle w:val="4"/>
        <w:widowControl/>
        <w:autoSpaceDE w:val="0"/>
        <w:snapToGrid w:val="0"/>
        <w:spacing w:line="600" w:lineRule="atLeast"/>
        <w:ind w:left="425" w:firstLine="205"/>
        <w:rPr>
          <w:rFonts w:ascii="仿宋_GB2312" w:eastAsia="仿宋_GB2312" w:cs="仿宋_GB2312"/>
          <w:color w:val="000000"/>
          <w:sz w:val="32"/>
          <w:szCs w:val="32"/>
        </w:rPr>
      </w:pPr>
      <w:r>
        <w:rPr>
          <w:rFonts w:ascii="仿宋_GB2312" w:eastAsia="仿宋_GB2312" w:cs="仿宋_GB2312"/>
          <w:b/>
          <w:color w:val="000000"/>
          <w:sz w:val="32"/>
          <w:szCs w:val="32"/>
        </w:rPr>
        <w:t>一、财政拨款收入：</w:t>
      </w:r>
      <w:r>
        <w:rPr>
          <w:rFonts w:ascii="仿宋_GB2312" w:eastAsia="仿宋_GB2312" w:cs="仿宋_GB2312"/>
          <w:color w:val="000000"/>
          <w:sz w:val="32"/>
          <w:szCs w:val="32"/>
        </w:rPr>
        <w:t>指单位从同级财政部门取得的财政预算资金。</w:t>
      </w:r>
    </w:p>
    <w:p>
      <w:pPr>
        <w:pStyle w:val="4"/>
        <w:widowControl/>
        <w:autoSpaceDE w:val="0"/>
        <w:snapToGrid w:val="0"/>
        <w:spacing w:line="600" w:lineRule="atLeast"/>
        <w:ind w:firstLine="640"/>
        <w:rPr>
          <w:rFonts w:ascii="仿宋_GB2312" w:eastAsia="仿宋_GB2312" w:cs="仿宋_GB2312"/>
          <w:color w:val="000000"/>
          <w:sz w:val="32"/>
          <w:szCs w:val="32"/>
        </w:rPr>
      </w:pPr>
      <w:r>
        <w:rPr>
          <w:rFonts w:ascii="仿宋_GB2312" w:eastAsia="仿宋_GB2312" w:cs="仿宋_GB2312"/>
          <w:b/>
          <w:color w:val="000000"/>
          <w:sz w:val="32"/>
          <w:szCs w:val="32"/>
        </w:rPr>
        <w:t>二、事业收入：</w:t>
      </w:r>
      <w:r>
        <w:rPr>
          <w:rFonts w:ascii="仿宋_GB2312" w:eastAsia="仿宋_GB2312" w:cs="仿宋_GB2312"/>
          <w:color w:val="000000"/>
          <w:sz w:val="32"/>
          <w:szCs w:val="32"/>
        </w:rPr>
        <w:t>指事业单位开展专业业务活动及辅助活动所取得的收入。</w:t>
      </w:r>
    </w:p>
    <w:p>
      <w:pPr>
        <w:pStyle w:val="5"/>
        <w:widowControl/>
        <w:autoSpaceDE w:val="0"/>
        <w:snapToGrid w:val="0"/>
        <w:spacing w:before="0" w:after="0" w:line="600" w:lineRule="atLeast"/>
        <w:ind w:firstLine="627"/>
        <w:rPr>
          <w:rFonts w:hint="default" w:ascii="仿宋_GB2312" w:eastAsia="仿宋_GB2312" w:cs="仿宋_GB2312"/>
          <w:b/>
          <w:color w:val="000000"/>
        </w:rPr>
      </w:pPr>
      <w:r>
        <w:rPr>
          <w:rFonts w:hint="default" w:ascii="仿宋_GB2312" w:eastAsia="仿宋_GB2312" w:cs="仿宋_GB2312"/>
          <w:b/>
          <w:color w:val="000000"/>
          <w:sz w:val="32"/>
          <w:szCs w:val="32"/>
        </w:rPr>
        <w:t>三、上级补助收入：</w:t>
      </w:r>
      <w:r>
        <w:rPr>
          <w:rFonts w:hint="default" w:ascii="仿宋_GB2312" w:eastAsia="仿宋_GB2312" w:cs="仿宋_GB2312"/>
          <w:color w:val="000000"/>
          <w:sz w:val="32"/>
          <w:szCs w:val="32"/>
        </w:rPr>
        <w:t>指事业单位从主管部门和上级单位取得的非财政补助收入。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四、附属单位上缴收入：</w:t>
      </w:r>
      <w:r>
        <w:rPr>
          <w:rFonts w:hint="default" w:ascii="仿宋_GB2312" w:eastAsia="仿宋_GB2312" w:cs="仿宋_GB2312"/>
          <w:color w:val="000000"/>
          <w:sz w:val="32"/>
          <w:szCs w:val="32"/>
        </w:rPr>
        <w:t>指事业单位附属独立核算单位按照有关规定上缴的收入。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五、经营收入</w:t>
      </w:r>
      <w:r>
        <w:rPr>
          <w:rFonts w:cs="宋体"/>
          <w:b/>
          <w:color w:val="000000"/>
        </w:rPr>
        <w:t>：</w:t>
      </w:r>
      <w:r>
        <w:rPr>
          <w:rFonts w:hint="default" w:ascii="仿宋_GB2312" w:eastAsia="仿宋_GB2312" w:cs="仿宋_GB2312"/>
          <w:color w:val="000000"/>
          <w:sz w:val="32"/>
          <w:szCs w:val="32"/>
        </w:rPr>
        <w:t>指事业单位在专业业务活动及其辅助活动之外开展非独立核算经营活动取得的收入。</w:t>
      </w:r>
    </w:p>
    <w:p>
      <w:pPr>
        <w:pStyle w:val="5"/>
        <w:widowControl/>
        <w:autoSpaceDE w:val="0"/>
        <w:snapToGrid w:val="0"/>
        <w:spacing w:before="0" w:after="0" w:line="600" w:lineRule="atLeast"/>
        <w:ind w:firstLine="627"/>
        <w:rPr>
          <w:rFonts w:cs="宋体"/>
          <w:b/>
          <w:color w:val="000000"/>
        </w:rPr>
      </w:pPr>
      <w:r>
        <w:rPr>
          <w:rFonts w:hint="default" w:ascii="仿宋_GB2312" w:eastAsia="仿宋_GB2312" w:cs="仿宋_GB2312"/>
          <w:b/>
          <w:color w:val="000000"/>
          <w:sz w:val="32"/>
          <w:szCs w:val="32"/>
        </w:rPr>
        <w:t>六、其他收入：</w:t>
      </w:r>
      <w:r>
        <w:rPr>
          <w:rFonts w:hint="default" w:ascii="仿宋_GB2312" w:eastAsia="仿宋_GB2312" w:cs="仿宋_GB2312"/>
          <w:color w:val="000000"/>
          <w:sz w:val="32"/>
          <w:szCs w:val="32"/>
        </w:rPr>
        <w:t>指除财政拨款收入、事业收入、上级补助收入、附属单位上缴收入、经营收入以外的各项收入。</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七、年初结转和结余：</w:t>
      </w:r>
      <w:r>
        <w:rPr>
          <w:rFonts w:hint="default" w:ascii="仿宋_GB2312" w:eastAsia="仿宋_GB2312" w:cs="仿宋_GB2312"/>
          <w:color w:val="000000"/>
          <w:sz w:val="32"/>
          <w:szCs w:val="32"/>
        </w:rPr>
        <w:t>指以前年度安排、结转到本年仍按原规定用途继续使用的资金。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八、结余分配：</w:t>
      </w:r>
      <w:r>
        <w:rPr>
          <w:rFonts w:hint="default" w:ascii="仿宋_GB2312" w:eastAsia="仿宋_GB2312" w:cs="仿宋_GB2312"/>
          <w:color w:val="000000"/>
          <w:sz w:val="32"/>
          <w:szCs w:val="32"/>
        </w:rPr>
        <w:t>指事业单位按照会计制度规定缴纳的所得税以及从非财政拨款结余中提取的职工福利基金、事业基金等。</w:t>
      </w:r>
    </w:p>
    <w:p>
      <w:pPr>
        <w:pStyle w:val="5"/>
        <w:widowControl/>
        <w:autoSpaceDE w:val="0"/>
        <w:snapToGrid w:val="0"/>
        <w:spacing w:before="0" w:after="0" w:line="600" w:lineRule="atLeast"/>
        <w:ind w:firstLine="627"/>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九、年末结转和结余：</w:t>
      </w:r>
      <w:r>
        <w:rPr>
          <w:rFonts w:hint="default" w:ascii="仿宋_GB2312" w:eastAsia="仿宋_GB2312" w:cs="仿宋_GB2312"/>
          <w:color w:val="000000"/>
          <w:sz w:val="32"/>
          <w:szCs w:val="32"/>
        </w:rPr>
        <w:t>指单位本年度或以前年度预算安排、因客观条件发生变化未全部执行或未执行，结转到以后年度继续使用的资金，或项目已经完成等产生的结余资金。</w:t>
      </w:r>
    </w:p>
    <w:p>
      <w:pPr>
        <w:pStyle w:val="5"/>
        <w:widowControl/>
        <w:autoSpaceDE w:val="0"/>
        <w:snapToGrid w:val="0"/>
        <w:spacing w:before="0" w:after="0" w:line="600" w:lineRule="atLeast"/>
        <w:ind w:firstLine="627"/>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十、基本支出：</w:t>
      </w:r>
      <w:r>
        <w:rPr>
          <w:rFonts w:hint="default" w:ascii="仿宋_GB2312" w:eastAsia="仿宋_GB2312" w:cs="仿宋_GB2312"/>
          <w:color w:val="000000"/>
          <w:sz w:val="32"/>
          <w:szCs w:val="32"/>
        </w:rPr>
        <w:t>指单位为保障其机构正常运转、完成日常工作任务而发生的人员支出和公用支出。</w:t>
      </w:r>
    </w:p>
    <w:p>
      <w:pPr>
        <w:pStyle w:val="5"/>
        <w:widowControl/>
        <w:autoSpaceDE w:val="0"/>
        <w:spacing w:before="0" w:after="0" w:line="600" w:lineRule="atLeast"/>
        <w:ind w:firstLine="627"/>
        <w:jc w:val="both"/>
        <w:rPr>
          <w:rFonts w:hint="default" w:ascii="仿宋_GB2312" w:eastAsia="仿宋_GB2312" w:cs="仿宋_GB2312"/>
          <w:color w:val="000000"/>
          <w:sz w:val="32"/>
          <w:szCs w:val="32"/>
        </w:rPr>
      </w:pPr>
      <w:r>
        <w:rPr>
          <w:rFonts w:hint="default" w:ascii="仿宋_GB2312" w:eastAsia="仿宋_GB2312" w:cs="仿宋_GB2312"/>
          <w:b/>
          <w:color w:val="000000"/>
          <w:sz w:val="32"/>
          <w:szCs w:val="32"/>
        </w:rPr>
        <w:t>十一、项目支出：</w:t>
      </w:r>
      <w:r>
        <w:rPr>
          <w:rFonts w:hint="default" w:ascii="仿宋_GB2312" w:eastAsia="仿宋_GB2312" w:cs="仿宋_GB2312"/>
          <w:color w:val="000000"/>
          <w:sz w:val="32"/>
          <w:szCs w:val="32"/>
        </w:rPr>
        <w:t>指单位为完成特定行政任务和事业发展目标在基本支出之外所发生的支出。</w:t>
      </w:r>
      <w:r>
        <w:rPr>
          <w:rFonts w:hint="default" w:ascii="仿宋_GB2312" w:eastAsia="仿宋_GB2312" w:cs="仿宋_GB2312"/>
          <w:color w:val="000000"/>
          <w:sz w:val="32"/>
          <w:szCs w:val="32"/>
        </w:rPr>
        <w:br w:type="textWrapping"/>
      </w:r>
      <w:r>
        <w:rPr>
          <w:rFonts w:hint="default" w:ascii="仿宋_GB2312" w:eastAsia="仿宋_GB2312" w:cs="仿宋_GB2312"/>
          <w:color w:val="000000"/>
          <w:sz w:val="32"/>
          <w:szCs w:val="32"/>
        </w:rPr>
        <w:t xml:space="preserve">    </w:t>
      </w:r>
      <w:r>
        <w:rPr>
          <w:rFonts w:hint="default" w:ascii="仿宋_GB2312" w:eastAsia="仿宋_GB2312" w:cs="仿宋_GB2312"/>
          <w:b/>
          <w:color w:val="000000"/>
          <w:sz w:val="32"/>
          <w:szCs w:val="32"/>
        </w:rPr>
        <w:t>十二、经营支出：</w:t>
      </w:r>
      <w:r>
        <w:rPr>
          <w:rFonts w:hint="default" w:ascii="仿宋_GB2312" w:eastAsia="仿宋_GB2312" w:cs="仿宋_GB2312"/>
          <w:color w:val="000000"/>
          <w:sz w:val="32"/>
          <w:szCs w:val="32"/>
        </w:rPr>
        <w:t>指事业单位在专业业务活动及其辅助活动之外开展非独立核算经营活动发生的支出。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十三、</w:t>
      </w:r>
      <w:r>
        <w:rPr>
          <w:rFonts w:cs="宋体"/>
          <w:b/>
          <w:color w:val="000000"/>
          <w:sz w:val="32"/>
          <w:szCs w:val="32"/>
        </w:rPr>
        <w:t>“</w:t>
      </w:r>
      <w:r>
        <w:rPr>
          <w:rFonts w:hint="default" w:ascii="仿宋_GB2312" w:eastAsia="仿宋_GB2312" w:cs="仿宋_GB2312"/>
          <w:b/>
          <w:color w:val="000000"/>
          <w:sz w:val="32"/>
          <w:szCs w:val="32"/>
        </w:rPr>
        <w:t>三公</w:t>
      </w:r>
      <w:r>
        <w:rPr>
          <w:rFonts w:cs="宋体"/>
          <w:b/>
          <w:color w:val="000000"/>
          <w:sz w:val="32"/>
          <w:szCs w:val="32"/>
        </w:rPr>
        <w:t>”</w:t>
      </w:r>
      <w:r>
        <w:rPr>
          <w:rFonts w:hint="default" w:ascii="仿宋_GB2312" w:eastAsia="仿宋_GB2312" w:cs="仿宋_GB2312"/>
          <w:b/>
          <w:color w:val="000000"/>
          <w:sz w:val="32"/>
          <w:szCs w:val="32"/>
        </w:rPr>
        <w:t>经费：</w:t>
      </w:r>
      <w:r>
        <w:rPr>
          <w:rFonts w:hint="default" w:ascii="仿宋_GB2312" w:eastAsia="仿宋_GB2312" w:cs="仿宋_GB2312"/>
          <w:color w:val="000000"/>
          <w:sz w:val="32"/>
          <w:szCs w:val="32"/>
        </w:rPr>
        <w:t>纳入财政预决算管理的</w:t>
      </w:r>
      <w:r>
        <w:rPr>
          <w:rFonts w:cs="宋体"/>
          <w:color w:val="000000"/>
          <w:sz w:val="32"/>
          <w:szCs w:val="32"/>
        </w:rPr>
        <w:t>“</w:t>
      </w:r>
      <w:r>
        <w:rPr>
          <w:rFonts w:hint="default" w:ascii="仿宋_GB2312" w:eastAsia="仿宋_GB2312" w:cs="仿宋_GB2312"/>
          <w:color w:val="000000"/>
          <w:sz w:val="32"/>
          <w:szCs w:val="32"/>
        </w:rPr>
        <w:t>三公</w:t>
      </w:r>
      <w:r>
        <w:rPr>
          <w:rFonts w:cs="宋体"/>
          <w:color w:val="000000"/>
          <w:sz w:val="32"/>
          <w:szCs w:val="32"/>
        </w:rPr>
        <w:t>”</w:t>
      </w:r>
      <w:r>
        <w:rPr>
          <w:rFonts w:hint="default" w:ascii="仿宋_GB2312" w:eastAsia="仿宋_GB2312" w:cs="仿宋_GB2312"/>
          <w:color w:val="000000"/>
          <w:sz w:val="32"/>
          <w:szCs w:val="32"/>
        </w:rPr>
        <w:t>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pPr>
        <w:pStyle w:val="5"/>
        <w:widowControl/>
        <w:autoSpaceDE w:val="0"/>
        <w:spacing w:before="0" w:after="0" w:line="600" w:lineRule="atLeast"/>
        <w:ind w:firstLine="627"/>
        <w:jc w:val="both"/>
        <w:rPr>
          <w:rFonts w:hint="default" w:ascii="仿宋_GB2312" w:eastAsia="仿宋_GB2312" w:cs="仿宋_GB2312"/>
          <w:b/>
          <w:color w:val="000000"/>
          <w:sz w:val="32"/>
          <w:szCs w:val="32"/>
        </w:rPr>
      </w:pPr>
      <w:r>
        <w:rPr>
          <w:rFonts w:hint="default" w:ascii="仿宋_GB2312" w:eastAsia="仿宋_GB2312" w:cs="仿宋_GB2312"/>
          <w:b/>
          <w:color w:val="000000"/>
          <w:sz w:val="32"/>
          <w:szCs w:val="32"/>
        </w:rPr>
        <w:t>十四、机关运行经费</w:t>
      </w:r>
      <w:r>
        <w:rPr>
          <w:rFonts w:hint="default" w:ascii="仿宋_GB2312" w:eastAsia="仿宋_GB2312" w:cs="仿宋_GB2312"/>
          <w:color w:val="000000"/>
          <w:sz w:val="32"/>
          <w:szCs w:val="32"/>
        </w:rPr>
        <w:t>：指为保障行政单位（含参照公务员法管理的事业单位）运行用于购买货物和服务的各项资金，包括办公及印刷费、邮电费、差旅费、会议费、福利费、日常维修费、专用材料费及一般设备购置费、办公用房水电费、办公用房取暖费、办公用房物业管理费、公务用车运行维护费以及其他费用。</w:t>
      </w:r>
    </w:p>
    <w:p>
      <w:pPr>
        <w:pStyle w:val="4"/>
        <w:widowControl/>
        <w:ind w:left="525" w:hanging="896"/>
        <w:jc w:val="center"/>
        <w:rPr>
          <w:rFonts w:hint="eastAsia" w:ascii="宋体" w:hAnsi="宋体" w:cs="宋体"/>
          <w:b/>
          <w:color w:val="000000"/>
          <w:sz w:val="36"/>
          <w:szCs w:val="36"/>
        </w:rPr>
      </w:pPr>
      <w:r>
        <w:rPr>
          <w:rFonts w:hint="eastAsia" w:ascii="宋体" w:hAnsi="宋体" w:cs="宋体"/>
          <w:b/>
          <w:color w:val="000000"/>
          <w:sz w:val="36"/>
          <w:szCs w:val="36"/>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MjU4Mzg5Mjc2NDBiYjY1NWU0YTdmODY3MWE2NmQifQ=="/>
  </w:docVars>
  <w:rsids>
    <w:rsidRoot w:val="00000000"/>
    <w:rsid w:val="29D93920"/>
    <w:rsid w:val="7BE2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5">
    <w:name w:val="p16"/>
    <w:basedOn w:val="1"/>
    <w:qFormat/>
    <w:uiPriority w:val="0"/>
    <w:pPr>
      <w:keepNext w:val="0"/>
      <w:keepLines w:val="0"/>
      <w:widowControl w:val="0"/>
      <w:suppressLineNumbers w:val="0"/>
      <w:spacing w:before="100" w:beforeAutospacing="0" w:after="100" w:afterAutospacing="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8071</Words>
  <Characters>12533</Characters>
  <Lines>0</Lines>
  <Paragraphs>0</Paragraphs>
  <TotalTime>15</TotalTime>
  <ScaleCrop>false</ScaleCrop>
  <LinksUpToDate>false</LinksUpToDate>
  <CharactersWithSpaces>13148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2021-11-08T02:03:00Z</dcterms:created>
  <dc:creator>admin</dc:creator>
  <cp:lastModifiedBy>Administrator</cp:lastModifiedBy>
  <dcterms:modified xsi:type="dcterms:W3CDTF">2022-08-25T06:27:02Z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82D2A0259A024CBF8E09C6A201725952</vt:lpwstr>
  </property>
</Properties>
</file>