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八公山区住建局</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年汇总预算</w:t>
      </w: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年2月</w:t>
      </w:r>
    </w:p>
    <w:p>
      <w:pPr>
        <w:pStyle w:val="5"/>
        <w:adjustRightInd w:val="0"/>
        <w:snapToGrid w:val="0"/>
        <w:spacing w:before="0" w:beforeAutospacing="0" w:after="0" w:afterAutospacing="0" w:line="360" w:lineRule="auto"/>
        <w:jc w:val="both"/>
        <w:rPr>
          <w:rFonts w:ascii="黑体" w:hAnsi="黑体" w:eastAsia="黑体"/>
          <w:bCs/>
          <w:sz w:val="36"/>
          <w:szCs w:val="36"/>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p>
    <w:p>
      <w:pPr>
        <w:pStyle w:val="5"/>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w:t>
      </w:r>
      <w:r>
        <w:rPr>
          <w:rFonts w:hint="eastAsia" w:ascii="仿宋_GB2312" w:hAnsi="仿宋" w:eastAsia="仿宋_GB2312" w:cs="仿宋"/>
          <w:b/>
          <w:sz w:val="32"/>
          <w:szCs w:val="32"/>
          <w:u w:val="single"/>
        </w:rPr>
        <w:t>（单位）</w:t>
      </w:r>
      <w:r>
        <w:rPr>
          <w:rFonts w:hint="eastAsia" w:ascii="仿宋_GB2312" w:hAnsi="仿宋" w:eastAsia="仿宋_GB2312" w:cs="仿宋"/>
          <w:b/>
          <w:sz w:val="32"/>
          <w:szCs w:val="32"/>
        </w:rPr>
        <w:t>预算表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年收支总表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年收入总表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年支出总表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年财政拨款收支总表</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年一般公共预算支出表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年一般公共预算基本支出表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年政府性基金预算支出表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年国有资本经营预算支出表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年项目支出表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年政府采购支出表</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八公山区</w:t>
      </w:r>
      <w:r>
        <w:rPr>
          <w:rFonts w:ascii="仿宋_GB2312" w:hAnsi="仿宋" w:eastAsia="仿宋_GB2312" w:cs="仿宋"/>
          <w:bCs/>
          <w:sz w:val="32"/>
          <w:szCs w:val="32"/>
        </w:rPr>
        <w:t>住建局2022</w:t>
      </w:r>
      <w:r>
        <w:rPr>
          <w:rFonts w:hint="eastAsia" w:ascii="仿宋_GB2312" w:hAnsi="仿宋" w:eastAsia="仿宋_GB2312" w:cs="仿宋"/>
          <w:bCs/>
          <w:sz w:val="32"/>
          <w:szCs w:val="32"/>
        </w:rPr>
        <w:t>年政府购买服务支出表</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5"/>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5"/>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500" w:lineRule="exact"/>
        <w:rPr>
          <w:rFonts w:ascii="仿宋_GB2312" w:hAnsi="仿宋" w:eastAsia="仿宋_GB2312" w:cs="仿宋"/>
          <w:b/>
          <w:sz w:val="32"/>
          <w:szCs w:val="32"/>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5"/>
        <w:numPr>
          <w:ilvl w:val="0"/>
          <w:numId w:val="1"/>
        </w:numPr>
        <w:adjustRightInd w:val="0"/>
        <w:snapToGrid w:val="0"/>
        <w:spacing w:before="0" w:beforeAutospacing="0" w:after="0" w:afterAutospacing="0" w:line="360" w:lineRule="auto"/>
        <w:jc w:val="both"/>
        <w:rPr>
          <w:rFonts w:ascii="黑体" w:hAnsi="黑体" w:eastAsia="黑体"/>
          <w:bCs/>
          <w:sz w:val="32"/>
          <w:szCs w:val="32"/>
        </w:rPr>
      </w:pPr>
      <w:r>
        <w:rPr>
          <w:rFonts w:hint="eastAsia" w:ascii="黑体" w:hAnsi="黑体" w:eastAsia="黑体"/>
          <w:bCs/>
          <w:sz w:val="32"/>
          <w:szCs w:val="32"/>
        </w:rPr>
        <w:t>主要职责</w:t>
      </w:r>
    </w:p>
    <w:p>
      <w:pPr>
        <w:pStyle w:val="5"/>
        <w:adjustRightInd w:val="0"/>
        <w:snapToGrid w:val="0"/>
        <w:spacing w:before="0" w:beforeAutospacing="0" w:after="0" w:afterAutospacing="0" w:line="360" w:lineRule="auto"/>
        <w:ind w:left="1196"/>
        <w:jc w:val="both"/>
      </w:pPr>
      <w:r>
        <w:rPr>
          <w:rFonts w:hint="eastAsia" w:ascii="黑体" w:hAnsi="黑体" w:eastAsia="黑体"/>
          <w:bCs/>
          <w:sz w:val="32"/>
          <w:szCs w:val="32"/>
        </w:rPr>
        <w:t>一、主要职责</w:t>
      </w:r>
    </w:p>
    <w:p>
      <w:pPr>
        <w:pStyle w:val="5"/>
        <w:adjustRightInd w:val="0"/>
        <w:snapToGrid w:val="0"/>
        <w:spacing w:before="0" w:beforeAutospacing="0" w:after="0" w:afterAutospacing="0" w:line="500" w:lineRule="exact"/>
        <w:ind w:left="1196"/>
        <w:rPr>
          <w:rFonts w:ascii="仿宋" w:hAnsi="仿宋" w:eastAsia="仿宋" w:cs="仿宋"/>
          <w:bCs/>
          <w:sz w:val="32"/>
          <w:szCs w:val="32"/>
        </w:rPr>
      </w:pPr>
      <w:r>
        <w:rPr>
          <w:rFonts w:hint="eastAsia" w:ascii="仿宋" w:hAnsi="仿宋" w:eastAsia="仿宋" w:cs="仿宋"/>
          <w:bCs/>
          <w:sz w:val="32"/>
          <w:szCs w:val="32"/>
        </w:rPr>
        <w:t>（一）贯彻执行国家和省、市有关住房和城乡建设的方针、政策、法规、规章，研究制定本区相关的实施细则、管理办法，并组织实施。</w:t>
      </w:r>
    </w:p>
    <w:p>
      <w:pPr>
        <w:pStyle w:val="5"/>
        <w:adjustRightInd w:val="0"/>
        <w:snapToGrid w:val="0"/>
        <w:spacing w:before="0" w:beforeAutospacing="0" w:after="0" w:afterAutospacing="0" w:line="500" w:lineRule="exact"/>
        <w:ind w:left="1196"/>
        <w:jc w:val="both"/>
        <w:rPr>
          <w:rFonts w:ascii="仿宋" w:hAnsi="仿宋" w:eastAsia="仿宋" w:cs="仿宋"/>
          <w:bCs/>
          <w:sz w:val="32"/>
          <w:szCs w:val="32"/>
        </w:rPr>
      </w:pPr>
      <w:r>
        <w:rPr>
          <w:rFonts w:hint="eastAsia" w:ascii="仿宋" w:hAnsi="仿宋" w:eastAsia="仿宋" w:cs="仿宋"/>
          <w:bCs/>
          <w:sz w:val="32"/>
          <w:szCs w:val="32"/>
        </w:rPr>
        <w:t>（二）参与对全区市政基础设施、园林绿化、公园事业的管理和监督。</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（三）指导、规范全区村镇建设管理工作。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（四）负责指导、协调本行政区域内的重点项目建设；参与或组织对本行政区域内建设工程和规划验收，负责本地区建设项目的初审、查验和上报审批。</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（五）负责或组织对本行政区内建设工程的规划验收。</w:t>
      </w:r>
    </w:p>
    <w:p>
      <w:pPr>
        <w:pStyle w:val="5"/>
        <w:adjustRightInd w:val="0"/>
        <w:snapToGrid w:val="0"/>
        <w:spacing w:before="0" w:beforeAutospacing="0" w:after="0" w:afterAutospacing="0" w:line="500" w:lineRule="exact"/>
        <w:ind w:firstLine="1280" w:firstLineChars="400"/>
        <w:rPr>
          <w:rFonts w:ascii="仿宋" w:hAnsi="仿宋" w:eastAsia="仿宋" w:cs="仿宋"/>
          <w:bCs/>
          <w:sz w:val="32"/>
          <w:szCs w:val="32"/>
        </w:rPr>
      </w:pPr>
      <w:r>
        <w:rPr>
          <w:rFonts w:hint="eastAsia" w:ascii="仿宋" w:hAnsi="仿宋" w:eastAsia="仿宋" w:cs="仿宋"/>
          <w:bCs/>
          <w:sz w:val="32"/>
          <w:szCs w:val="32"/>
        </w:rPr>
        <w:t>（六）负责本地区房地产综合开发管理，规范房地产开发市场。</w:t>
      </w:r>
    </w:p>
    <w:p>
      <w:pPr>
        <w:pStyle w:val="5"/>
        <w:adjustRightInd w:val="0"/>
        <w:snapToGrid w:val="0"/>
        <w:spacing w:before="0" w:beforeAutospacing="0" w:after="0" w:afterAutospacing="0" w:line="500" w:lineRule="exact"/>
        <w:ind w:left="1196"/>
        <w:rPr>
          <w:rFonts w:ascii="仿宋" w:hAnsi="仿宋" w:eastAsia="仿宋" w:cs="仿宋"/>
          <w:bCs/>
          <w:sz w:val="32"/>
          <w:szCs w:val="32"/>
        </w:rPr>
      </w:pPr>
      <w:r>
        <w:rPr>
          <w:rFonts w:hint="eastAsia" w:ascii="仿宋" w:hAnsi="仿宋" w:eastAsia="仿宋" w:cs="仿宋"/>
          <w:bCs/>
          <w:sz w:val="32"/>
          <w:szCs w:val="32"/>
        </w:rPr>
        <w:t>（七）负责建设行业的安全施工管理，参与施工建设队伍计划生育工作。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（八）制定全区建设行业人才培训、规划，指导全区建设行业职工队伍的培训和继续教育工作。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（九）负责领导和管理本机关和直属单位党务工作、精神文明建设、社会治安综合治理、计划生育和群团组织工作。</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（十）行使法律、法规赋予的城市管理行政执法职能。强制拆除不符合城市容貌标准、环境卫生标准的建筑和设施。</w:t>
      </w:r>
    </w:p>
    <w:p>
      <w:pPr>
        <w:pStyle w:val="5"/>
        <w:adjustRightInd w:val="0"/>
        <w:snapToGrid w:val="0"/>
        <w:spacing w:before="0" w:beforeAutospacing="0" w:after="0" w:afterAutospacing="0" w:line="500" w:lineRule="exact"/>
        <w:ind w:left="567" w:firstLine="640" w:firstLineChars="200"/>
        <w:rPr>
          <w:rFonts w:ascii="仿宋" w:hAnsi="仿宋" w:eastAsia="仿宋" w:cs="仿宋"/>
          <w:bCs/>
          <w:sz w:val="32"/>
          <w:szCs w:val="32"/>
        </w:rPr>
      </w:pPr>
      <w:r>
        <w:rPr>
          <w:rFonts w:hint="eastAsia" w:ascii="仿宋" w:hAnsi="仿宋" w:eastAsia="仿宋" w:cs="仿宋"/>
          <w:bCs/>
          <w:sz w:val="32"/>
          <w:szCs w:val="32"/>
        </w:rPr>
        <w:t>（十一）贯彻执行国家和省、市关于人民防空的方针政策和法律法规，负责全区人防工作，推进人民防空向防空防灾相结合的民防体制转变。</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（十二）负责本辖区城市供水、节水、燃气、集中供热和污水处理等公共事业的协调工作。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（十三）协助区自然资源和规划分局做好建设规划工作。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（十四）承办区委、区政府和市城乡建设局交办的其他工作。</w:t>
      </w:r>
    </w:p>
    <w:p>
      <w:pPr>
        <w:pStyle w:val="13"/>
        <w:spacing w:line="300" w:lineRule="atLeast"/>
        <w:ind w:left="210" w:leftChars="100" w:firstLine="1280" w:firstLineChars="400"/>
        <w:rPr>
          <w:rFonts w:ascii="仿宋" w:hAnsi="仿宋" w:eastAsia="仿宋" w:cs="仿宋"/>
          <w:bCs/>
          <w:sz w:val="32"/>
          <w:szCs w:val="32"/>
        </w:rPr>
      </w:pPr>
      <w:r>
        <w:rPr>
          <w:rFonts w:hint="eastAsia" w:ascii="仿宋" w:hAnsi="仿宋" w:eastAsia="仿宋" w:cs="仿宋"/>
          <w:bCs/>
          <w:sz w:val="32"/>
          <w:szCs w:val="32"/>
        </w:rPr>
        <w:t>下设部门房管所主要职责：</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1. 负责审查本区廉租房、公租房、经济适用房等住房保障家庭资格核准登记及保障房后期分配工作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2.本辖区房屋租赁管理</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3. 负责审核新设立的物业服务企业国家三级（暂定）资质管理审批</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4.对本辖区物业管理活动监督管理，指导业主委员会工作，协调业主委员会与物业管理企业的关系</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r>
        <w:rPr>
          <w:rFonts w:hint="eastAsia" w:ascii="仿宋" w:hAnsi="仿宋" w:eastAsia="仿宋" w:cs="仿宋"/>
          <w:bCs/>
          <w:sz w:val="32"/>
          <w:szCs w:val="32"/>
        </w:rPr>
        <w:t>5.负责八公山区政府财政统发人员公积金汇缴、变更、调整工作</w:t>
      </w:r>
    </w:p>
    <w:p>
      <w:pPr>
        <w:pStyle w:val="5"/>
        <w:adjustRightInd w:val="0"/>
        <w:snapToGrid w:val="0"/>
        <w:spacing w:before="0" w:beforeAutospacing="0" w:after="0" w:afterAutospacing="0" w:line="500" w:lineRule="exact"/>
        <w:ind w:left="627" w:firstLine="640" w:firstLineChars="200"/>
        <w:rPr>
          <w:rFonts w:ascii="仿宋" w:hAnsi="仿宋" w:eastAsia="仿宋" w:cs="仿宋"/>
          <w:bCs/>
          <w:sz w:val="32"/>
          <w:szCs w:val="32"/>
        </w:rPr>
      </w:pPr>
    </w:p>
    <w:p>
      <w:pPr>
        <w:pStyle w:val="5"/>
        <w:adjustRightInd w:val="0"/>
        <w:snapToGrid w:val="0"/>
        <w:spacing w:before="0" w:beforeAutospacing="0" w:after="0" w:afterAutospacing="0" w:line="360" w:lineRule="auto"/>
        <w:ind w:left="627"/>
        <w:jc w:val="both"/>
        <w:rPr>
          <w:rFonts w:ascii="黑体" w:hAnsi="黑体" w:eastAsia="黑体"/>
          <w:bCs/>
          <w:sz w:val="32"/>
          <w:szCs w:val="32"/>
        </w:rPr>
      </w:pPr>
    </w:p>
    <w:p>
      <w:pPr>
        <w:pStyle w:val="5"/>
        <w:numPr>
          <w:ilvl w:val="0"/>
          <w:numId w:val="2"/>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5"/>
        <w:adjustRightInd w:val="0"/>
        <w:snapToGrid w:val="0"/>
        <w:spacing w:before="0" w:beforeAutospacing="0" w:after="0" w:afterAutospacing="0" w:line="360" w:lineRule="auto"/>
        <w:ind w:firstLine="960" w:firstLineChars="300"/>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年度汇总预算包括</w:t>
      </w:r>
      <w:r>
        <w:rPr>
          <w:rFonts w:hint="eastAsia" w:ascii="仿宋_GB2312" w:hAnsi="仿宋" w:eastAsia="仿宋_GB2312" w:cs="仿宋"/>
          <w:bCs/>
          <w:sz w:val="32"/>
          <w:szCs w:val="32"/>
        </w:rPr>
        <w:t>局</w:t>
      </w:r>
      <w:r>
        <w:rPr>
          <w:rFonts w:hint="eastAsia" w:ascii="仿宋_GB2312" w:hAnsi="仿宋" w:eastAsia="仿宋_GB2312"/>
          <w:sz w:val="32"/>
          <w:szCs w:val="32"/>
        </w:rPr>
        <w:t>本级预算、房管所、公园。纳入部门预算编制范围的预算单位共</w:t>
      </w:r>
      <w:r>
        <w:rPr>
          <w:rFonts w:ascii="仿宋_GB2312" w:hAnsi="仿宋" w:eastAsia="仿宋_GB2312"/>
          <w:sz w:val="32"/>
          <w:szCs w:val="32"/>
        </w:rPr>
        <w:t>3</w:t>
      </w:r>
      <w:r>
        <w:rPr>
          <w:rFonts w:hint="eastAsia" w:ascii="仿宋_GB2312" w:hAnsi="仿宋" w:eastAsia="仿宋_GB2312"/>
          <w:sz w:val="32"/>
          <w:szCs w:val="32"/>
        </w:rPr>
        <w:t>个，具体情况见下表。</w:t>
      </w:r>
    </w:p>
    <w:tbl>
      <w:tblPr>
        <w:tblStyle w:val="6"/>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八公山区住建局本级</w:t>
            </w:r>
          </w:p>
        </w:tc>
        <w:tc>
          <w:tcPr>
            <w:tcW w:w="4500" w:type="dxa"/>
            <w:tcBorders>
              <w:top w:val="nil"/>
              <w:left w:val="nil"/>
              <w:bottom w:val="nil"/>
              <w:right w:val="single" w:color="auto" w:sz="8" w:space="0"/>
            </w:tcBorders>
            <w:shd w:val="clear" w:color="auto" w:fill="FFFFFF"/>
          </w:tcPr>
          <w:p>
            <w:pPr>
              <w:adjustRightInd w:val="0"/>
              <w:snapToGrid w:val="0"/>
              <w:spacing w:line="360" w:lineRule="auto"/>
              <w:jc w:val="center"/>
              <w:rPr>
                <w:rFonts w:ascii="仿宋_GB2312" w:hAnsi="宋体" w:eastAsia="仿宋_GB2312"/>
                <w:sz w:val="24"/>
                <w:u w:val="single"/>
              </w:rPr>
            </w:pPr>
            <w:r>
              <w:rPr>
                <w:rFonts w:hint="eastAsia" w:ascii="仿宋_GB2312" w:hAnsi="仿宋" w:eastAsia="仿宋_GB2312" w:cs="仿宋"/>
                <w:bCs/>
                <w:sz w:val="24"/>
              </w:rPr>
              <w:t>行政单位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3600"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仿宋" w:eastAsia="仿宋_GB2312" w:cs="仿宋"/>
                <w:bCs/>
                <w:sz w:val="24"/>
              </w:rPr>
            </w:pPr>
            <w:r>
              <w:rPr>
                <w:rFonts w:hint="eastAsia" w:ascii="仿宋_GB2312" w:hAnsi="仿宋" w:eastAsia="仿宋_GB2312" w:cs="仿宋"/>
                <w:bCs/>
                <w:sz w:val="24"/>
              </w:rPr>
              <w:t>八公山区房管所</w:t>
            </w:r>
          </w:p>
        </w:tc>
        <w:tc>
          <w:tcPr>
            <w:tcW w:w="4500" w:type="dxa"/>
            <w:tcBorders>
              <w:top w:val="nil"/>
              <w:left w:val="nil"/>
              <w:bottom w:val="nil"/>
              <w:right w:val="single" w:color="auto" w:sz="8" w:space="0"/>
            </w:tcBorders>
            <w:shd w:val="clear" w:color="auto" w:fill="FFFFFF"/>
          </w:tcPr>
          <w:p>
            <w:pPr>
              <w:adjustRightInd w:val="0"/>
              <w:snapToGrid w:val="0"/>
              <w:spacing w:line="360" w:lineRule="auto"/>
              <w:jc w:val="center"/>
              <w:rPr>
                <w:rFonts w:ascii="仿宋_GB2312" w:hAnsi="仿宋" w:eastAsia="仿宋_GB2312" w:cs="仿宋"/>
                <w:bCs/>
                <w:sz w:val="24"/>
              </w:rPr>
            </w:pPr>
            <w:r>
              <w:rPr>
                <w:rFonts w:hint="eastAsia" w:ascii="仿宋_GB2312" w:hAnsi="仿宋" w:eastAsia="仿宋_GB2312" w:cs="仿宋"/>
                <w:bCs/>
                <w:sz w:val="24"/>
              </w:rPr>
              <w:t>公益一类事业单位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仿宋" w:eastAsia="仿宋_GB2312" w:cs="仿宋"/>
                <w:bCs/>
                <w:sz w:val="24"/>
              </w:rPr>
            </w:pPr>
            <w:r>
              <w:rPr>
                <w:rFonts w:hint="eastAsia" w:ascii="仿宋_GB2312" w:hAnsi="仿宋" w:eastAsia="仿宋_GB2312" w:cs="仿宋"/>
                <w:bCs/>
                <w:sz w:val="24"/>
              </w:rPr>
              <w:t>八公山公园</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仿宋" w:eastAsia="仿宋_GB2312" w:cs="仿宋"/>
                <w:bCs/>
                <w:sz w:val="24"/>
              </w:rPr>
            </w:pPr>
            <w:r>
              <w:rPr>
                <w:rFonts w:hint="eastAsia" w:ascii="仿宋_GB2312" w:hAnsi="仿宋" w:eastAsia="仿宋_GB2312" w:cs="仿宋"/>
                <w:bCs/>
                <w:sz w:val="24"/>
              </w:rPr>
              <w:t>公益二类事业单位</w:t>
            </w:r>
          </w:p>
        </w:tc>
      </w:tr>
    </w:tbl>
    <w:p>
      <w:pPr>
        <w:pStyle w:val="5"/>
        <w:adjustRightInd w:val="0"/>
        <w:snapToGrid w:val="0"/>
        <w:spacing w:before="0" w:beforeAutospacing="0" w:after="0" w:afterAutospacing="0" w:line="600" w:lineRule="exact"/>
        <w:ind w:firstLine="960" w:firstLineChars="30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年度汇总预算包括住建局本级预算，及二级机构房管所和八公山公园。</w:t>
      </w:r>
    </w:p>
    <w:p>
      <w:pPr>
        <w:pStyle w:val="5"/>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一．引导建筑业高质量发展</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培育引进优质建筑业企业。加快培育本地龙头骨干建筑业企业，积极引导央企、国企和外地优质建筑业企业在我区落户，不断增强我区建筑业高质量发展。二是落实建筑业发展引导政策。认真研究学习《关于促进淮南市建筑业高质量发展的意见》文件精神，并结合我区实际认真贯彻落实。加强与建筑业企业的交流互动，做好服务，让企业更有归属感。三是做好建筑业指标调度工作。结合“四送一服”工作，对辖区内的建筑企业，持续开展走访、帮扶工作，及时跟进企业发展中的困难和问题，确保2022年我区的建筑业产值较2021年有较大增幅。</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二．推动人居环境稳步提升</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稳步实施老旧小区改造工程。2022年计划改造九中家属区、瓷器厂小刘庄2个老旧小区，涉及建筑面积3.861万平方米，住户641户，建设内容为新建道路、雨污分流、绿化、亮化、安防、环卫设施更新、新增助老设施等。目前，项目</w:t>
      </w:r>
      <w:r>
        <w:rPr>
          <w:rFonts w:ascii="仿宋" w:hAnsi="仿宋" w:eastAsia="仿宋" w:cs="仿宋"/>
          <w:sz w:val="32"/>
          <w:szCs w:val="32"/>
        </w:rPr>
        <w:t>立项</w:t>
      </w:r>
      <w:r>
        <w:rPr>
          <w:rFonts w:hint="eastAsia" w:ascii="仿宋" w:hAnsi="仿宋" w:eastAsia="仿宋" w:cs="仿宋"/>
          <w:sz w:val="32"/>
          <w:szCs w:val="32"/>
        </w:rPr>
        <w:t>、</w:t>
      </w:r>
      <w:r>
        <w:rPr>
          <w:rFonts w:ascii="仿宋" w:hAnsi="仿宋" w:eastAsia="仿宋" w:cs="仿宋"/>
          <w:sz w:val="32"/>
          <w:szCs w:val="32"/>
        </w:rPr>
        <w:t>可研、测绘、</w:t>
      </w:r>
      <w:r>
        <w:rPr>
          <w:rFonts w:hint="eastAsia" w:ascii="仿宋" w:hAnsi="仿宋" w:eastAsia="仿宋" w:cs="仿宋"/>
          <w:sz w:val="32"/>
          <w:szCs w:val="32"/>
        </w:rPr>
        <w:t>地勘、</w:t>
      </w:r>
      <w:r>
        <w:rPr>
          <w:rFonts w:ascii="仿宋" w:hAnsi="仿宋" w:eastAsia="仿宋" w:cs="仿宋"/>
          <w:sz w:val="32"/>
          <w:szCs w:val="32"/>
        </w:rPr>
        <w:t>设计等前期工作正在同步开展。</w:t>
      </w:r>
      <w:r>
        <w:rPr>
          <w:rFonts w:hint="eastAsia" w:ascii="仿宋" w:hAnsi="仿宋" w:eastAsia="仿宋" w:cs="仿宋"/>
          <w:sz w:val="32"/>
          <w:szCs w:val="32"/>
        </w:rPr>
        <w:t>二是推动老旧危房片区搬迁安置。推进黄山社区、矿南-八大家2个老旧危房片区的搬迁安置工作。其中：毕家岗街道黄山社区片区（原皖淮机械厂家属区）占地约180亩，土地权属淮南市产发集团，涉及645户，初步摸排建筑面积约4.3万平方米；新庄孜街道矿南-八大家片区占地约160亩，</w:t>
      </w:r>
      <w:r>
        <w:rPr>
          <w:rFonts w:ascii="仿宋" w:hAnsi="仿宋" w:eastAsia="仿宋" w:cs="仿宋"/>
          <w:sz w:val="32"/>
          <w:szCs w:val="32"/>
        </w:rPr>
        <w:t>土地权属淮</w:t>
      </w:r>
      <w:r>
        <w:rPr>
          <w:rFonts w:hint="eastAsia" w:ascii="仿宋" w:hAnsi="仿宋" w:eastAsia="仿宋" w:cs="仿宋"/>
          <w:sz w:val="32"/>
          <w:szCs w:val="32"/>
        </w:rPr>
        <w:t>南</w:t>
      </w:r>
      <w:r>
        <w:rPr>
          <w:rFonts w:ascii="仿宋" w:hAnsi="仿宋" w:eastAsia="仿宋" w:cs="仿宋"/>
          <w:sz w:val="32"/>
          <w:szCs w:val="32"/>
        </w:rPr>
        <w:t>矿</w:t>
      </w:r>
      <w:r>
        <w:rPr>
          <w:rFonts w:hint="eastAsia" w:ascii="仿宋" w:hAnsi="仿宋" w:eastAsia="仿宋" w:cs="仿宋"/>
          <w:sz w:val="32"/>
          <w:szCs w:val="32"/>
        </w:rPr>
        <w:t>业</w:t>
      </w:r>
      <w:r>
        <w:rPr>
          <w:rFonts w:ascii="仿宋" w:hAnsi="仿宋" w:eastAsia="仿宋" w:cs="仿宋"/>
          <w:sz w:val="32"/>
          <w:szCs w:val="32"/>
        </w:rPr>
        <w:t>集团，</w:t>
      </w:r>
      <w:r>
        <w:rPr>
          <w:rFonts w:hint="eastAsia" w:ascii="仿宋" w:hAnsi="仿宋" w:eastAsia="仿宋" w:cs="仿宋"/>
          <w:sz w:val="32"/>
          <w:szCs w:val="32"/>
        </w:rPr>
        <w:t>涉及198户，初步摸排建筑面积约1.2万平方米。目前，区住建局正在对相关政策和流程开展研究，同时对接联系街道开展详细的摸底调查。</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三．促进城市面貌不断更新</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完善城市道路交通体系。积极向市城乡建设局争取对机械厂路、丁山东路等城区主次干道实施大中修项目建设，做好施工环境的协调保障。同时加强与上级市政园林建设部门联系，对缺失、损坏的市政基础设施进行及时修补或重修。</w:t>
      </w:r>
    </w:p>
    <w:p>
      <w:pPr>
        <w:pStyle w:val="2"/>
        <w:spacing w:after="0" w:line="560" w:lineRule="exact"/>
        <w:ind w:left="0" w:leftChars="0"/>
        <w:rPr>
          <w:rFonts w:ascii="仿宋" w:hAnsi="仿宋" w:eastAsia="仿宋" w:cs="仿宋"/>
          <w:sz w:val="32"/>
          <w:szCs w:val="32"/>
        </w:rPr>
      </w:pPr>
      <w:r>
        <w:rPr>
          <w:rFonts w:hint="eastAsia" w:ascii="仿宋" w:hAnsi="仿宋" w:eastAsia="仿宋" w:cs="仿宋"/>
          <w:sz w:val="32"/>
          <w:szCs w:val="32"/>
        </w:rPr>
        <w:t>二是促进公园绿地优化提升。积极向市城乡建设局争取街头游园建设项目，配合市政园林建设处完成游园建设任务，做好建成移交后的管理维护。重点申报儿童公园、八仙阁公园、李嘴孜进矿路桥头游园等点位，建设完善人行步道、绿植绿化、健身器材、环卫设施等。</w:t>
      </w:r>
      <w:r>
        <w:rPr>
          <w:rFonts w:ascii="仿宋" w:hAnsi="仿宋" w:eastAsia="仿宋" w:cs="仿宋"/>
          <w:sz w:val="32"/>
          <w:szCs w:val="32"/>
        </w:rPr>
        <w:t xml:space="preserve"> </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四．助力乡村振兴提档升级</w:t>
      </w:r>
    </w:p>
    <w:p>
      <w:pPr>
        <w:pStyle w:val="2"/>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实施农村公路养护工程。对接市县乡公路局，申报农村公路养护计划，争取上级资金支持。2022年计划对山王镇4公里农村公路实施以路面修补为主要建设内容的养护工程。联系山王镇加快项目实施进度，督促做好施工质量管理，规范使用上级补助资金。同时提升管养水平，加强对道路专管员的业务培训，增强养护人员队伍专业能力和技术水平。二是推进农村危房改造工作。根据2021年底对农村低收入家庭住房开展安全鉴定的结果，我区有20户农村低收入家庭住房鉴定为危房（其中：C级16户，八公山镇5户，山王镇11户；D级4户，八公山镇、山王镇各2户），已向两镇下发整改告知书，督促各镇尽快做好安全防范措施，并将危房鉴定结果信息及告知书同步报送区乡村振兴局。按照4部门印发的《八公山区农村低收入群体等重点对象住房安全保障工作实施方案》要求，区住建局将全力做好农村危房改造指导工作，督促各镇抓紧建立危房档案并切实采取有效的资金筹措方式，加快推进农村危房改造工作。</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五．加快项目建设进度</w:t>
      </w:r>
    </w:p>
    <w:p>
      <w:pPr>
        <w:pStyle w:val="2"/>
        <w:spacing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一是加快水系治理工程进度。目前</w:t>
      </w:r>
      <w:r>
        <w:rPr>
          <w:rFonts w:ascii="仿宋" w:hAnsi="仿宋" w:eastAsia="仿宋" w:cs="仿宋"/>
          <w:sz w:val="32"/>
          <w:szCs w:val="32"/>
        </w:rPr>
        <w:t>南塘、闪冲大沟</w:t>
      </w:r>
      <w:r>
        <w:rPr>
          <w:rFonts w:hint="eastAsia" w:ascii="仿宋" w:hAnsi="仿宋" w:eastAsia="仿宋" w:cs="仿宋"/>
          <w:sz w:val="32"/>
          <w:szCs w:val="32"/>
        </w:rPr>
        <w:t>管网和清淤工程</w:t>
      </w:r>
      <w:r>
        <w:rPr>
          <w:rFonts w:ascii="仿宋" w:hAnsi="仿宋" w:eastAsia="仿宋" w:cs="仿宋"/>
          <w:sz w:val="32"/>
          <w:szCs w:val="32"/>
        </w:rPr>
        <w:t>已基本完成，</w:t>
      </w:r>
      <w:r>
        <w:rPr>
          <w:rFonts w:hint="eastAsia" w:ascii="仿宋" w:hAnsi="仿宋" w:eastAsia="仿宋" w:cs="仿宋"/>
          <w:sz w:val="32"/>
          <w:szCs w:val="32"/>
        </w:rPr>
        <w:t>本年度将</w:t>
      </w:r>
      <w:r>
        <w:rPr>
          <w:rFonts w:ascii="仿宋" w:hAnsi="仿宋" w:eastAsia="仿宋" w:cs="仿宋"/>
          <w:sz w:val="32"/>
          <w:szCs w:val="32"/>
        </w:rPr>
        <w:t>加快钱淮大沟</w:t>
      </w:r>
      <w:r>
        <w:rPr>
          <w:rFonts w:hint="eastAsia" w:ascii="仿宋" w:hAnsi="仿宋" w:eastAsia="仿宋" w:cs="仿宋"/>
          <w:sz w:val="32"/>
          <w:szCs w:val="32"/>
        </w:rPr>
        <w:t>的</w:t>
      </w:r>
      <w:r>
        <w:rPr>
          <w:rFonts w:ascii="仿宋" w:hAnsi="仿宋" w:eastAsia="仿宋" w:cs="仿宋"/>
          <w:sz w:val="32"/>
          <w:szCs w:val="32"/>
        </w:rPr>
        <w:t>施工进度</w:t>
      </w:r>
      <w:r>
        <w:rPr>
          <w:rFonts w:hint="eastAsia" w:ascii="仿宋" w:hAnsi="仿宋" w:eastAsia="仿宋" w:cs="仿宋"/>
          <w:sz w:val="32"/>
          <w:szCs w:val="32"/>
        </w:rPr>
        <w:t>，确保入夏前完成三条水系全部管网和清淤工程。二是协调人防疏散基地项目加快推进。淮南市人防疏散基地（大丁山）项目投资2400万元，总用地约500亩，由淮南市人防办投资建设。项目以“平战结合”为原则，平时作为生态种植基地，战（灾）时作为人员、应急物资储备和发放的基地，并配套建设相关设施。目前，项目正在实施场地平整。三是启动人防机动指挥平台建设。人防指挥平台建设任务纳入省人防办对各地市的目标考核。主要建设内容为：装载平台（小型四驱越野车）、通信信息分系统和综合保障分系统。项目总投资约260万元，上级补助资金约为50万元，计划3月份立项,9月完成设计和招标，年底前完成调试并投入使用。</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六．落实安全生产监管责任</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是开展安全隐患巡查。结合城乡建设系统持续开展的安全生产专项整治三年行动，对辖区内的在建工地和燃气经营单位共开展安全巡查，重点关注深基坑、脚手架、高支模等高危险性施工。二是开展安全生产宣传教育。通过“安全生产月”等各类宣传活动平台，深入建筑企业进行安全生产宣传，提高一线员工的安全生产意识。三是加强燃气等市政公用设施专项整治活动。组织辖区内各燃气经营单位开展燃气安全生产专项排查整治工作，加强燃气安全日常巡查，积极联系燃气管道单位巡线人员，现场指导，确保不发生施工安全事故。</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七．加强环保和文明施工管理</w:t>
      </w:r>
    </w:p>
    <w:p>
      <w:pPr>
        <w:spacing w:line="560" w:lineRule="exact"/>
        <w:ind w:firstLine="643"/>
        <w:rPr>
          <w:rFonts w:ascii="仿宋" w:hAnsi="仿宋" w:eastAsia="仿宋" w:cs="仿宋"/>
          <w:sz w:val="32"/>
          <w:szCs w:val="32"/>
        </w:rPr>
      </w:pPr>
      <w:r>
        <w:rPr>
          <w:rFonts w:hint="eastAsia" w:ascii="仿宋" w:hAnsi="仿宋" w:eastAsia="仿宋" w:cs="仿宋"/>
          <w:sz w:val="32"/>
          <w:szCs w:val="32"/>
        </w:rPr>
        <w:t>一是保持八公山涧沟治理成果。持续进行涧沟沿线垃圾整治，积极协调各沿线属地单位开展垃圾清理和杂物清除工作，保持涧沟环境整洁。二是加强建筑工地文明施工管理。要求各类建筑工地按规范设置围挡，按规定设置车辆冲洗装置，对施工区内的道路进行硬化处理。针对施工产生的扬尘、渣土等要求施工单位采取措施，及时洒水降尘和清运。</w:t>
      </w: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rPr>
        <w:t>淮南市八公山区住房和城乡建设局汇总</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746.6</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5</w:t>
            </w:r>
            <w:r>
              <w:rPr>
                <w:rFonts w:ascii="宋体" w:hAnsi="宋体" w:cs="宋体"/>
                <w:kern w:val="0"/>
                <w:sz w:val="20"/>
                <w:szCs w:val="20"/>
              </w:rPr>
              <w:t>00</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29.6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7.8</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168.2</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0.0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547.2</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746.6</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772</w:t>
            </w:r>
            <w:r>
              <w:rPr>
                <w:rFonts w:hint="eastAsia" w:ascii="宋体" w:hAnsi="宋体" w:cs="宋体"/>
                <w:kern w:val="0"/>
                <w:sz w:val="20"/>
                <w:szCs w:val="20"/>
              </w:rPr>
              <w:t>．7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6.1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2</w:t>
            </w:r>
            <w:r>
              <w:rPr>
                <w:rFonts w:ascii="宋体" w:hAnsi="宋体" w:cs="宋体"/>
                <w:kern w:val="0"/>
                <w:sz w:val="20"/>
                <w:szCs w:val="20"/>
              </w:rPr>
              <w:t>6.1</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ascii="宋体" w:hAnsi="宋体" w:cs="宋体"/>
                <w:b/>
                <w:bCs/>
                <w:kern w:val="0"/>
                <w:sz w:val="18"/>
                <w:szCs w:val="18"/>
              </w:rPr>
              <w:t>772.7</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ascii="宋体" w:hAnsi="宋体" w:cs="宋体"/>
                <w:kern w:val="0"/>
                <w:sz w:val="20"/>
                <w:szCs w:val="20"/>
              </w:rPr>
              <w:t>772.7</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rPr>
        <w:t>淮南市八公山区住房和城乡建设局</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6"/>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八公山区住建局</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772.7</w:t>
            </w:r>
          </w:p>
        </w:tc>
        <w:tc>
          <w:tcPr>
            <w:tcW w:w="5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746.6</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746.6</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八公山区住建局</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772.7</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746.6</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ascii="宋体" w:hAnsi="宋体" w:cs="宋体"/>
                <w:color w:val="000000"/>
                <w:kern w:val="0"/>
                <w:sz w:val="20"/>
                <w:szCs w:val="20"/>
              </w:rPr>
              <w:t>746.6</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6.1</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3</w:t>
      </w:r>
    </w:p>
    <w:tbl>
      <w:tblPr>
        <w:tblStyle w:val="6"/>
        <w:tblW w:w="9540" w:type="dxa"/>
        <w:tblInd w:w="108" w:type="dxa"/>
        <w:tblLayout w:type="autofit"/>
        <w:tblCellMar>
          <w:top w:w="0" w:type="dxa"/>
          <w:left w:w="108" w:type="dxa"/>
          <w:bottom w:w="0" w:type="dxa"/>
          <w:right w:w="108" w:type="dxa"/>
        </w:tblCellMar>
      </w:tblPr>
      <w:tblGrid>
        <w:gridCol w:w="1040"/>
        <w:gridCol w:w="1180"/>
        <w:gridCol w:w="1300"/>
        <w:gridCol w:w="1280"/>
        <w:gridCol w:w="1060"/>
        <w:gridCol w:w="1300"/>
        <w:gridCol w:w="1200"/>
        <w:gridCol w:w="1180"/>
      </w:tblGrid>
      <w:tr>
        <w:tblPrEx>
          <w:tblCellMar>
            <w:top w:w="0" w:type="dxa"/>
            <w:left w:w="108" w:type="dxa"/>
            <w:bottom w:w="0" w:type="dxa"/>
            <w:right w:w="108" w:type="dxa"/>
          </w:tblCellMar>
        </w:tblPrEx>
        <w:trPr>
          <w:trHeight w:val="584" w:hRule="atLeast"/>
        </w:trPr>
        <w:tc>
          <w:tcPr>
            <w:tcW w:w="9540" w:type="dxa"/>
            <w:gridSpan w:val="8"/>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淮南市八公山区住房和城乡建设局2022年支出总表</w:t>
            </w:r>
          </w:p>
        </w:tc>
      </w:tr>
      <w:tr>
        <w:tblPrEx>
          <w:tblCellMar>
            <w:top w:w="0" w:type="dxa"/>
            <w:left w:w="108" w:type="dxa"/>
            <w:bottom w:w="0" w:type="dxa"/>
            <w:right w:w="108" w:type="dxa"/>
          </w:tblCellMar>
        </w:tblPrEx>
        <w:trPr>
          <w:trHeight w:val="1008" w:hRule="atLeast"/>
        </w:trPr>
        <w:tc>
          <w:tcPr>
            <w:tcW w:w="104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11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3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28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06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3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200" w:type="dxa"/>
            <w:tcBorders>
              <w:top w:val="nil"/>
              <w:left w:val="nil"/>
              <w:bottom w:val="single" w:color="000000" w:sz="4" w:space="0"/>
              <w:right w:val="nil"/>
            </w:tcBorders>
            <w:shd w:val="clear" w:color="auto" w:fill="auto"/>
            <w:noWrap/>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w:t>
            </w:r>
          </w:p>
        </w:tc>
        <w:tc>
          <w:tcPr>
            <w:tcW w:w="1180" w:type="dxa"/>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1008"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11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事业单位经营支出</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上缴上级支出</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对附属单位补助支出</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208</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2080505</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2080506</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210</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r>
              <w:rPr>
                <w:rFonts w:ascii="宋体" w:hAnsi="宋体" w:cs="Arial"/>
                <w:color w:val="000000"/>
                <w:kern w:val="0"/>
                <w:sz w:val="20"/>
                <w:szCs w:val="20"/>
              </w:rPr>
              <w:t>.8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事业单位医疗</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5.2</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5.2</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2101103</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168.2</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117.6</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50.6</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城乡社区管理事务</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168.2</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117.6</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50.6</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r>
              <w:rPr>
                <w:rFonts w:ascii="宋体" w:hAnsi="宋体" w:cs="Arial"/>
                <w:color w:val="000000"/>
                <w:kern w:val="0"/>
                <w:sz w:val="20"/>
                <w:szCs w:val="20"/>
              </w:rPr>
              <w:t>120199</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其他城乡社区管理事务支出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r>
              <w:rPr>
                <w:rFonts w:ascii="宋体" w:hAnsi="宋体" w:cs="Arial"/>
                <w:color w:val="000000"/>
                <w:kern w:val="0"/>
                <w:sz w:val="20"/>
                <w:szCs w:val="20"/>
              </w:rPr>
              <w:t>5.3</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r>
              <w:rPr>
                <w:rFonts w:ascii="宋体" w:hAnsi="宋体" w:cs="Arial"/>
                <w:color w:val="000000"/>
                <w:kern w:val="0"/>
                <w:sz w:val="20"/>
                <w:szCs w:val="20"/>
              </w:rPr>
              <w:t>9.9</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r>
              <w:rPr>
                <w:rFonts w:ascii="宋体" w:hAnsi="宋体" w:cs="Arial"/>
                <w:color w:val="000000"/>
                <w:kern w:val="0"/>
                <w:sz w:val="20"/>
                <w:szCs w:val="20"/>
              </w:rPr>
              <w:t>5.4</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2129999</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213</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农林水支出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农业农村</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2130142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农村道路建设</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547.2</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保障性安居工程支出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2210108</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老旧小区改造</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2210201</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2210202</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提租补贴</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9.0</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9.0</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008" w:hRule="atLeast"/>
        </w:trPr>
        <w:tc>
          <w:tcPr>
            <w:tcW w:w="10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772.7</w:t>
            </w:r>
          </w:p>
        </w:tc>
        <w:tc>
          <w:tcPr>
            <w:tcW w:w="12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176</w:t>
            </w:r>
          </w:p>
        </w:tc>
        <w:tc>
          <w:tcPr>
            <w:tcW w:w="10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596.7</w:t>
            </w:r>
          </w:p>
        </w:tc>
        <w:tc>
          <w:tcPr>
            <w:tcW w:w="1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1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
    <w:p/>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4</w:t>
      </w:r>
    </w:p>
    <w:tbl>
      <w:tblPr>
        <w:tblStyle w:val="6"/>
        <w:tblW w:w="7140" w:type="dxa"/>
        <w:tblInd w:w="108" w:type="dxa"/>
        <w:tblLayout w:type="autofit"/>
        <w:tblCellMar>
          <w:top w:w="0" w:type="dxa"/>
          <w:left w:w="108" w:type="dxa"/>
          <w:bottom w:w="0" w:type="dxa"/>
          <w:right w:w="108" w:type="dxa"/>
        </w:tblCellMar>
      </w:tblPr>
      <w:tblGrid>
        <w:gridCol w:w="480"/>
        <w:gridCol w:w="336"/>
        <w:gridCol w:w="2831"/>
        <w:gridCol w:w="1729"/>
        <w:gridCol w:w="1948"/>
      </w:tblGrid>
      <w:tr>
        <w:tblPrEx>
          <w:tblCellMar>
            <w:top w:w="0" w:type="dxa"/>
            <w:left w:w="108" w:type="dxa"/>
            <w:bottom w:w="0" w:type="dxa"/>
            <w:right w:w="108" w:type="dxa"/>
          </w:tblCellMar>
        </w:tblPrEx>
        <w:trPr>
          <w:trHeight w:val="1719" w:hRule="atLeast"/>
        </w:trPr>
        <w:tc>
          <w:tcPr>
            <w:tcW w:w="7140"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6"/>
                <w:szCs w:val="36"/>
              </w:rPr>
            </w:pPr>
            <w:r>
              <w:rPr>
                <w:rFonts w:hint="eastAsia" w:ascii="黑体" w:hAnsi="黑体" w:eastAsia="黑体" w:cs="Arial"/>
                <w:color w:val="000000"/>
                <w:kern w:val="0"/>
                <w:sz w:val="36"/>
                <w:szCs w:val="36"/>
              </w:rPr>
              <w:t>淮南市八公山区住房和城乡建设局2022年财政拨款收支总表</w:t>
            </w:r>
          </w:p>
        </w:tc>
      </w:tr>
      <w:tr>
        <w:tblPrEx>
          <w:tblCellMar>
            <w:top w:w="0" w:type="dxa"/>
            <w:left w:w="108" w:type="dxa"/>
            <w:bottom w:w="0" w:type="dxa"/>
            <w:right w:w="108" w:type="dxa"/>
          </w:tblCellMar>
        </w:tblPrEx>
        <w:trPr>
          <w:trHeight w:val="376" w:hRule="atLeast"/>
        </w:trPr>
        <w:tc>
          <w:tcPr>
            <w:tcW w:w="372"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6"/>
                <w:szCs w:val="36"/>
              </w:rPr>
            </w:pPr>
          </w:p>
        </w:tc>
        <w:tc>
          <w:tcPr>
            <w:tcW w:w="260" w:type="dxa"/>
            <w:tcBorders>
              <w:top w:val="nil"/>
              <w:left w:val="nil"/>
              <w:bottom w:val="single" w:color="000000" w:sz="4" w:space="0"/>
              <w:right w:val="nil"/>
            </w:tcBorders>
            <w:shd w:val="clear" w:color="auto" w:fill="auto"/>
            <w:noWrap/>
            <w:vAlign w:val="bottom"/>
          </w:tcPr>
          <w:p>
            <w:pPr>
              <w:widowControl/>
              <w:jc w:val="left"/>
              <w:rPr>
                <w:rFonts w:cs="Calibri"/>
                <w:color w:val="000000"/>
                <w:kern w:val="0"/>
                <w:sz w:val="22"/>
              </w:rPr>
            </w:pPr>
            <w:r>
              <w:rPr>
                <w:rFonts w:cs="Calibri"/>
                <w:color w:val="000000"/>
                <w:kern w:val="0"/>
                <w:sz w:val="22"/>
              </w:rPr>
              <w:t>　</w:t>
            </w:r>
          </w:p>
        </w:tc>
        <w:tc>
          <w:tcPr>
            <w:tcW w:w="2831"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948" w:type="dxa"/>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76" w:hRule="atLeast"/>
        </w:trPr>
        <w:tc>
          <w:tcPr>
            <w:tcW w:w="3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xml:space="preserve">          收            入             </w:t>
            </w:r>
          </w:p>
        </w:tc>
        <w:tc>
          <w:tcPr>
            <w:tcW w:w="367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          出</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xml:space="preserve"> 项目</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一、本年收入</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746.6</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一、本年支出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772.7</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746.6</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（一）一般公共服务支出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（二）外交支出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（三）国防支出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（四）公共安全支出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二、上年结转</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（五）教育支出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（六）科学技术支出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（七）文化旅游体育与传媒支出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（三）国有资本经营预算拨款</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（八）社会保障和就业支出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（九）卫生健康支出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（十）节能环保支出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（十一）城乡社区支出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168.2</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（十二）农林水支出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（十三）交通运输支出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（十四）资源勘探工业信息等支出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（十五）商业服务业等支出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（十六）金融支出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（十七）援助其他地区支出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（十八）自然资源海洋气象等支出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（十九）住房保障支出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547.2</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（二十）粮油物资储备支出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（二十一）灾害防治及应急管理支出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（二十二）预备费</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（二十三）其他支出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（二十四）转移性支出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（二十五）债务还本支出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（二十六）债务付息支出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（二十七）债务发行费用支出</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二、年终结转结余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（一）一般公共预算结转结余</w:t>
            </w:r>
          </w:p>
        </w:tc>
        <w:tc>
          <w:tcPr>
            <w:tcW w:w="1948"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（二）政府性基金预算结转结余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（三）国有资本经营预算结转结余</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778" w:hRule="atLeast"/>
        </w:trPr>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收   入   总   计</w:t>
            </w:r>
          </w:p>
        </w:tc>
        <w:tc>
          <w:tcPr>
            <w:tcW w:w="28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772.7</w:t>
            </w:r>
          </w:p>
        </w:tc>
        <w:tc>
          <w:tcPr>
            <w:tcW w:w="17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支　出  总　计</w:t>
            </w:r>
          </w:p>
        </w:tc>
        <w:tc>
          <w:tcPr>
            <w:tcW w:w="1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772.7</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5</w:t>
      </w:r>
    </w:p>
    <w:tbl>
      <w:tblPr>
        <w:tblStyle w:val="6"/>
        <w:tblW w:w="9000" w:type="dxa"/>
        <w:tblInd w:w="108" w:type="dxa"/>
        <w:tblLayout w:type="autofit"/>
        <w:tblCellMar>
          <w:top w:w="0" w:type="dxa"/>
          <w:left w:w="108" w:type="dxa"/>
          <w:bottom w:w="0" w:type="dxa"/>
          <w:right w:w="108" w:type="dxa"/>
        </w:tblCellMar>
      </w:tblPr>
      <w:tblGrid>
        <w:gridCol w:w="940"/>
        <w:gridCol w:w="1860"/>
        <w:gridCol w:w="1080"/>
        <w:gridCol w:w="1120"/>
        <w:gridCol w:w="1080"/>
        <w:gridCol w:w="1360"/>
        <w:gridCol w:w="1560"/>
      </w:tblGrid>
      <w:tr>
        <w:tblPrEx>
          <w:tblCellMar>
            <w:top w:w="0" w:type="dxa"/>
            <w:left w:w="108" w:type="dxa"/>
            <w:bottom w:w="0" w:type="dxa"/>
            <w:right w:w="108" w:type="dxa"/>
          </w:tblCellMar>
        </w:tblPrEx>
        <w:trPr>
          <w:trHeight w:val="527" w:hRule="atLeast"/>
        </w:trPr>
        <w:tc>
          <w:tcPr>
            <w:tcW w:w="9000" w:type="dxa"/>
            <w:gridSpan w:val="7"/>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淮南市八公山区住房和城乡建设局2022年一般公共预算支出表</w:t>
            </w:r>
          </w:p>
        </w:tc>
      </w:tr>
      <w:tr>
        <w:tblPrEx>
          <w:tblCellMar>
            <w:top w:w="0" w:type="dxa"/>
            <w:left w:w="108" w:type="dxa"/>
            <w:bottom w:w="0" w:type="dxa"/>
            <w:right w:w="108" w:type="dxa"/>
          </w:tblCellMar>
        </w:tblPrEx>
        <w:trPr>
          <w:trHeight w:val="360" w:hRule="atLeast"/>
        </w:trPr>
        <w:tc>
          <w:tcPr>
            <w:tcW w:w="940" w:type="dxa"/>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76" w:hRule="atLeast"/>
        </w:trPr>
        <w:tc>
          <w:tcPr>
            <w:tcW w:w="94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18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35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r>
      <w:tr>
        <w:tblPrEx>
          <w:tblCellMar>
            <w:top w:w="0" w:type="dxa"/>
            <w:left w:w="108" w:type="dxa"/>
            <w:bottom w:w="0" w:type="dxa"/>
            <w:right w:w="108" w:type="dxa"/>
          </w:tblCellMar>
        </w:tblPrEx>
        <w:trPr>
          <w:trHeight w:val="376" w:hRule="atLeast"/>
        </w:trPr>
        <w:tc>
          <w:tcPr>
            <w:tcW w:w="94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86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小计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人员经费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公用经费</w:t>
            </w:r>
          </w:p>
        </w:tc>
        <w:tc>
          <w:tcPr>
            <w:tcW w:w="156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r>
      <w:tr>
        <w:tblPrEx>
          <w:tblCellMar>
            <w:top w:w="0" w:type="dxa"/>
            <w:left w:w="108" w:type="dxa"/>
            <w:bottom w:w="0" w:type="dxa"/>
            <w:right w:w="108" w:type="dxa"/>
          </w:tblCellMar>
        </w:tblPrEx>
        <w:trPr>
          <w:trHeight w:val="1262"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208</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29.6</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2080505</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2080506</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210</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r>
              <w:rPr>
                <w:rFonts w:ascii="宋体" w:hAnsi="宋体" w:cs="Arial"/>
                <w:color w:val="000000"/>
                <w:kern w:val="0"/>
                <w:sz w:val="20"/>
                <w:szCs w:val="20"/>
              </w:rPr>
              <w:t>.8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r>
              <w:rPr>
                <w:rFonts w:ascii="宋体" w:hAnsi="宋体" w:cs="Arial"/>
                <w:color w:val="000000"/>
                <w:kern w:val="0"/>
                <w:sz w:val="20"/>
                <w:szCs w:val="20"/>
              </w:rPr>
              <w:t>.8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事业单位医疗</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5.2</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5.2</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2101103</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168.2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117.6</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111.4</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6.3</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50.6</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城乡社区管理事务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168.2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117.6</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111.4</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6.3</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50.6</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2120101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67.9</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47.7</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42.7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r>
              <w:rPr>
                <w:rFonts w:ascii="宋体" w:hAnsi="宋体" w:cs="Arial"/>
                <w:color w:val="000000"/>
                <w:kern w:val="0"/>
                <w:sz w:val="20"/>
                <w:szCs w:val="20"/>
              </w:rPr>
              <w:t>120199</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其他城乡社区管理事务支出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r>
              <w:rPr>
                <w:rFonts w:ascii="宋体" w:hAnsi="宋体" w:cs="Arial"/>
                <w:color w:val="000000"/>
                <w:kern w:val="0"/>
                <w:sz w:val="20"/>
                <w:szCs w:val="20"/>
              </w:rPr>
              <w:t>5.3</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r>
              <w:rPr>
                <w:rFonts w:ascii="宋体" w:hAnsi="宋体" w:cs="Arial"/>
                <w:color w:val="000000"/>
                <w:kern w:val="0"/>
                <w:sz w:val="20"/>
                <w:szCs w:val="20"/>
              </w:rPr>
              <w:t>9.9</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r>
              <w:rPr>
                <w:rFonts w:ascii="宋体" w:hAnsi="宋体" w:cs="Arial"/>
                <w:color w:val="000000"/>
                <w:kern w:val="0"/>
                <w:sz w:val="20"/>
                <w:szCs w:val="20"/>
              </w:rPr>
              <w:t>8.7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r>
              <w:rPr>
                <w:rFonts w:ascii="宋体" w:hAnsi="宋体" w:cs="Arial"/>
                <w:color w:val="000000"/>
                <w:kern w:val="0"/>
                <w:sz w:val="20"/>
                <w:szCs w:val="20"/>
              </w:rPr>
              <w:t>.3</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r>
              <w:rPr>
                <w:rFonts w:ascii="宋体" w:hAnsi="宋体" w:cs="Arial"/>
                <w:color w:val="000000"/>
                <w:kern w:val="0"/>
                <w:sz w:val="20"/>
                <w:szCs w:val="20"/>
              </w:rPr>
              <w:t>5.4</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2129999</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其他城乡社区支出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213</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农林水支出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农业农村</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2130142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农村道路建设</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547.2</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保障性安居工程支出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2210108</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老旧小区改造</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21.1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2210201</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r>
              <w:rPr>
                <w:rFonts w:ascii="宋体" w:hAnsi="宋体" w:cs="Arial"/>
                <w:color w:val="000000"/>
                <w:kern w:val="0"/>
                <w:sz w:val="20"/>
                <w:szCs w:val="20"/>
              </w:rPr>
              <w:t>2.1</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2210202</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提租补贴</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8.0</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8.0</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8.0</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262"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772.7</w:t>
            </w:r>
          </w:p>
        </w:tc>
        <w:tc>
          <w:tcPr>
            <w:tcW w:w="11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176</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169.7</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6.3</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596.7</w:t>
            </w: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267" w:hRule="atLeast"/>
        </w:trPr>
        <w:tc>
          <w:tcPr>
            <w:tcW w:w="94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12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3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r>
    </w:tbl>
    <w:p>
      <w:pPr>
        <w:ind w:left="7400" w:hanging="7400" w:hangingChars="3700"/>
        <w:rPr>
          <w:rFonts w:ascii="宋体" w:cs="宋体"/>
          <w:kern w:val="0"/>
          <w:sz w:val="20"/>
          <w:szCs w:val="20"/>
        </w:rPr>
      </w:pPr>
    </w:p>
    <w:p/>
    <w:p/>
    <w:p/>
    <w:p/>
    <w:p/>
    <w:p/>
    <w:p/>
    <w:p/>
    <w:p/>
    <w:p/>
    <w:p/>
    <w:p/>
    <w:p/>
    <w:p/>
    <w:p/>
    <w:p/>
    <w:p/>
    <w:p/>
    <w:p>
      <w:pPr>
        <w:ind w:left="903" w:leftChars="430" w:firstLine="5400" w:firstLineChars="2700"/>
        <w:rPr>
          <w:rFonts w:ascii="宋体" w:cs="宋体"/>
          <w:kern w:val="0"/>
          <w:sz w:val="20"/>
          <w:szCs w:val="20"/>
        </w:rPr>
      </w:pPr>
    </w:p>
    <w:p>
      <w:pPr>
        <w:ind w:left="903" w:leftChars="430" w:firstLine="5400" w:firstLineChars="2700"/>
      </w:pP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6</w:t>
      </w:r>
    </w:p>
    <w:tbl>
      <w:tblPr>
        <w:tblStyle w:val="6"/>
        <w:tblW w:w="8300" w:type="dxa"/>
        <w:tblInd w:w="108" w:type="dxa"/>
        <w:tblLayout w:type="autofit"/>
        <w:tblCellMar>
          <w:top w:w="0" w:type="dxa"/>
          <w:left w:w="108" w:type="dxa"/>
          <w:bottom w:w="0" w:type="dxa"/>
          <w:right w:w="108" w:type="dxa"/>
        </w:tblCellMar>
      </w:tblPr>
      <w:tblGrid>
        <w:gridCol w:w="1080"/>
        <w:gridCol w:w="2620"/>
        <w:gridCol w:w="1360"/>
        <w:gridCol w:w="1700"/>
        <w:gridCol w:w="1540"/>
      </w:tblGrid>
      <w:tr>
        <w:tblPrEx>
          <w:tblCellMar>
            <w:top w:w="0" w:type="dxa"/>
            <w:left w:w="108" w:type="dxa"/>
            <w:bottom w:w="0" w:type="dxa"/>
            <w:right w:w="108" w:type="dxa"/>
          </w:tblCellMar>
        </w:tblPrEx>
        <w:trPr>
          <w:trHeight w:val="1380" w:hRule="atLeast"/>
        </w:trPr>
        <w:tc>
          <w:tcPr>
            <w:tcW w:w="8300"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淮南市八公山区住房和城乡建设局2022年一般公共预算基本支出表</w:t>
            </w:r>
          </w:p>
        </w:tc>
      </w:tr>
      <w:tr>
        <w:tblPrEx>
          <w:tblCellMar>
            <w:top w:w="0" w:type="dxa"/>
            <w:left w:w="108" w:type="dxa"/>
            <w:bottom w:w="0" w:type="dxa"/>
            <w:right w:w="108" w:type="dxa"/>
          </w:tblCellMar>
        </w:tblPrEx>
        <w:trPr>
          <w:trHeight w:val="360" w:hRule="atLeast"/>
        </w:trPr>
        <w:tc>
          <w:tcPr>
            <w:tcW w:w="108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26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3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4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1150" w:hRule="atLeast"/>
        </w:trPr>
        <w:tc>
          <w:tcPr>
            <w:tcW w:w="3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部门预算支出经济分类科目</w:t>
            </w:r>
          </w:p>
        </w:tc>
        <w:tc>
          <w:tcPr>
            <w:tcW w:w="460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本年一般公共预算基本支出</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人员经费</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公用经费</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工资福利支出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160.5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160.5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基本工资</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60.1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60.1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津贴补贴</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15.4</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15.4</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奖金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30107</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绩效工资</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29.8</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29.8</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30108</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16.3</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30109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职业年金缴费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8.1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30110</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职工基本医疗保险缴费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7.0</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7.0</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公务员医疗补助缴费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0.8</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其他社会保障缴费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0.5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0.5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30113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12.1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30199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其他工资福利支出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9.5</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商品和服务支出</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6.3</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w:t>
            </w:r>
            <w:r>
              <w:rPr>
                <w:rFonts w:hint="eastAsia" w:ascii="宋体" w:hAnsi="宋体" w:cs="Arial"/>
                <w:color w:val="000000"/>
                <w:kern w:val="0"/>
                <w:sz w:val="20"/>
                <w:szCs w:val="20"/>
              </w:rPr>
              <w:t>.</w:t>
            </w:r>
            <w:r>
              <w:rPr>
                <w:rFonts w:ascii="宋体" w:hAnsi="宋体" w:cs="Arial"/>
                <w:color w:val="000000"/>
                <w:kern w:val="0"/>
                <w:sz w:val="20"/>
                <w:szCs w:val="20"/>
              </w:rPr>
              <w:t>3</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30201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办公费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0.9</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0.9</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30228</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工会经费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1.3</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1.3</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r>
              <w:rPr>
                <w:rFonts w:ascii="宋体" w:hAnsi="宋体" w:cs="Arial"/>
                <w:color w:val="000000"/>
                <w:kern w:val="0"/>
                <w:sz w:val="20"/>
                <w:szCs w:val="20"/>
              </w:rPr>
              <w:t>0231</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r>
              <w:rPr>
                <w:rFonts w:ascii="宋体" w:hAnsi="宋体" w:cs="Arial"/>
                <w:color w:val="000000"/>
                <w:kern w:val="0"/>
                <w:sz w:val="20"/>
                <w:szCs w:val="20"/>
              </w:rPr>
              <w:t>.5</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r>
              <w:rPr>
                <w:rFonts w:ascii="宋体" w:hAnsi="宋体" w:cs="Arial"/>
                <w:color w:val="000000"/>
                <w:kern w:val="0"/>
                <w:sz w:val="20"/>
                <w:szCs w:val="20"/>
              </w:rPr>
              <w:t>.5</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30239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其他交通费用</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3.7</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303</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9.2</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9.2</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30302</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退休费</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3.7</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3.7</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r>
              <w:rPr>
                <w:rFonts w:ascii="宋体" w:hAnsi="宋体" w:cs="Arial"/>
                <w:color w:val="000000"/>
                <w:kern w:val="0"/>
                <w:sz w:val="20"/>
                <w:szCs w:val="20"/>
              </w:rPr>
              <w:t>0307</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医疗费补助</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r>
              <w:rPr>
                <w:rFonts w:ascii="宋体" w:hAnsi="宋体" w:cs="Arial"/>
                <w:color w:val="000000"/>
                <w:kern w:val="0"/>
                <w:sz w:val="20"/>
                <w:szCs w:val="20"/>
              </w:rPr>
              <w:t>.8</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w:t>
            </w:r>
            <w:r>
              <w:rPr>
                <w:rFonts w:ascii="宋体" w:hAnsi="宋体" w:cs="Arial"/>
                <w:color w:val="000000"/>
                <w:kern w:val="0"/>
                <w:sz w:val="20"/>
                <w:szCs w:val="20"/>
              </w:rPr>
              <w:t>.8</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30309</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奖励金</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0.1</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5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3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176</w:t>
            </w:r>
          </w:p>
        </w:tc>
        <w:tc>
          <w:tcPr>
            <w:tcW w:w="17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169.7</w:t>
            </w:r>
          </w:p>
        </w:tc>
        <w:tc>
          <w:tcPr>
            <w:tcW w:w="1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6.3</w:t>
            </w:r>
          </w:p>
        </w:tc>
      </w:tr>
    </w:tbl>
    <w:p>
      <w:pPr>
        <w:ind w:left="903" w:leftChars="430" w:firstLine="5670" w:firstLineChars="2700"/>
      </w:pPr>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7</w:t>
      </w:r>
    </w:p>
    <w:tbl>
      <w:tblPr>
        <w:tblStyle w:val="6"/>
        <w:tblW w:w="8939" w:type="dxa"/>
        <w:tblInd w:w="100" w:type="dxa"/>
        <w:tblLayout w:type="autofit"/>
        <w:tblCellMar>
          <w:top w:w="0" w:type="dxa"/>
          <w:left w:w="108" w:type="dxa"/>
          <w:bottom w:w="0" w:type="dxa"/>
          <w:right w:w="108" w:type="dxa"/>
        </w:tblCellMar>
      </w:tblPr>
      <w:tblGrid>
        <w:gridCol w:w="717"/>
        <w:gridCol w:w="2345"/>
        <w:gridCol w:w="1482"/>
        <w:gridCol w:w="1985"/>
        <w:gridCol w:w="2410"/>
      </w:tblGrid>
      <w:tr>
        <w:tblPrEx>
          <w:tblCellMar>
            <w:top w:w="0" w:type="dxa"/>
            <w:left w:w="108" w:type="dxa"/>
            <w:bottom w:w="0" w:type="dxa"/>
            <w:right w:w="108" w:type="dxa"/>
          </w:tblCellMar>
        </w:tblPrEx>
        <w:trPr>
          <w:trHeight w:val="796" w:hRule="atLeast"/>
        </w:trPr>
        <w:tc>
          <w:tcPr>
            <w:tcW w:w="8939" w:type="dxa"/>
            <w:gridSpan w:val="5"/>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淮南市八公山区住房和城乡建设局2022年政府性基金预算支出表</w:t>
            </w:r>
          </w:p>
        </w:tc>
      </w:tr>
      <w:tr>
        <w:tblPrEx>
          <w:tblCellMar>
            <w:top w:w="0" w:type="dxa"/>
            <w:left w:w="108" w:type="dxa"/>
            <w:bottom w:w="0" w:type="dxa"/>
            <w:right w:w="108" w:type="dxa"/>
          </w:tblCellMar>
        </w:tblPrEx>
        <w:trPr>
          <w:trHeight w:val="360" w:hRule="atLeast"/>
        </w:trPr>
        <w:tc>
          <w:tcPr>
            <w:tcW w:w="717" w:type="dxa"/>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p>
        </w:tc>
        <w:tc>
          <w:tcPr>
            <w:tcW w:w="2345"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482"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985"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2410"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527"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587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本年政府性基金预算支出</w:t>
            </w:r>
          </w:p>
        </w:tc>
      </w:tr>
      <w:tr>
        <w:tblPrEx>
          <w:tblCellMar>
            <w:top w:w="0" w:type="dxa"/>
            <w:left w:w="108" w:type="dxa"/>
            <w:bottom w:w="0" w:type="dxa"/>
            <w:right w:w="108" w:type="dxa"/>
          </w:tblCellMar>
        </w:tblPrEx>
        <w:trPr>
          <w:trHeight w:val="527" w:hRule="atLeast"/>
        </w:trPr>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23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4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24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r>
      <w:tr>
        <w:tblPrEx>
          <w:tblCellMar>
            <w:top w:w="0" w:type="dxa"/>
            <w:left w:w="108" w:type="dxa"/>
            <w:bottom w:w="0" w:type="dxa"/>
            <w:right w:w="108" w:type="dxa"/>
          </w:tblCellMar>
        </w:tblPrEx>
        <w:trPr>
          <w:trHeight w:val="376" w:hRule="atLeast"/>
        </w:trPr>
        <w:tc>
          <w:tcPr>
            <w:tcW w:w="717"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3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4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4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48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717"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34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48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98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24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5"/>
        <w:adjustRightInd w:val="0"/>
        <w:snapToGrid w:val="0"/>
        <w:spacing w:before="0" w:beforeAutospacing="0" w:after="0" w:afterAutospacing="0" w:line="360" w:lineRule="auto"/>
      </w:pPr>
      <w:r>
        <w:rPr>
          <w:rFonts w:hint="eastAsia"/>
        </w:rPr>
        <w:t>说明：“淮南市八公山区住房和城乡建设局没有政府性基金预算拨款收入，也没有政府性基金预算拨款安排的支出，故本表无数据”。</w:t>
      </w:r>
    </w:p>
    <w:p/>
    <w:p/>
    <w:p/>
    <w:p/>
    <w:p/>
    <w:p/>
    <w:p/>
    <w:p/>
    <w:p/>
    <w:p/>
    <w:p/>
    <w:p/>
    <w:p/>
    <w:p/>
    <w:p/>
    <w:p/>
    <w:p/>
    <w:p/>
    <w:p/>
    <w:p/>
    <w:p/>
    <w:p>
      <w:pPr>
        <w:pStyle w:val="5"/>
        <w:adjustRightInd w:val="0"/>
        <w:snapToGrid w:val="0"/>
        <w:spacing w:before="0" w:beforeAutospacing="0" w:after="0" w:afterAutospacing="0" w:line="360" w:lineRule="auto"/>
        <w:ind w:right="100"/>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8</w:t>
      </w:r>
    </w:p>
    <w:tbl>
      <w:tblPr>
        <w:tblStyle w:val="6"/>
        <w:tblW w:w="9240" w:type="dxa"/>
        <w:tblInd w:w="108" w:type="dxa"/>
        <w:tblLayout w:type="autofit"/>
        <w:tblCellMar>
          <w:top w:w="0" w:type="dxa"/>
          <w:left w:w="108" w:type="dxa"/>
          <w:bottom w:w="0" w:type="dxa"/>
          <w:right w:w="108" w:type="dxa"/>
        </w:tblCellMar>
      </w:tblPr>
      <w:tblGrid>
        <w:gridCol w:w="936"/>
        <w:gridCol w:w="432"/>
        <w:gridCol w:w="936"/>
        <w:gridCol w:w="1266"/>
        <w:gridCol w:w="936"/>
        <w:gridCol w:w="607"/>
        <w:gridCol w:w="936"/>
        <w:gridCol w:w="607"/>
        <w:gridCol w:w="2362"/>
        <w:gridCol w:w="222"/>
      </w:tblGrid>
      <w:tr>
        <w:tblPrEx>
          <w:tblCellMar>
            <w:top w:w="0" w:type="dxa"/>
            <w:left w:w="108" w:type="dxa"/>
            <w:bottom w:w="0" w:type="dxa"/>
            <w:right w:w="108" w:type="dxa"/>
          </w:tblCellMar>
        </w:tblPrEx>
        <w:trPr>
          <w:gridAfter w:val="1"/>
          <w:wAfter w:w="36" w:type="dxa"/>
          <w:trHeight w:val="376" w:hRule="atLeast"/>
        </w:trPr>
        <w:tc>
          <w:tcPr>
            <w:tcW w:w="9204" w:type="dxa"/>
            <w:gridSpan w:val="9"/>
            <w:vMerge w:val="restart"/>
            <w:tcBorders>
              <w:top w:val="nil"/>
              <w:left w:val="nil"/>
              <w:bottom w:val="nil"/>
              <w:right w:val="nil"/>
            </w:tcBorders>
            <w:shd w:val="clear" w:color="auto" w:fill="auto"/>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淮南市八公山区住房和城乡建设局2022年国有资本经营预算支出表</w:t>
            </w:r>
          </w:p>
        </w:tc>
      </w:tr>
      <w:tr>
        <w:tblPrEx>
          <w:tblCellMar>
            <w:top w:w="0" w:type="dxa"/>
            <w:left w:w="108" w:type="dxa"/>
            <w:bottom w:w="0" w:type="dxa"/>
            <w:right w:w="108" w:type="dxa"/>
          </w:tblCellMar>
        </w:tblPrEx>
        <w:trPr>
          <w:trHeight w:val="376" w:hRule="atLeast"/>
        </w:trPr>
        <w:tc>
          <w:tcPr>
            <w:tcW w:w="9204" w:type="dxa"/>
            <w:gridSpan w:val="9"/>
            <w:vMerge w:val="continue"/>
            <w:tcBorders>
              <w:top w:val="nil"/>
              <w:left w:val="nil"/>
              <w:bottom w:val="nil"/>
              <w:right w:val="nil"/>
            </w:tcBorders>
            <w:vAlign w:val="center"/>
          </w:tcPr>
          <w:p>
            <w:pPr>
              <w:widowControl/>
              <w:jc w:val="left"/>
              <w:rPr>
                <w:rFonts w:ascii="黑体" w:hAnsi="黑体" w:eastAsia="黑体" w:cs="Arial"/>
                <w:color w:val="000000"/>
                <w:kern w:val="0"/>
                <w:sz w:val="32"/>
                <w:szCs w:val="32"/>
              </w:rPr>
            </w:pPr>
          </w:p>
        </w:tc>
        <w:tc>
          <w:tcPr>
            <w:tcW w:w="36"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r>
      <w:tr>
        <w:tblPrEx>
          <w:tblCellMar>
            <w:top w:w="0" w:type="dxa"/>
            <w:left w:w="108" w:type="dxa"/>
            <w:bottom w:w="0" w:type="dxa"/>
            <w:right w:w="108" w:type="dxa"/>
          </w:tblCellMar>
        </w:tblPrEx>
        <w:trPr>
          <w:trHeight w:val="376" w:hRule="atLeast"/>
        </w:trPr>
        <w:tc>
          <w:tcPr>
            <w:tcW w:w="9204" w:type="dxa"/>
            <w:gridSpan w:val="9"/>
            <w:vMerge w:val="continue"/>
            <w:tcBorders>
              <w:top w:val="nil"/>
              <w:left w:val="nil"/>
              <w:bottom w:val="nil"/>
              <w:right w:val="nil"/>
            </w:tcBorders>
            <w:vAlign w:val="center"/>
          </w:tcPr>
          <w:p>
            <w:pPr>
              <w:widowControl/>
              <w:jc w:val="left"/>
              <w:rPr>
                <w:rFonts w:ascii="黑体" w:hAnsi="黑体" w:eastAsia="黑体" w:cs="Arial"/>
                <w:color w:val="000000"/>
                <w:kern w:val="0"/>
                <w:sz w:val="32"/>
                <w:szCs w:val="32"/>
              </w:rPr>
            </w:pPr>
          </w:p>
        </w:tc>
        <w:tc>
          <w:tcPr>
            <w:tcW w:w="36"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00" w:hRule="atLeast"/>
        </w:trPr>
        <w:tc>
          <w:tcPr>
            <w:tcW w:w="956" w:type="dxa"/>
            <w:tcBorders>
              <w:top w:val="nil"/>
              <w:left w:val="nil"/>
              <w:bottom w:val="nil"/>
              <w:right w:val="nil"/>
            </w:tcBorders>
            <w:shd w:val="clear" w:color="auto" w:fill="auto"/>
            <w:vAlign w:val="center"/>
          </w:tcPr>
          <w:p>
            <w:pPr>
              <w:widowControl/>
              <w:jc w:val="left"/>
              <w:rPr>
                <w:rFonts w:ascii="Times New Roman" w:hAnsi="Times New Roman" w:eastAsia="Times New Roman"/>
                <w:kern w:val="0"/>
                <w:sz w:val="20"/>
                <w:szCs w:val="20"/>
              </w:rPr>
            </w:pPr>
          </w:p>
        </w:tc>
        <w:tc>
          <w:tcPr>
            <w:tcW w:w="43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1295"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61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956"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618"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20"/>
                <w:szCs w:val="20"/>
              </w:rPr>
            </w:pPr>
          </w:p>
        </w:tc>
        <w:tc>
          <w:tcPr>
            <w:tcW w:w="2411" w:type="dxa"/>
            <w:tcBorders>
              <w:top w:val="nil"/>
              <w:left w:val="nil"/>
              <w:bottom w:val="nil"/>
              <w:right w:val="nil"/>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c>
          <w:tcPr>
            <w:tcW w:w="36"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76" w:hRule="atLeast"/>
        </w:trPr>
        <w:tc>
          <w:tcPr>
            <w:tcW w:w="3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功能分类科目</w:t>
            </w:r>
          </w:p>
        </w:tc>
        <w:tc>
          <w:tcPr>
            <w:tcW w:w="555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国有资本经营预算拨款支出</w:t>
            </w:r>
          </w:p>
        </w:tc>
        <w:tc>
          <w:tcPr>
            <w:tcW w:w="36"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956"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科目编码</w:t>
            </w:r>
          </w:p>
        </w:tc>
        <w:tc>
          <w:tcPr>
            <w:tcW w:w="22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科目名称</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基本支出</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项目支出</w:t>
            </w:r>
          </w:p>
        </w:tc>
        <w:tc>
          <w:tcPr>
            <w:tcW w:w="36" w:type="dxa"/>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391" w:hRule="atLeast"/>
        </w:trPr>
        <w:tc>
          <w:tcPr>
            <w:tcW w:w="1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2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74"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36" w:type="dxa"/>
            <w:vAlign w:val="center"/>
          </w:tcPr>
          <w:p>
            <w:pPr>
              <w:widowControl/>
              <w:jc w:val="left"/>
              <w:rPr>
                <w:rFonts w:ascii="Times New Roman" w:hAnsi="Times New Roman" w:eastAsia="Times New Roman"/>
                <w:kern w:val="0"/>
                <w:sz w:val="20"/>
                <w:szCs w:val="20"/>
              </w:rPr>
            </w:pPr>
          </w:p>
        </w:tc>
      </w:tr>
    </w:tbl>
    <w:p>
      <w:pPr>
        <w:pStyle w:val="5"/>
        <w:adjustRightInd w:val="0"/>
        <w:snapToGrid w:val="0"/>
        <w:spacing w:before="0" w:beforeAutospacing="0" w:after="0" w:afterAutospacing="0" w:line="360" w:lineRule="auto"/>
        <w:ind w:right="100"/>
        <w:jc w:val="right"/>
        <w:rPr>
          <w:rFonts w:ascii="黑体" w:hAnsi="黑体" w:eastAsia="黑体"/>
          <w:bCs/>
          <w:sz w:val="36"/>
          <w:szCs w:val="36"/>
        </w:rPr>
      </w:pPr>
    </w:p>
    <w:p>
      <w:pPr>
        <w:pStyle w:val="5"/>
        <w:adjustRightInd w:val="0"/>
        <w:snapToGrid w:val="0"/>
        <w:spacing w:before="0" w:beforeAutospacing="0" w:after="0" w:afterAutospacing="0" w:line="360" w:lineRule="auto"/>
        <w:jc w:val="center"/>
        <w:rPr>
          <w:rFonts w:ascii="黑体" w:hAnsi="黑体" w:eastAsia="黑体"/>
          <w:bCs/>
          <w:sz w:val="18"/>
          <w:szCs w:val="18"/>
        </w:rPr>
      </w:pPr>
    </w:p>
    <w:tbl>
      <w:tblPr>
        <w:tblStyle w:val="6"/>
        <w:tblW w:w="9164" w:type="dxa"/>
        <w:tblInd w:w="0" w:type="dxa"/>
        <w:tblLayout w:type="fixed"/>
        <w:tblCellMar>
          <w:top w:w="0" w:type="dxa"/>
          <w:left w:w="108" w:type="dxa"/>
          <w:bottom w:w="0" w:type="dxa"/>
          <w:right w:w="108" w:type="dxa"/>
        </w:tblCellMar>
      </w:tblPr>
      <w:tblGrid>
        <w:gridCol w:w="491"/>
        <w:gridCol w:w="697"/>
        <w:gridCol w:w="3780"/>
        <w:gridCol w:w="236"/>
        <w:gridCol w:w="2645"/>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6"/>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p>
        </w:tc>
      </w:tr>
      <w:tr>
        <w:tblPrEx>
          <w:tblCellMar>
            <w:top w:w="0" w:type="dxa"/>
            <w:left w:w="108" w:type="dxa"/>
            <w:bottom w:w="0" w:type="dxa"/>
            <w:right w:w="108" w:type="dxa"/>
          </w:tblCellMar>
        </w:tblPrEx>
        <w:trPr>
          <w:gridAfter w:val="1"/>
          <w:wAfter w:w="56" w:type="dxa"/>
          <w:trHeight w:val="795" w:hRule="atLeast"/>
        </w:trPr>
        <w:tc>
          <w:tcPr>
            <w:tcW w:w="9108" w:type="dxa"/>
            <w:gridSpan w:val="6"/>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说明：“淮南市八公山区住房和城乡建设局没有国有资本经营预算拨款收入，也没有国有资本经营预算拨款安排的支出，故本表无数据”。</w:t>
            </w:r>
          </w:p>
        </w:tc>
      </w:tr>
    </w:tbl>
    <w:p>
      <w:pPr>
        <w:pStyle w:val="5"/>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w:t>
      </w:r>
      <w:r>
        <w:rPr>
          <w:rFonts w:hint="eastAsia" w:ascii="宋体" w:hAnsi="宋体" w:cs="宋体"/>
          <w:kern w:val="0"/>
          <w:sz w:val="20"/>
          <w:szCs w:val="20"/>
          <w:u w:val="single"/>
        </w:rPr>
        <w:t>（单位）</w:t>
      </w:r>
      <w:r>
        <w:rPr>
          <w:rFonts w:hint="eastAsia" w:ascii="宋体" w:hAnsi="宋体" w:cs="宋体"/>
          <w:kern w:val="0"/>
          <w:sz w:val="20"/>
          <w:szCs w:val="20"/>
        </w:rPr>
        <w:t>公开表</w:t>
      </w:r>
      <w:r>
        <w:rPr>
          <w:rFonts w:ascii="宋体" w:hAnsi="宋体" w:cs="宋体"/>
          <w:kern w:val="0"/>
          <w:sz w:val="20"/>
          <w:szCs w:val="20"/>
        </w:rPr>
        <w:t>9</w:t>
      </w:r>
    </w:p>
    <w:tbl>
      <w:tblPr>
        <w:tblStyle w:val="6"/>
        <w:tblW w:w="12740" w:type="dxa"/>
        <w:tblInd w:w="108" w:type="dxa"/>
        <w:tblLayout w:type="autofit"/>
        <w:tblCellMar>
          <w:top w:w="0" w:type="dxa"/>
          <w:left w:w="108" w:type="dxa"/>
          <w:bottom w:w="0" w:type="dxa"/>
          <w:right w:w="108" w:type="dxa"/>
        </w:tblCellMar>
      </w:tblPr>
      <w:tblGrid>
        <w:gridCol w:w="620"/>
        <w:gridCol w:w="1680"/>
        <w:gridCol w:w="1860"/>
        <w:gridCol w:w="900"/>
        <w:gridCol w:w="960"/>
        <w:gridCol w:w="720"/>
        <w:gridCol w:w="900"/>
        <w:gridCol w:w="860"/>
        <w:gridCol w:w="880"/>
        <w:gridCol w:w="840"/>
        <w:gridCol w:w="1020"/>
        <w:gridCol w:w="1500"/>
      </w:tblGrid>
      <w:tr>
        <w:tblPrEx>
          <w:tblCellMar>
            <w:top w:w="0" w:type="dxa"/>
            <w:left w:w="108" w:type="dxa"/>
            <w:bottom w:w="0" w:type="dxa"/>
            <w:right w:w="108" w:type="dxa"/>
          </w:tblCellMar>
        </w:tblPrEx>
        <w:trPr>
          <w:trHeight w:val="527" w:hRule="atLeast"/>
        </w:trPr>
        <w:tc>
          <w:tcPr>
            <w:tcW w:w="12740" w:type="dxa"/>
            <w:gridSpan w:val="12"/>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6"/>
                <w:szCs w:val="36"/>
              </w:rPr>
            </w:pPr>
            <w:r>
              <w:rPr>
                <w:rFonts w:hint="eastAsia" w:ascii="黑体" w:hAnsi="黑体" w:eastAsia="黑体" w:cs="Arial"/>
                <w:color w:val="000000"/>
                <w:kern w:val="0"/>
                <w:sz w:val="36"/>
                <w:szCs w:val="36"/>
              </w:rPr>
              <w:t>淮南市八公山区住房和城乡建设局2022年项目支出表</w:t>
            </w:r>
          </w:p>
        </w:tc>
      </w:tr>
      <w:tr>
        <w:tblPrEx>
          <w:tblCellMar>
            <w:top w:w="0" w:type="dxa"/>
            <w:left w:w="108" w:type="dxa"/>
            <w:bottom w:w="0" w:type="dxa"/>
            <w:right w:w="108" w:type="dxa"/>
          </w:tblCellMar>
        </w:tblPrEx>
        <w:trPr>
          <w:trHeight w:val="360" w:hRule="atLeast"/>
        </w:trPr>
        <w:tc>
          <w:tcPr>
            <w:tcW w:w="62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6"/>
                <w:szCs w:val="36"/>
              </w:rPr>
            </w:pPr>
          </w:p>
        </w:tc>
        <w:tc>
          <w:tcPr>
            <w:tcW w:w="16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8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2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0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6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520" w:type="dxa"/>
            <w:gridSpan w:val="2"/>
            <w:tcBorders>
              <w:top w:val="nil"/>
              <w:left w:val="nil"/>
              <w:bottom w:val="single" w:color="000000" w:sz="4" w:space="0"/>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76"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类型</w:t>
            </w:r>
          </w:p>
        </w:tc>
        <w:tc>
          <w:tcPr>
            <w:tcW w:w="168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项目名称</w:t>
            </w:r>
          </w:p>
        </w:tc>
        <w:tc>
          <w:tcPr>
            <w:tcW w:w="18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项目单位</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合计</w:t>
            </w:r>
          </w:p>
        </w:tc>
        <w:tc>
          <w:tcPr>
            <w:tcW w:w="25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本年财政拨款</w:t>
            </w:r>
          </w:p>
        </w:tc>
        <w:tc>
          <w:tcPr>
            <w:tcW w:w="25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财政拨款结转结余</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财政专户管理资金</w:t>
            </w: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单位资金</w:t>
            </w:r>
          </w:p>
        </w:tc>
      </w:tr>
      <w:tr>
        <w:tblPrEx>
          <w:tblCellMar>
            <w:top w:w="0" w:type="dxa"/>
            <w:left w:w="108" w:type="dxa"/>
            <w:bottom w:w="0" w:type="dxa"/>
            <w:right w:w="108" w:type="dxa"/>
          </w:tblCellMar>
        </w:tblPrEx>
        <w:trPr>
          <w:trHeight w:val="1126" w:hRule="atLeast"/>
        </w:trPr>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68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cs="Arial"/>
                <w:b/>
                <w:bCs/>
                <w:color w:val="000000"/>
                <w:kern w:val="0"/>
                <w:sz w:val="22"/>
              </w:rPr>
            </w:pPr>
          </w:p>
        </w:tc>
        <w:tc>
          <w:tcPr>
            <w:tcW w:w="18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9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96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一般公共预算</w:t>
            </w:r>
          </w:p>
        </w:tc>
        <w:tc>
          <w:tcPr>
            <w:tcW w:w="72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政府性基金预算</w:t>
            </w:r>
          </w:p>
        </w:tc>
        <w:tc>
          <w:tcPr>
            <w:tcW w:w="90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w:t>
            </w:r>
          </w:p>
        </w:tc>
        <w:tc>
          <w:tcPr>
            <w:tcW w:w="86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一般公共预算</w:t>
            </w:r>
          </w:p>
        </w:tc>
        <w:tc>
          <w:tcPr>
            <w:tcW w:w="88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政府性基金预算</w:t>
            </w:r>
          </w:p>
        </w:tc>
        <w:tc>
          <w:tcPr>
            <w:tcW w:w="840" w:type="dxa"/>
            <w:tcBorders>
              <w:top w:val="nil"/>
              <w:left w:val="nil"/>
              <w:bottom w:val="nil"/>
              <w:right w:val="single" w:color="000000" w:sz="4" w:space="0"/>
            </w:tcBorders>
            <w:shd w:val="clear" w:color="auto" w:fill="auto"/>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国有资本经营预算</w:t>
            </w: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c>
          <w:tcPr>
            <w:tcW w:w="15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rPr>
            </w:pP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办公经费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9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7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代理记账费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0.2</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0.2</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老旧小区改造</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526.1</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500.0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农村公路养护工程</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自然灾害普查经费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淮南市八公山区住房和城乡建设局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15.0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保障房小区物业费补贴</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0.9</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0.9</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单位代理记账服务费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0.2</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0.2</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房屋管理保障类</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6.0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6.0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区级保障房维修类</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6.0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6.0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三位占地工补助工资</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0.3</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0.3</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特定目标类</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小区物业管理经费</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淮南市八公山区房地产管理所</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2.0</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cs="Arial"/>
                <w:color w:val="000000"/>
                <w:sz w:val="20"/>
                <w:szCs w:val="20"/>
              </w:rPr>
              <w:t>2.0</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174"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6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596.7</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ascii="宋体" w:hAnsi="宋体" w:cs="Arial"/>
                <w:color w:val="000000"/>
                <w:kern w:val="0"/>
                <w:sz w:val="20"/>
                <w:szCs w:val="20"/>
              </w:rPr>
              <w:t>570.6</w:t>
            </w:r>
          </w:p>
        </w:tc>
        <w:tc>
          <w:tcPr>
            <w:tcW w:w="7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26.1</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pPr>
        <w:pStyle w:val="5"/>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w:t>
      </w:r>
      <w:r>
        <w:rPr>
          <w:rFonts w:hint="eastAsia"/>
          <w:sz w:val="20"/>
          <w:szCs w:val="20"/>
          <w:u w:val="single"/>
        </w:rPr>
        <w:t>（单位）</w:t>
      </w:r>
      <w:r>
        <w:rPr>
          <w:rFonts w:hint="eastAsia"/>
          <w:sz w:val="20"/>
          <w:szCs w:val="20"/>
        </w:rPr>
        <w:t>公开表</w:t>
      </w:r>
      <w:r>
        <w:rPr>
          <w:sz w:val="20"/>
          <w:szCs w:val="20"/>
        </w:rPr>
        <w:t>10</w:t>
      </w:r>
    </w:p>
    <w:tbl>
      <w:tblPr>
        <w:tblStyle w:val="6"/>
        <w:tblW w:w="9220" w:type="dxa"/>
        <w:tblInd w:w="108" w:type="dxa"/>
        <w:tblLayout w:type="autofit"/>
        <w:tblCellMar>
          <w:top w:w="0" w:type="dxa"/>
          <w:left w:w="108" w:type="dxa"/>
          <w:bottom w:w="0" w:type="dxa"/>
          <w:right w:w="108" w:type="dxa"/>
        </w:tblCellMar>
      </w:tblPr>
      <w:tblGrid>
        <w:gridCol w:w="1780"/>
        <w:gridCol w:w="700"/>
        <w:gridCol w:w="480"/>
        <w:gridCol w:w="860"/>
        <w:gridCol w:w="1240"/>
        <w:gridCol w:w="1080"/>
        <w:gridCol w:w="1860"/>
        <w:gridCol w:w="1220"/>
      </w:tblGrid>
      <w:tr>
        <w:tblPrEx>
          <w:tblCellMar>
            <w:top w:w="0" w:type="dxa"/>
            <w:left w:w="108" w:type="dxa"/>
            <w:bottom w:w="0" w:type="dxa"/>
            <w:right w:w="108" w:type="dxa"/>
          </w:tblCellMar>
        </w:tblPrEx>
        <w:trPr>
          <w:trHeight w:val="527" w:hRule="atLeast"/>
        </w:trPr>
        <w:tc>
          <w:tcPr>
            <w:tcW w:w="9220" w:type="dxa"/>
            <w:gridSpan w:val="8"/>
            <w:tcBorders>
              <w:top w:val="nil"/>
              <w:left w:val="nil"/>
              <w:bottom w:val="nil"/>
              <w:right w:val="nil"/>
            </w:tcBorders>
            <w:shd w:val="clear" w:color="auto" w:fill="auto"/>
            <w:noWrap/>
            <w:vAlign w:val="center"/>
          </w:tcPr>
          <w:p>
            <w:pPr>
              <w:widowControl/>
              <w:jc w:val="center"/>
              <w:rPr>
                <w:rFonts w:ascii="黑体" w:hAnsi="黑体" w:eastAsia="黑体" w:cs="Arial"/>
                <w:color w:val="000000"/>
                <w:kern w:val="0"/>
                <w:sz w:val="32"/>
                <w:szCs w:val="32"/>
              </w:rPr>
            </w:pPr>
            <w:r>
              <w:rPr>
                <w:rFonts w:hint="eastAsia" w:ascii="黑体" w:hAnsi="黑体" w:eastAsia="黑体" w:cs="Arial"/>
                <w:color w:val="000000"/>
                <w:kern w:val="0"/>
                <w:sz w:val="32"/>
                <w:szCs w:val="32"/>
              </w:rPr>
              <w:t>淮南市八公山区住房和城乡建设局2022年政府采购支出表</w:t>
            </w:r>
          </w:p>
        </w:tc>
      </w:tr>
      <w:tr>
        <w:tblPrEx>
          <w:tblCellMar>
            <w:top w:w="0" w:type="dxa"/>
            <w:left w:w="108" w:type="dxa"/>
            <w:bottom w:w="0" w:type="dxa"/>
            <w:right w:w="108" w:type="dxa"/>
          </w:tblCellMar>
        </w:tblPrEx>
        <w:trPr>
          <w:trHeight w:val="360" w:hRule="atLeast"/>
        </w:trPr>
        <w:tc>
          <w:tcPr>
            <w:tcW w:w="1780" w:type="dxa"/>
            <w:tcBorders>
              <w:top w:val="nil"/>
              <w:left w:val="nil"/>
              <w:bottom w:val="nil"/>
              <w:right w:val="nil"/>
            </w:tcBorders>
            <w:shd w:val="clear" w:color="auto" w:fill="auto"/>
            <w:noWrap/>
            <w:vAlign w:val="bottom"/>
          </w:tcPr>
          <w:p>
            <w:pPr>
              <w:widowControl/>
              <w:jc w:val="center"/>
              <w:rPr>
                <w:rFonts w:ascii="黑体" w:hAnsi="黑体" w:eastAsia="黑体" w:cs="Arial"/>
                <w:color w:val="000000"/>
                <w:kern w:val="0"/>
                <w:sz w:val="32"/>
                <w:szCs w:val="32"/>
              </w:rPr>
            </w:pPr>
          </w:p>
        </w:tc>
        <w:tc>
          <w:tcPr>
            <w:tcW w:w="70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48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86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24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08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860"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22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1513" w:hRule="atLeast"/>
        </w:trPr>
        <w:tc>
          <w:tcPr>
            <w:tcW w:w="1780"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项目名称</w:t>
            </w:r>
          </w:p>
        </w:tc>
        <w:tc>
          <w:tcPr>
            <w:tcW w:w="700" w:type="dxa"/>
            <w:tcBorders>
              <w:top w:val="single" w:color="000000" w:sz="4" w:space="0"/>
              <w:left w:val="nil"/>
              <w:bottom w:val="nil"/>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政府采购品目</w:t>
            </w:r>
          </w:p>
        </w:tc>
        <w:tc>
          <w:tcPr>
            <w:tcW w:w="4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一般公共预算</w:t>
            </w:r>
          </w:p>
        </w:tc>
        <w:tc>
          <w:tcPr>
            <w:tcW w:w="124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政府性基金预算</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国有资本经营预算</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财政专户管理资金</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单位资金</w:t>
            </w:r>
          </w:p>
        </w:tc>
      </w:tr>
      <w:tr>
        <w:tblPrEx>
          <w:tblCellMar>
            <w:top w:w="0" w:type="dxa"/>
            <w:left w:w="108" w:type="dxa"/>
            <w:bottom w:w="0" w:type="dxa"/>
            <w:right w:w="108" w:type="dxa"/>
          </w:tblCellMar>
        </w:tblPrEx>
        <w:trPr>
          <w:trHeight w:val="466" w:hRule="atLeast"/>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70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4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8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2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5"/>
        <w:adjustRightInd w:val="0"/>
        <w:snapToGrid w:val="0"/>
        <w:spacing w:before="0" w:beforeAutospacing="0" w:after="0" w:afterAutospacing="0"/>
        <w:jc w:val="both"/>
      </w:pPr>
      <w:r>
        <w:rPr>
          <w:sz w:val="20"/>
          <w:szCs w:val="20"/>
        </w:rPr>
        <w:tab/>
      </w:r>
      <w:r>
        <w:rPr>
          <w:rFonts w:hint="eastAsia"/>
        </w:rPr>
        <w:t>说明：“淮南市八公山区住房和城乡建设局没有使用一般公共预算拨款、政府性基金预算拨款、国有资本经营预算拨款、财政专户管理资金和单位资金安排的政府采购支出，故本表无数据”。</w:t>
      </w:r>
    </w:p>
    <w:p/>
    <w:p>
      <w:pPr>
        <w:pStyle w:val="5"/>
        <w:tabs>
          <w:tab w:val="left" w:pos="327"/>
        </w:tabs>
        <w:adjustRightInd w:val="0"/>
        <w:snapToGrid w:val="0"/>
        <w:spacing w:before="0" w:beforeAutospacing="0" w:after="0" w:afterAutospacing="0" w:line="360" w:lineRule="auto"/>
        <w:jc w:val="both"/>
        <w:rPr>
          <w:sz w:val="20"/>
          <w:szCs w:val="20"/>
        </w:rPr>
      </w:pPr>
    </w:p>
    <w:p/>
    <w:p/>
    <w:p/>
    <w:p/>
    <w:p/>
    <w:p/>
    <w:p/>
    <w:p/>
    <w:p/>
    <w:p/>
    <w:p/>
    <w:p/>
    <w:p/>
    <w:p>
      <w:pPr>
        <w:sectPr>
          <w:pgSz w:w="11906" w:h="16838"/>
          <w:pgMar w:top="1440" w:right="1797" w:bottom="1440" w:left="1797" w:header="851" w:footer="992" w:gutter="0"/>
          <w:cols w:space="425" w:num="1"/>
          <w:docGrid w:type="lines" w:linePitch="312" w:charSpace="0"/>
        </w:sectPr>
      </w:pPr>
    </w:p>
    <w:p/>
    <w:p>
      <w:pPr>
        <w:pStyle w:val="5"/>
        <w:wordWrap w:val="0"/>
        <w:adjustRightInd w:val="0"/>
        <w:snapToGrid w:val="0"/>
        <w:spacing w:before="0" w:beforeAutospacing="0" w:after="0" w:afterAutospacing="0" w:line="360" w:lineRule="auto"/>
        <w:jc w:val="both"/>
      </w:pPr>
      <w:r>
        <w:rPr>
          <w:rFonts w:hint="eastAsia"/>
          <w:sz w:val="20"/>
          <w:szCs w:val="20"/>
        </w:rPr>
        <w:t>部门</w:t>
      </w:r>
      <w:r>
        <w:rPr>
          <w:rFonts w:hint="eastAsia"/>
          <w:sz w:val="20"/>
          <w:szCs w:val="20"/>
          <w:u w:val="single"/>
        </w:rPr>
        <w:t>（单位）</w:t>
      </w:r>
      <w:r>
        <w:rPr>
          <w:rFonts w:hint="eastAsia"/>
          <w:sz w:val="20"/>
          <w:szCs w:val="20"/>
        </w:rPr>
        <w:t>公开表</w:t>
      </w:r>
      <w:r>
        <w:rPr>
          <w:sz w:val="20"/>
          <w:szCs w:val="20"/>
        </w:rPr>
        <w:t>11</w:t>
      </w:r>
    </w:p>
    <w:tbl>
      <w:tblPr>
        <w:tblStyle w:val="6"/>
        <w:tblW w:w="8820" w:type="dxa"/>
        <w:tblInd w:w="108" w:type="dxa"/>
        <w:tblLayout w:type="autofit"/>
        <w:tblCellMar>
          <w:top w:w="0" w:type="dxa"/>
          <w:left w:w="108" w:type="dxa"/>
          <w:bottom w:w="0" w:type="dxa"/>
          <w:right w:w="108" w:type="dxa"/>
        </w:tblCellMar>
      </w:tblPr>
      <w:tblGrid>
        <w:gridCol w:w="1600"/>
        <w:gridCol w:w="880"/>
        <w:gridCol w:w="1560"/>
        <w:gridCol w:w="1020"/>
        <w:gridCol w:w="960"/>
        <w:gridCol w:w="820"/>
        <w:gridCol w:w="1980"/>
      </w:tblGrid>
      <w:tr>
        <w:tblPrEx>
          <w:tblCellMar>
            <w:top w:w="0" w:type="dxa"/>
            <w:left w:w="108" w:type="dxa"/>
            <w:bottom w:w="0" w:type="dxa"/>
            <w:right w:w="108" w:type="dxa"/>
          </w:tblCellMar>
        </w:tblPrEx>
        <w:trPr>
          <w:trHeight w:val="1307" w:hRule="atLeast"/>
        </w:trPr>
        <w:tc>
          <w:tcPr>
            <w:tcW w:w="8820" w:type="dxa"/>
            <w:gridSpan w:val="7"/>
            <w:tcBorders>
              <w:top w:val="nil"/>
              <w:left w:val="nil"/>
              <w:bottom w:val="nil"/>
              <w:right w:val="nil"/>
            </w:tcBorders>
            <w:shd w:val="clear" w:color="auto" w:fill="auto"/>
            <w:vAlign w:val="center"/>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t xml:space="preserve"> </w:t>
            </w:r>
            <w:r>
              <w:rPr>
                <w:rFonts w:ascii="宋体" w:hAnsi="宋体" w:cs="Arial"/>
                <w:b/>
                <w:bCs/>
                <w:color w:val="000000"/>
                <w:kern w:val="0"/>
                <w:sz w:val="36"/>
                <w:szCs w:val="36"/>
              </w:rPr>
              <w:t xml:space="preserve">    </w:t>
            </w:r>
            <w:r>
              <w:rPr>
                <w:rFonts w:hint="eastAsia" w:ascii="宋体" w:hAnsi="宋体" w:cs="Arial"/>
                <w:b/>
                <w:bCs/>
                <w:color w:val="000000"/>
                <w:kern w:val="0"/>
                <w:sz w:val="36"/>
                <w:szCs w:val="36"/>
              </w:rPr>
              <w:t>淮南市八公山区住房和城乡建设局2022年政府购买服务支出表</w:t>
            </w:r>
          </w:p>
        </w:tc>
      </w:tr>
      <w:tr>
        <w:tblPrEx>
          <w:tblCellMar>
            <w:top w:w="0" w:type="dxa"/>
            <w:left w:w="108" w:type="dxa"/>
            <w:bottom w:w="0" w:type="dxa"/>
            <w:right w:w="108" w:type="dxa"/>
          </w:tblCellMar>
        </w:tblPrEx>
        <w:trPr>
          <w:trHeight w:val="391" w:hRule="atLeast"/>
        </w:trPr>
        <w:tc>
          <w:tcPr>
            <w:tcW w:w="1600" w:type="dxa"/>
            <w:tcBorders>
              <w:top w:val="nil"/>
              <w:left w:val="nil"/>
              <w:bottom w:val="nil"/>
              <w:right w:val="nil"/>
            </w:tcBorders>
            <w:shd w:val="clear" w:color="auto" w:fill="auto"/>
            <w:noWrap/>
            <w:vAlign w:val="bottom"/>
          </w:tcPr>
          <w:p>
            <w:pPr>
              <w:widowControl/>
              <w:jc w:val="center"/>
              <w:rPr>
                <w:rFonts w:ascii="宋体" w:hAnsi="宋体" w:cs="Arial"/>
                <w:b/>
                <w:bCs/>
                <w:color w:val="000000"/>
                <w:kern w:val="0"/>
                <w:sz w:val="36"/>
                <w:szCs w:val="36"/>
              </w:rPr>
            </w:pPr>
          </w:p>
        </w:tc>
        <w:tc>
          <w:tcPr>
            <w:tcW w:w="880"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560" w:type="dxa"/>
            <w:tcBorders>
              <w:top w:val="nil"/>
              <w:left w:val="nil"/>
              <w:bottom w:val="nil"/>
              <w:right w:val="nil"/>
            </w:tcBorders>
            <w:shd w:val="clear" w:color="auto" w:fill="auto"/>
            <w:noWrap/>
            <w:vAlign w:val="bottom"/>
          </w:tcPr>
          <w:p>
            <w:pPr>
              <w:widowControl/>
              <w:jc w:val="center"/>
              <w:rPr>
                <w:rFonts w:ascii="Times New Roman" w:hAnsi="Times New Roman" w:eastAsia="Times New Roman"/>
                <w:kern w:val="0"/>
                <w:sz w:val="20"/>
                <w:szCs w:val="20"/>
              </w:rPr>
            </w:pPr>
          </w:p>
        </w:tc>
        <w:tc>
          <w:tcPr>
            <w:tcW w:w="10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96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820" w:type="dxa"/>
            <w:tcBorders>
              <w:top w:val="nil"/>
              <w:left w:val="nil"/>
              <w:bottom w:val="nil"/>
              <w:right w:val="nil"/>
            </w:tcBorders>
            <w:shd w:val="clear" w:color="auto" w:fill="auto"/>
            <w:noWrap/>
            <w:vAlign w:val="bottom"/>
          </w:tcPr>
          <w:p>
            <w:pPr>
              <w:widowControl/>
              <w:jc w:val="left"/>
              <w:rPr>
                <w:rFonts w:ascii="Times New Roman" w:hAnsi="Times New Roman" w:eastAsia="Times New Roman"/>
                <w:kern w:val="0"/>
                <w:sz w:val="20"/>
                <w:szCs w:val="20"/>
              </w:rPr>
            </w:pPr>
          </w:p>
        </w:tc>
        <w:tc>
          <w:tcPr>
            <w:tcW w:w="198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72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项目名称</w:t>
            </w:r>
          </w:p>
        </w:tc>
        <w:tc>
          <w:tcPr>
            <w:tcW w:w="8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一级目录名称</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二级目录名称</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三级目录名称</w:t>
            </w:r>
          </w:p>
        </w:tc>
        <w:tc>
          <w:tcPr>
            <w:tcW w:w="96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政府购买服务内容</w:t>
            </w:r>
          </w:p>
        </w:tc>
        <w:tc>
          <w:tcPr>
            <w:tcW w:w="82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购买数量</w:t>
            </w:r>
          </w:p>
        </w:tc>
        <w:tc>
          <w:tcPr>
            <w:tcW w:w="198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购买金额</w:t>
            </w:r>
          </w:p>
        </w:tc>
      </w:tr>
      <w:tr>
        <w:tblPrEx>
          <w:tblCellMar>
            <w:top w:w="0" w:type="dxa"/>
            <w:left w:w="108" w:type="dxa"/>
            <w:bottom w:w="0" w:type="dxa"/>
            <w:right w:w="108" w:type="dxa"/>
          </w:tblCellMar>
        </w:tblPrEx>
        <w:trPr>
          <w:trHeight w:val="902" w:hRule="atLeast"/>
        </w:trPr>
        <w:tc>
          <w:tcPr>
            <w:tcW w:w="160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9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8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5"/>
        <w:wordWrap w:val="0"/>
        <w:adjustRightInd w:val="0"/>
        <w:snapToGrid w:val="0"/>
        <w:spacing w:before="0" w:beforeAutospacing="0" w:after="0" w:afterAutospacing="0" w:line="360" w:lineRule="auto"/>
        <w:jc w:val="both"/>
      </w:pPr>
      <w:r>
        <w:rPr>
          <w:rFonts w:hint="eastAsia"/>
        </w:rPr>
        <w:t>说明“淮南市八公山区住房和城乡建设局没有安排政府购买服务支出，故本表无数据”。</w:t>
      </w:r>
    </w:p>
    <w:p>
      <w:pPr>
        <w:pStyle w:val="5"/>
        <w:adjustRightInd w:val="0"/>
        <w:snapToGrid w:val="0"/>
        <w:spacing w:before="0" w:beforeAutospacing="0" w:after="0" w:afterAutospacing="0" w:line="400" w:lineRule="exact"/>
        <w:jc w:val="both"/>
      </w:pPr>
    </w:p>
    <w:p>
      <w:pPr>
        <w:pStyle w:val="5"/>
        <w:adjustRightInd w:val="0"/>
        <w:snapToGrid w:val="0"/>
        <w:spacing w:before="0" w:beforeAutospacing="0" w:after="0" w:afterAutospacing="0" w:line="600" w:lineRule="exact"/>
        <w:jc w:val="center"/>
        <w:rPr>
          <w:rFonts w:ascii="黑体" w:hAnsi="黑体" w:eastAsia="黑体"/>
          <w:bCs/>
          <w:sz w:val="36"/>
          <w:szCs w:val="36"/>
        </w:rPr>
        <w:sectPr>
          <w:pgSz w:w="11906" w:h="16838"/>
          <w:pgMar w:top="1440" w:right="1797" w:bottom="1440" w:left="1797" w:header="851" w:footer="992" w:gutter="0"/>
          <w:cols w:space="425" w:num="1"/>
          <w:docGrid w:type="linesAndChars" w:linePitch="312" w:charSpace="0"/>
        </w:sectPr>
      </w:pPr>
    </w:p>
    <w:p>
      <w:pPr>
        <w:pStyle w:val="5"/>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5"/>
        <w:adjustRightInd w:val="0"/>
        <w:snapToGrid w:val="0"/>
        <w:spacing w:before="0" w:beforeAutospacing="0" w:after="0" w:afterAutospacing="0" w:line="600" w:lineRule="exact"/>
        <w:rPr>
          <w:rFonts w:ascii="黑体" w:hAnsi="黑体" w:eastAsia="黑体"/>
          <w:bCs/>
          <w:sz w:val="32"/>
          <w:szCs w:val="32"/>
        </w:rPr>
      </w:pP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5"/>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按照综合预算的原则，八公山区住建局所有收入和支出均纳入部门预算管理。八公山区住建局</w:t>
      </w:r>
      <w:r>
        <w:rPr>
          <w:rFonts w:ascii="仿宋_GB2312" w:hAnsi="仿宋" w:eastAsia="仿宋_GB2312"/>
          <w:sz w:val="32"/>
          <w:szCs w:val="32"/>
        </w:rPr>
        <w:t>2022</w:t>
      </w:r>
      <w:r>
        <w:rPr>
          <w:rFonts w:hint="eastAsia" w:ascii="仿宋_GB2312" w:hAnsi="仿宋" w:eastAsia="仿宋_GB2312"/>
          <w:sz w:val="32"/>
          <w:szCs w:val="32"/>
        </w:rPr>
        <w:t>年收支总预算</w:t>
      </w:r>
      <w:r>
        <w:rPr>
          <w:rFonts w:ascii="仿宋_GB2312" w:hAnsi="仿宋" w:eastAsia="仿宋_GB2312"/>
          <w:sz w:val="32"/>
          <w:szCs w:val="32"/>
        </w:rPr>
        <w:t>772.7</w:t>
      </w:r>
      <w:r>
        <w:rPr>
          <w:rFonts w:hint="eastAsia" w:ascii="仿宋_GB2312" w:hAnsi="仿宋" w:eastAsia="仿宋_GB2312"/>
          <w:sz w:val="32"/>
          <w:szCs w:val="32"/>
        </w:rPr>
        <w:t>万元，收入包括一般公共预算拨款收入</w:t>
      </w:r>
      <w:r>
        <w:rPr>
          <w:rFonts w:ascii="仿宋_GB2312" w:hAnsi="仿宋" w:eastAsia="仿宋_GB2312"/>
          <w:sz w:val="32"/>
          <w:szCs w:val="32"/>
        </w:rPr>
        <w:t>746.6</w:t>
      </w:r>
      <w:r>
        <w:rPr>
          <w:rFonts w:hint="eastAsia" w:ascii="仿宋_GB2312" w:hAnsi="仿宋" w:eastAsia="仿宋_GB2312"/>
          <w:sz w:val="32"/>
          <w:szCs w:val="32"/>
        </w:rPr>
        <w:t>万元、政府性基金预算拨款收入0万元、国有资本经营预算拨款收入0万元、财政专户管理资金收入0万元、单位资金收入0万元、上年结转结余</w:t>
      </w:r>
      <w:r>
        <w:rPr>
          <w:rFonts w:ascii="仿宋_GB2312" w:hAnsi="仿宋" w:eastAsia="仿宋_GB2312"/>
          <w:sz w:val="32"/>
          <w:szCs w:val="32"/>
        </w:rPr>
        <w:t>26.1</w:t>
      </w:r>
      <w:r>
        <w:rPr>
          <w:rFonts w:hint="eastAsia" w:ascii="仿宋_GB2312" w:hAnsi="仿宋" w:eastAsia="仿宋_GB2312"/>
          <w:sz w:val="32"/>
          <w:szCs w:val="32"/>
        </w:rPr>
        <w:t>万元，支出包括：社会保障和就业支出</w:t>
      </w:r>
      <w:r>
        <w:rPr>
          <w:rFonts w:ascii="仿宋_GB2312" w:hAnsi="仿宋" w:eastAsia="仿宋_GB2312"/>
          <w:sz w:val="32"/>
          <w:szCs w:val="32"/>
        </w:rPr>
        <w:t>29.6</w:t>
      </w:r>
      <w:r>
        <w:rPr>
          <w:rFonts w:hint="eastAsia" w:ascii="仿宋_GB2312" w:hAnsi="仿宋" w:eastAsia="仿宋_GB2312"/>
          <w:sz w:val="32"/>
          <w:szCs w:val="32"/>
        </w:rPr>
        <w:t>万元、卫生健康支出</w:t>
      </w:r>
      <w:r>
        <w:rPr>
          <w:rFonts w:ascii="仿宋_GB2312" w:hAnsi="仿宋" w:eastAsia="仿宋_GB2312"/>
          <w:sz w:val="32"/>
          <w:szCs w:val="32"/>
        </w:rPr>
        <w:t>7.8</w:t>
      </w:r>
      <w:r>
        <w:rPr>
          <w:rFonts w:hint="eastAsia" w:ascii="仿宋_GB2312" w:hAnsi="仿宋" w:eastAsia="仿宋_GB2312"/>
          <w:sz w:val="32"/>
          <w:szCs w:val="32"/>
        </w:rPr>
        <w:t>万元、城乡社区支出</w:t>
      </w:r>
      <w:r>
        <w:rPr>
          <w:rFonts w:ascii="仿宋_GB2312" w:hAnsi="仿宋" w:eastAsia="仿宋_GB2312"/>
          <w:sz w:val="32"/>
          <w:szCs w:val="32"/>
        </w:rPr>
        <w:t>168.2</w:t>
      </w:r>
      <w:r>
        <w:rPr>
          <w:rFonts w:hint="eastAsia" w:ascii="仿宋_GB2312" w:hAnsi="仿宋" w:eastAsia="仿宋_GB2312"/>
          <w:sz w:val="32"/>
          <w:szCs w:val="32"/>
        </w:rPr>
        <w:t>万元、农林水支出2</w:t>
      </w:r>
      <w:r>
        <w:rPr>
          <w:rFonts w:ascii="仿宋_GB2312" w:hAnsi="仿宋" w:eastAsia="仿宋_GB2312"/>
          <w:sz w:val="32"/>
          <w:szCs w:val="32"/>
        </w:rPr>
        <w:t>0.0</w:t>
      </w:r>
      <w:r>
        <w:rPr>
          <w:rFonts w:hint="eastAsia" w:ascii="仿宋_GB2312" w:hAnsi="仿宋" w:eastAsia="仿宋_GB2312"/>
          <w:sz w:val="32"/>
          <w:szCs w:val="32"/>
        </w:rPr>
        <w:t>万元、住房保障支出5</w:t>
      </w:r>
      <w:r>
        <w:rPr>
          <w:rFonts w:ascii="仿宋_GB2312" w:hAnsi="仿宋" w:eastAsia="仿宋_GB2312"/>
          <w:sz w:val="32"/>
          <w:szCs w:val="32"/>
        </w:rPr>
        <w:t>47.2</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年收入预算</w:t>
      </w:r>
      <w:r>
        <w:rPr>
          <w:rFonts w:ascii="仿宋_GB2312" w:hAnsi="仿宋" w:eastAsia="仿宋_GB2312"/>
          <w:sz w:val="32"/>
          <w:szCs w:val="32"/>
        </w:rPr>
        <w:t>772.7</w:t>
      </w:r>
      <w:r>
        <w:rPr>
          <w:rFonts w:hint="eastAsia" w:ascii="仿宋_GB2312" w:hAnsi="仿宋" w:eastAsia="仿宋_GB2312"/>
          <w:sz w:val="32"/>
          <w:szCs w:val="32"/>
        </w:rPr>
        <w:t>万元，其中，本年收入</w:t>
      </w:r>
      <w:r>
        <w:rPr>
          <w:rFonts w:ascii="仿宋_GB2312" w:hAnsi="仿宋" w:eastAsia="仿宋_GB2312"/>
          <w:sz w:val="32"/>
          <w:szCs w:val="32"/>
        </w:rPr>
        <w:t>746.6</w:t>
      </w:r>
      <w:r>
        <w:rPr>
          <w:rFonts w:hint="eastAsia" w:ascii="仿宋_GB2312" w:hAnsi="仿宋" w:eastAsia="仿宋_GB2312"/>
          <w:sz w:val="32"/>
          <w:szCs w:val="32"/>
        </w:rPr>
        <w:t>万元，上年结转结余</w:t>
      </w:r>
      <w:r>
        <w:rPr>
          <w:rFonts w:ascii="仿宋_GB2312" w:hAnsi="仿宋" w:eastAsia="仿宋_GB2312"/>
          <w:sz w:val="32"/>
          <w:szCs w:val="32"/>
        </w:rPr>
        <w:t>26.1</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ascii="仿宋_GB2312" w:hAnsi="仿宋" w:eastAsia="仿宋_GB2312"/>
          <w:sz w:val="32"/>
          <w:szCs w:val="32"/>
        </w:rPr>
        <w:t>772.7</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746.6</w:t>
      </w:r>
      <w:r>
        <w:rPr>
          <w:rFonts w:hint="eastAsia" w:ascii="仿宋_GB2312" w:hAnsi="仿宋" w:eastAsia="仿宋_GB2312"/>
          <w:sz w:val="32"/>
          <w:szCs w:val="32"/>
        </w:rPr>
        <w:t>万元，占</w:t>
      </w:r>
      <w:r>
        <w:rPr>
          <w:rFonts w:ascii="仿宋_GB2312" w:hAnsi="仿宋" w:eastAsia="仿宋_GB2312"/>
          <w:sz w:val="32"/>
          <w:szCs w:val="32"/>
        </w:rPr>
        <w:t>96.62%</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14.42</w:t>
      </w:r>
      <w:r>
        <w:rPr>
          <w:rFonts w:hint="eastAsia" w:ascii="仿宋_GB2312" w:hAnsi="仿宋" w:eastAsia="仿宋_GB2312"/>
          <w:sz w:val="32"/>
          <w:szCs w:val="32"/>
        </w:rPr>
        <w:t>万元，下降</w:t>
      </w:r>
      <w:r>
        <w:rPr>
          <w:rFonts w:ascii="仿宋_GB2312" w:hAnsi="仿宋" w:eastAsia="仿宋_GB2312"/>
          <w:sz w:val="32"/>
          <w:szCs w:val="32"/>
        </w:rPr>
        <w:t>2.37%</w:t>
      </w:r>
      <w:r>
        <w:rPr>
          <w:rFonts w:hint="eastAsia" w:ascii="仿宋_GB2312" w:hAnsi="仿宋" w:eastAsia="仿宋_GB2312"/>
          <w:sz w:val="32"/>
          <w:szCs w:val="32"/>
        </w:rPr>
        <w:t>，下降原因主要是响应中央号召，厉行节约，各项支出减少；</w:t>
      </w:r>
      <w:r>
        <w:rPr>
          <w:rFonts w:ascii="仿宋_GB2312" w:hAnsi="仿宋" w:eastAsia="仿宋_GB2312"/>
          <w:sz w:val="32"/>
          <w:szCs w:val="32"/>
        </w:rPr>
        <w:t xml:space="preserve"> </w:t>
      </w:r>
    </w:p>
    <w:p>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sz w:val="32"/>
          <w:szCs w:val="32"/>
        </w:rPr>
        <w:t>（二）上年结转结余</w:t>
      </w:r>
      <w:r>
        <w:rPr>
          <w:rFonts w:ascii="仿宋_GB2312" w:hAnsi="仿宋" w:eastAsia="仿宋_GB2312"/>
          <w:sz w:val="32"/>
          <w:szCs w:val="32"/>
        </w:rPr>
        <w:t>26.1</w:t>
      </w:r>
      <w:r>
        <w:rPr>
          <w:rFonts w:hint="eastAsia" w:ascii="仿宋_GB2312" w:hAnsi="仿宋" w:eastAsia="仿宋_GB2312"/>
          <w:sz w:val="32"/>
          <w:szCs w:val="32"/>
        </w:rPr>
        <w:t>万元，主要包括：一般公共预算拨款收入</w:t>
      </w:r>
      <w:r>
        <w:rPr>
          <w:rFonts w:ascii="仿宋_GB2312" w:hAnsi="仿宋" w:eastAsia="仿宋_GB2312"/>
          <w:sz w:val="32"/>
          <w:szCs w:val="32"/>
        </w:rPr>
        <w:t>26.1</w:t>
      </w:r>
      <w:r>
        <w:rPr>
          <w:rFonts w:hint="eastAsia" w:ascii="仿宋_GB2312" w:hAnsi="仿宋" w:eastAsia="仿宋_GB2312"/>
          <w:sz w:val="32"/>
          <w:szCs w:val="32"/>
        </w:rPr>
        <w:t>万元，占</w:t>
      </w:r>
      <w:r>
        <w:rPr>
          <w:rFonts w:ascii="仿宋_GB2312" w:hAnsi="仿宋" w:eastAsia="仿宋_GB2312"/>
          <w:sz w:val="32"/>
          <w:szCs w:val="32"/>
        </w:rPr>
        <w:t>3.37%</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年预算增加2</w:t>
      </w:r>
      <w:r>
        <w:rPr>
          <w:rFonts w:ascii="仿宋_GB2312" w:hAnsi="仿宋" w:eastAsia="仿宋_GB2312"/>
          <w:sz w:val="32"/>
          <w:szCs w:val="32"/>
        </w:rPr>
        <w:t>6.1</w:t>
      </w:r>
      <w:r>
        <w:rPr>
          <w:rFonts w:hint="eastAsia" w:ascii="仿宋_GB2312" w:hAnsi="仿宋" w:eastAsia="仿宋_GB2312"/>
          <w:sz w:val="32"/>
          <w:szCs w:val="32"/>
        </w:rPr>
        <w:t>万元，增长1</w:t>
      </w:r>
      <w:r>
        <w:rPr>
          <w:rFonts w:ascii="仿宋_GB2312" w:hAnsi="仿宋" w:eastAsia="仿宋_GB2312"/>
          <w:sz w:val="32"/>
          <w:szCs w:val="32"/>
        </w:rPr>
        <w:t>00%</w:t>
      </w:r>
      <w:r>
        <w:rPr>
          <w:rFonts w:hint="eastAsia" w:ascii="仿宋_GB2312" w:hAnsi="仿宋" w:eastAsia="仿宋_GB2312"/>
          <w:sz w:val="32"/>
          <w:szCs w:val="32"/>
        </w:rPr>
        <w:t>，增长原因主要是上年度部分资金未使用完毕，进行了结转，前年资金使用完毕；</w:t>
      </w:r>
      <w:r>
        <w:rPr>
          <w:rFonts w:ascii="仿宋_GB2312" w:hAnsi="仿宋" w:eastAsia="楷体_GB2312"/>
          <w:sz w:val="32"/>
          <w:szCs w:val="32"/>
        </w:rPr>
        <w:t xml:space="preserve"> </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年支出预算</w:t>
      </w:r>
      <w:r>
        <w:rPr>
          <w:rFonts w:ascii="仿宋_GB2312" w:hAnsi="仿宋" w:eastAsia="仿宋_GB2312"/>
          <w:sz w:val="32"/>
          <w:szCs w:val="32"/>
        </w:rPr>
        <w:t>772.7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20.35</w:t>
      </w:r>
      <w:r>
        <w:rPr>
          <w:rFonts w:hint="eastAsia" w:ascii="仿宋_GB2312" w:hAnsi="仿宋" w:eastAsia="仿宋_GB2312"/>
          <w:sz w:val="32"/>
          <w:szCs w:val="32"/>
        </w:rPr>
        <w:t>万元，下降</w:t>
      </w:r>
      <w:r>
        <w:rPr>
          <w:rFonts w:ascii="仿宋_GB2312" w:hAnsi="仿宋" w:eastAsia="仿宋_GB2312"/>
          <w:sz w:val="32"/>
          <w:szCs w:val="32"/>
        </w:rPr>
        <w:t>3.04%</w:t>
      </w:r>
      <w:r>
        <w:rPr>
          <w:rFonts w:hint="eastAsia" w:ascii="仿宋_GB2312" w:hAnsi="仿宋" w:eastAsia="仿宋_GB2312"/>
          <w:sz w:val="32"/>
          <w:szCs w:val="32"/>
        </w:rPr>
        <w:t>，下降原因主要是响应中央号召、厉行节约。其中，基本支出</w:t>
      </w:r>
      <w:r>
        <w:rPr>
          <w:rFonts w:ascii="仿宋_GB2312" w:hAnsi="仿宋" w:eastAsia="仿宋_GB2312"/>
          <w:sz w:val="32"/>
          <w:szCs w:val="32"/>
        </w:rPr>
        <w:t>176</w:t>
      </w:r>
      <w:r>
        <w:rPr>
          <w:rFonts w:hint="eastAsia" w:ascii="仿宋_GB2312" w:hAnsi="仿宋" w:eastAsia="仿宋_GB2312"/>
          <w:sz w:val="32"/>
          <w:szCs w:val="32"/>
        </w:rPr>
        <w:t>万元，占</w:t>
      </w:r>
      <w:r>
        <w:rPr>
          <w:rFonts w:ascii="仿宋_GB2312" w:hAnsi="仿宋" w:eastAsia="仿宋_GB2312"/>
          <w:sz w:val="32"/>
          <w:szCs w:val="32"/>
        </w:rPr>
        <w:t>22.78%</w:t>
      </w:r>
      <w:r>
        <w:rPr>
          <w:rFonts w:hint="eastAsia" w:ascii="仿宋_GB2312" w:hAnsi="仿宋" w:eastAsia="仿宋_GB2312"/>
          <w:sz w:val="32"/>
          <w:szCs w:val="32"/>
        </w:rPr>
        <w:t>，主要用于保障机构日常运转、完成日常工作任务、人员工资及社保支出等；项目支出</w:t>
      </w:r>
      <w:r>
        <w:rPr>
          <w:rFonts w:ascii="仿宋_GB2312" w:hAnsi="仿宋" w:eastAsia="仿宋_GB2312"/>
          <w:sz w:val="32"/>
          <w:szCs w:val="32"/>
        </w:rPr>
        <w:t>596.7</w:t>
      </w:r>
      <w:r>
        <w:rPr>
          <w:rFonts w:hint="eastAsia" w:ascii="仿宋_GB2312" w:hAnsi="仿宋" w:eastAsia="仿宋_GB2312"/>
          <w:sz w:val="32"/>
          <w:szCs w:val="32"/>
        </w:rPr>
        <w:t>万元，占</w:t>
      </w:r>
      <w:r>
        <w:rPr>
          <w:rFonts w:ascii="仿宋_GB2312" w:hAnsi="仿宋" w:eastAsia="仿宋_GB2312"/>
          <w:sz w:val="32"/>
          <w:szCs w:val="32"/>
        </w:rPr>
        <w:t>77.22%</w:t>
      </w:r>
      <w:r>
        <w:rPr>
          <w:rFonts w:hint="eastAsia" w:ascii="仿宋_GB2312" w:hAnsi="仿宋" w:eastAsia="仿宋_GB2312"/>
          <w:sz w:val="32"/>
          <w:szCs w:val="32"/>
        </w:rPr>
        <w:t>，主要用于农村公路养护、老旧小区改造、自然灾害普查、保障房管理及维修、区级保障房小区物业补贴等项目；</w:t>
      </w:r>
      <w:r>
        <w:rPr>
          <w:rFonts w:ascii="仿宋_GB2312" w:hAnsi="仿宋" w:eastAsia="仿宋_GB2312"/>
          <w:sz w:val="32"/>
          <w:szCs w:val="32"/>
        </w:rPr>
        <w:t xml:space="preserve"> </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5"/>
        <w:adjustRightInd w:val="0"/>
        <w:snapToGrid w:val="0"/>
        <w:spacing w:before="0" w:beforeAutospacing="0" w:after="0" w:afterAutospacing="0" w:line="600" w:lineRule="exact"/>
        <w:ind w:firstLine="640" w:firstLineChars="200"/>
        <w:rPr>
          <w:rFonts w:ascii="仿宋_GB2312" w:hAnsi="仿宋" w:eastAsia="楷体_GB2312" w:cs="Times New Roman"/>
          <w:kern w:val="2"/>
          <w:sz w:val="32"/>
          <w:szCs w:val="32"/>
        </w:rPr>
      </w:pPr>
      <w:r>
        <w:rPr>
          <w:rFonts w:hint="eastAsia" w:ascii="仿宋_GB2312" w:hAnsi="仿宋" w:eastAsia="仿宋_GB2312" w:cs="Times New Roman"/>
          <w:kern w:val="2"/>
          <w:sz w:val="32"/>
          <w:szCs w:val="32"/>
        </w:rPr>
        <w:t>八公山区住建局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ascii="仿宋_GB2312" w:hAnsi="仿宋" w:eastAsia="仿宋_GB2312" w:cs="Times New Roman"/>
          <w:kern w:val="2"/>
          <w:sz w:val="32"/>
          <w:szCs w:val="32"/>
        </w:rPr>
        <w:t>772.7</w:t>
      </w:r>
      <w:r>
        <w:rPr>
          <w:rFonts w:hint="eastAsia" w:ascii="仿宋_GB2312" w:hAnsi="仿宋" w:eastAsia="仿宋_GB2312" w:cs="Times New Roman"/>
          <w:kern w:val="2"/>
          <w:sz w:val="32"/>
          <w:szCs w:val="32"/>
        </w:rPr>
        <w:t>万元。收入按资金来源分为：一般公共预算拨款</w:t>
      </w:r>
      <w:r>
        <w:rPr>
          <w:rFonts w:ascii="仿宋_GB2312" w:hAnsi="仿宋" w:eastAsia="仿宋_GB2312" w:cs="Times New Roman"/>
          <w:kern w:val="2"/>
          <w:sz w:val="32"/>
          <w:szCs w:val="32"/>
        </w:rPr>
        <w:t>746.6</w:t>
      </w:r>
      <w:r>
        <w:rPr>
          <w:rFonts w:hint="eastAsia" w:ascii="仿宋_GB2312" w:hAnsi="仿宋" w:eastAsia="仿宋_GB2312" w:cs="Times New Roman"/>
          <w:kern w:val="2"/>
          <w:sz w:val="32"/>
          <w:szCs w:val="32"/>
        </w:rPr>
        <w:t>万元、政府性基金预算拨款</w:t>
      </w:r>
      <w:r>
        <w:rPr>
          <w:rFonts w:ascii="仿宋_GB2312" w:hAnsi="仿宋" w:eastAsia="仿宋_GB2312" w:cs="Times New Roman"/>
          <w:kern w:val="2"/>
          <w:sz w:val="32"/>
          <w:szCs w:val="32"/>
        </w:rPr>
        <w:t>0</w:t>
      </w:r>
      <w:r>
        <w:rPr>
          <w:rFonts w:hint="eastAsia" w:ascii="仿宋_GB2312" w:hAnsi="仿宋" w:eastAsia="仿宋_GB2312" w:cs="Times New Roman"/>
          <w:kern w:val="2"/>
          <w:sz w:val="32"/>
          <w:szCs w:val="32"/>
        </w:rPr>
        <w:t>万元、国有资本经营预算拨款</w:t>
      </w:r>
      <w:r>
        <w:rPr>
          <w:rFonts w:ascii="仿宋_GB2312" w:hAnsi="仿宋" w:eastAsia="仿宋_GB2312" w:cs="Times New Roman"/>
          <w:kern w:val="2"/>
          <w:sz w:val="32"/>
          <w:szCs w:val="32"/>
        </w:rPr>
        <w:t>0</w:t>
      </w:r>
      <w:r>
        <w:rPr>
          <w:rFonts w:hint="eastAsia" w:ascii="仿宋_GB2312" w:hAnsi="仿宋" w:eastAsia="仿宋_GB2312" w:cs="Times New Roman"/>
          <w:kern w:val="2"/>
          <w:sz w:val="32"/>
          <w:szCs w:val="32"/>
        </w:rPr>
        <w:t>万元；按资金年度分为：本年财政拨款收入</w:t>
      </w:r>
      <w:r>
        <w:rPr>
          <w:rFonts w:ascii="仿宋_GB2312" w:hAnsi="仿宋" w:eastAsia="仿宋_GB2312" w:cs="Times New Roman"/>
          <w:kern w:val="2"/>
          <w:sz w:val="32"/>
          <w:szCs w:val="32"/>
        </w:rPr>
        <w:t>746.6</w:t>
      </w:r>
      <w:r>
        <w:rPr>
          <w:rFonts w:hint="eastAsia" w:ascii="仿宋_GB2312" w:hAnsi="仿宋" w:eastAsia="仿宋_GB2312" w:cs="Times New Roman"/>
          <w:kern w:val="2"/>
          <w:sz w:val="32"/>
          <w:szCs w:val="32"/>
        </w:rPr>
        <w:t>万元，上年结转收入</w:t>
      </w:r>
      <w:r>
        <w:rPr>
          <w:rFonts w:ascii="仿宋_GB2312" w:hAnsi="仿宋" w:eastAsia="仿宋_GB2312" w:cs="Times New Roman"/>
          <w:kern w:val="2"/>
          <w:sz w:val="32"/>
          <w:szCs w:val="32"/>
        </w:rPr>
        <w:t>26.1</w:t>
      </w:r>
      <w:r>
        <w:rPr>
          <w:rFonts w:hint="eastAsia" w:ascii="仿宋_GB2312" w:hAnsi="仿宋" w:eastAsia="仿宋_GB2312" w:cs="Times New Roman"/>
          <w:kern w:val="2"/>
          <w:sz w:val="32"/>
          <w:szCs w:val="32"/>
        </w:rPr>
        <w:t>万元。支出按功能分类分为：</w:t>
      </w:r>
      <w:r>
        <w:rPr>
          <w:rFonts w:hint="eastAsia" w:ascii="仿宋_GB2312" w:hAnsi="仿宋" w:eastAsia="仿宋_GB2312"/>
          <w:sz w:val="32"/>
          <w:szCs w:val="32"/>
        </w:rPr>
        <w:t>社会保障和就业支出</w:t>
      </w:r>
      <w:r>
        <w:rPr>
          <w:rFonts w:ascii="仿宋_GB2312" w:hAnsi="仿宋" w:eastAsia="仿宋_GB2312"/>
          <w:sz w:val="32"/>
          <w:szCs w:val="32"/>
        </w:rPr>
        <w:t>29.6</w:t>
      </w:r>
      <w:r>
        <w:rPr>
          <w:rFonts w:hint="eastAsia" w:ascii="仿宋_GB2312" w:hAnsi="仿宋" w:eastAsia="仿宋_GB2312"/>
          <w:sz w:val="32"/>
          <w:szCs w:val="32"/>
        </w:rPr>
        <w:t>万元、占</w:t>
      </w:r>
      <w:r>
        <w:rPr>
          <w:rFonts w:ascii="仿宋_GB2312" w:hAnsi="仿宋" w:eastAsia="仿宋_GB2312"/>
          <w:sz w:val="32"/>
          <w:szCs w:val="32"/>
        </w:rPr>
        <w:t>3.83%</w:t>
      </w:r>
      <w:r>
        <w:rPr>
          <w:rFonts w:hint="eastAsia" w:ascii="仿宋_GB2312" w:hAnsi="仿宋" w:eastAsia="仿宋_GB2312"/>
          <w:sz w:val="32"/>
          <w:szCs w:val="32"/>
        </w:rPr>
        <w:t>。卫生健康支出</w:t>
      </w:r>
      <w:r>
        <w:rPr>
          <w:rFonts w:ascii="仿宋_GB2312" w:hAnsi="仿宋" w:eastAsia="仿宋_GB2312"/>
          <w:sz w:val="32"/>
          <w:szCs w:val="32"/>
        </w:rPr>
        <w:t>7.8</w:t>
      </w:r>
      <w:r>
        <w:rPr>
          <w:rFonts w:hint="eastAsia" w:ascii="仿宋_GB2312" w:hAnsi="仿宋" w:eastAsia="仿宋_GB2312"/>
          <w:sz w:val="32"/>
          <w:szCs w:val="32"/>
        </w:rPr>
        <w:t>万元、占</w:t>
      </w:r>
      <w:r>
        <w:rPr>
          <w:rFonts w:ascii="仿宋_GB2312" w:hAnsi="仿宋" w:eastAsia="仿宋_GB2312"/>
          <w:sz w:val="32"/>
          <w:szCs w:val="32"/>
        </w:rPr>
        <w:t>1%</w:t>
      </w:r>
      <w:r>
        <w:rPr>
          <w:rFonts w:hint="eastAsia" w:ascii="仿宋_GB2312" w:hAnsi="仿宋" w:eastAsia="仿宋_GB2312"/>
          <w:sz w:val="32"/>
          <w:szCs w:val="32"/>
        </w:rPr>
        <w:t>。城乡社区支出</w:t>
      </w:r>
      <w:r>
        <w:rPr>
          <w:rFonts w:ascii="仿宋_GB2312" w:hAnsi="仿宋" w:eastAsia="仿宋_GB2312"/>
          <w:sz w:val="32"/>
          <w:szCs w:val="32"/>
        </w:rPr>
        <w:t>168.2</w:t>
      </w:r>
      <w:r>
        <w:rPr>
          <w:rFonts w:hint="eastAsia" w:ascii="仿宋_GB2312" w:hAnsi="仿宋" w:eastAsia="仿宋_GB2312"/>
          <w:sz w:val="32"/>
          <w:szCs w:val="32"/>
        </w:rPr>
        <w:t>万元、占</w:t>
      </w:r>
      <w:r>
        <w:rPr>
          <w:rFonts w:ascii="仿宋_GB2312" w:hAnsi="仿宋" w:eastAsia="仿宋_GB2312"/>
          <w:sz w:val="32"/>
          <w:szCs w:val="32"/>
        </w:rPr>
        <w:t>21.77%</w:t>
      </w:r>
      <w:r>
        <w:rPr>
          <w:rFonts w:hint="eastAsia" w:ascii="仿宋_GB2312" w:hAnsi="仿宋" w:eastAsia="仿宋_GB2312"/>
          <w:sz w:val="32"/>
          <w:szCs w:val="32"/>
        </w:rPr>
        <w:t>。农林水支出2</w:t>
      </w:r>
      <w:r>
        <w:rPr>
          <w:rFonts w:ascii="仿宋_GB2312" w:hAnsi="仿宋" w:eastAsia="仿宋_GB2312"/>
          <w:sz w:val="32"/>
          <w:szCs w:val="32"/>
        </w:rPr>
        <w:t>0.0</w:t>
      </w:r>
      <w:r>
        <w:rPr>
          <w:rFonts w:hint="eastAsia" w:ascii="仿宋_GB2312" w:hAnsi="仿宋" w:eastAsia="仿宋_GB2312"/>
          <w:sz w:val="32"/>
          <w:szCs w:val="32"/>
        </w:rPr>
        <w:t>万元、占</w:t>
      </w:r>
      <w:r>
        <w:rPr>
          <w:rFonts w:ascii="仿宋_GB2312" w:hAnsi="仿宋" w:eastAsia="仿宋_GB2312"/>
          <w:sz w:val="32"/>
          <w:szCs w:val="32"/>
        </w:rPr>
        <w:t>1.42%</w:t>
      </w:r>
      <w:r>
        <w:rPr>
          <w:rFonts w:hint="eastAsia" w:ascii="仿宋_GB2312" w:hAnsi="仿宋" w:eastAsia="仿宋_GB2312"/>
          <w:sz w:val="32"/>
          <w:szCs w:val="32"/>
        </w:rPr>
        <w:t>。住房保障支出</w:t>
      </w:r>
      <w:r>
        <w:rPr>
          <w:rFonts w:ascii="仿宋_GB2312" w:hAnsi="仿宋" w:eastAsia="仿宋_GB2312"/>
          <w:sz w:val="32"/>
          <w:szCs w:val="32"/>
        </w:rPr>
        <w:t>556.2</w:t>
      </w:r>
      <w:r>
        <w:rPr>
          <w:rFonts w:hint="eastAsia" w:ascii="仿宋_GB2312" w:hAnsi="仿宋" w:eastAsia="仿宋_GB2312"/>
          <w:sz w:val="32"/>
          <w:szCs w:val="32"/>
        </w:rPr>
        <w:t>万元、占</w:t>
      </w:r>
      <w:r>
        <w:rPr>
          <w:rFonts w:ascii="仿宋_GB2312" w:hAnsi="仿宋" w:eastAsia="仿宋_GB2312"/>
          <w:sz w:val="32"/>
          <w:szCs w:val="32"/>
        </w:rPr>
        <w:t>71.98%</w:t>
      </w:r>
      <w:r>
        <w:rPr>
          <w:rFonts w:hint="eastAsia" w:ascii="仿宋_GB2312" w:hAnsi="仿宋" w:eastAsia="仿宋_GB2312"/>
          <w:sz w:val="32"/>
          <w:szCs w:val="32"/>
        </w:rPr>
        <w:t>。</w:t>
      </w:r>
    </w:p>
    <w:p>
      <w:pPr>
        <w:pStyle w:val="5"/>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八公山区住建局</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ascii="仿宋_GB2312" w:hAnsi="仿宋" w:eastAsia="仿宋_GB2312" w:cs="Times New Roman"/>
          <w:kern w:val="2"/>
          <w:sz w:val="32"/>
          <w:szCs w:val="32"/>
        </w:rPr>
        <w:t>772.7</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ascii="仿宋_GB2312" w:hAnsi="仿宋" w:eastAsia="仿宋_GB2312" w:cs="Times New Roman"/>
          <w:kern w:val="2"/>
          <w:sz w:val="32"/>
          <w:szCs w:val="32"/>
        </w:rPr>
        <w:t>21.62</w:t>
      </w:r>
      <w:r>
        <w:rPr>
          <w:rFonts w:hint="eastAsia" w:ascii="仿宋_GB2312" w:hAnsi="仿宋" w:eastAsia="仿宋_GB2312" w:cs="Times New Roman"/>
          <w:kern w:val="2"/>
          <w:sz w:val="32"/>
          <w:szCs w:val="32"/>
        </w:rPr>
        <w:t>万元，增长</w:t>
      </w:r>
      <w:r>
        <w:rPr>
          <w:rFonts w:ascii="仿宋_GB2312" w:hAnsi="仿宋" w:eastAsia="仿宋_GB2312" w:cs="Times New Roman"/>
          <w:kern w:val="2"/>
          <w:sz w:val="32"/>
          <w:szCs w:val="32"/>
        </w:rPr>
        <w:t>7.56%</w:t>
      </w:r>
      <w:r>
        <w:rPr>
          <w:rFonts w:hint="eastAsia" w:ascii="仿宋_GB2312" w:hAnsi="仿宋" w:eastAsia="仿宋_GB2312" w:cs="Times New Roman"/>
          <w:kern w:val="2"/>
          <w:sz w:val="32"/>
          <w:szCs w:val="32"/>
        </w:rPr>
        <w:t>，主要原因：一是部分项目开工，工程费用增加；二是人员工资、社保等费用随年度自然增加。</w:t>
      </w:r>
    </w:p>
    <w:p>
      <w:pPr>
        <w:pStyle w:val="5"/>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5"/>
        <w:adjustRightInd w:val="0"/>
        <w:snapToGrid w:val="0"/>
        <w:spacing w:before="0" w:beforeAutospacing="0" w:after="0" w:afterAutospacing="0" w:line="600" w:lineRule="exact"/>
        <w:ind w:firstLine="640" w:firstLineChars="200"/>
        <w:rPr>
          <w:rFonts w:ascii="仿宋_GB2312" w:hAnsi="仿宋" w:eastAsia="楷体_GB2312" w:cs="Times New Roman"/>
          <w:kern w:val="2"/>
          <w:sz w:val="32"/>
          <w:szCs w:val="32"/>
        </w:rPr>
      </w:pPr>
      <w:r>
        <w:rPr>
          <w:rFonts w:hint="eastAsia" w:ascii="仿宋_GB2312" w:hAnsi="仿宋" w:eastAsia="仿宋_GB2312"/>
          <w:sz w:val="32"/>
          <w:szCs w:val="32"/>
        </w:rPr>
        <w:t>社会保障和就业支出</w:t>
      </w:r>
      <w:r>
        <w:rPr>
          <w:rFonts w:ascii="仿宋_GB2312" w:hAnsi="仿宋" w:eastAsia="仿宋_GB2312"/>
          <w:sz w:val="32"/>
          <w:szCs w:val="32"/>
        </w:rPr>
        <w:t>29.6</w:t>
      </w:r>
      <w:r>
        <w:rPr>
          <w:rFonts w:hint="eastAsia" w:ascii="仿宋_GB2312" w:hAnsi="仿宋" w:eastAsia="仿宋_GB2312"/>
          <w:sz w:val="32"/>
          <w:szCs w:val="32"/>
        </w:rPr>
        <w:t>万元、占</w:t>
      </w:r>
      <w:r>
        <w:rPr>
          <w:rFonts w:ascii="仿宋_GB2312" w:hAnsi="仿宋" w:eastAsia="仿宋_GB2312"/>
          <w:sz w:val="32"/>
          <w:szCs w:val="32"/>
        </w:rPr>
        <w:t>3.83%</w:t>
      </w:r>
      <w:r>
        <w:rPr>
          <w:rFonts w:hint="eastAsia" w:ascii="仿宋_GB2312" w:hAnsi="仿宋" w:eastAsia="仿宋_GB2312"/>
          <w:sz w:val="32"/>
          <w:szCs w:val="32"/>
        </w:rPr>
        <w:t>。卫生健康支出</w:t>
      </w:r>
      <w:r>
        <w:rPr>
          <w:rFonts w:ascii="仿宋_GB2312" w:hAnsi="仿宋" w:eastAsia="仿宋_GB2312"/>
          <w:sz w:val="32"/>
          <w:szCs w:val="32"/>
        </w:rPr>
        <w:t>7.8</w:t>
      </w:r>
      <w:r>
        <w:rPr>
          <w:rFonts w:hint="eastAsia" w:ascii="仿宋_GB2312" w:hAnsi="仿宋" w:eastAsia="仿宋_GB2312"/>
          <w:sz w:val="32"/>
          <w:szCs w:val="32"/>
        </w:rPr>
        <w:t>万元、占</w:t>
      </w:r>
      <w:r>
        <w:rPr>
          <w:rFonts w:ascii="仿宋_GB2312" w:hAnsi="仿宋" w:eastAsia="仿宋_GB2312"/>
          <w:sz w:val="32"/>
          <w:szCs w:val="32"/>
        </w:rPr>
        <w:t>1%</w:t>
      </w:r>
      <w:r>
        <w:rPr>
          <w:rFonts w:hint="eastAsia" w:ascii="仿宋_GB2312" w:hAnsi="仿宋" w:eastAsia="仿宋_GB2312"/>
          <w:sz w:val="32"/>
          <w:szCs w:val="32"/>
        </w:rPr>
        <w:t>。城乡社区支出</w:t>
      </w:r>
      <w:r>
        <w:rPr>
          <w:rFonts w:ascii="仿宋_GB2312" w:hAnsi="仿宋" w:eastAsia="仿宋_GB2312"/>
          <w:sz w:val="32"/>
          <w:szCs w:val="32"/>
        </w:rPr>
        <w:t>168.2</w:t>
      </w:r>
      <w:r>
        <w:rPr>
          <w:rFonts w:hint="eastAsia" w:ascii="仿宋_GB2312" w:hAnsi="仿宋" w:eastAsia="仿宋_GB2312"/>
          <w:sz w:val="32"/>
          <w:szCs w:val="32"/>
        </w:rPr>
        <w:t>万元、占</w:t>
      </w:r>
      <w:r>
        <w:rPr>
          <w:rFonts w:ascii="仿宋_GB2312" w:hAnsi="仿宋" w:eastAsia="仿宋_GB2312"/>
          <w:sz w:val="32"/>
          <w:szCs w:val="32"/>
        </w:rPr>
        <w:t>21.77%</w:t>
      </w:r>
      <w:r>
        <w:rPr>
          <w:rFonts w:hint="eastAsia" w:ascii="仿宋_GB2312" w:hAnsi="仿宋" w:eastAsia="仿宋_GB2312"/>
          <w:sz w:val="32"/>
          <w:szCs w:val="32"/>
        </w:rPr>
        <w:t>。农林水支出2</w:t>
      </w:r>
      <w:r>
        <w:rPr>
          <w:rFonts w:ascii="仿宋_GB2312" w:hAnsi="仿宋" w:eastAsia="仿宋_GB2312"/>
          <w:sz w:val="32"/>
          <w:szCs w:val="32"/>
        </w:rPr>
        <w:t>0.0</w:t>
      </w:r>
      <w:r>
        <w:rPr>
          <w:rFonts w:hint="eastAsia" w:ascii="仿宋_GB2312" w:hAnsi="仿宋" w:eastAsia="仿宋_GB2312"/>
          <w:sz w:val="32"/>
          <w:szCs w:val="32"/>
        </w:rPr>
        <w:t>万元、占</w:t>
      </w:r>
      <w:r>
        <w:rPr>
          <w:rFonts w:ascii="仿宋_GB2312" w:hAnsi="仿宋" w:eastAsia="仿宋_GB2312"/>
          <w:sz w:val="32"/>
          <w:szCs w:val="32"/>
        </w:rPr>
        <w:t>1.42%</w:t>
      </w:r>
      <w:r>
        <w:rPr>
          <w:rFonts w:hint="eastAsia" w:ascii="仿宋_GB2312" w:hAnsi="仿宋" w:eastAsia="仿宋_GB2312"/>
          <w:sz w:val="32"/>
          <w:szCs w:val="32"/>
        </w:rPr>
        <w:t>。住房保障支出</w:t>
      </w:r>
      <w:r>
        <w:rPr>
          <w:rFonts w:ascii="仿宋_GB2312" w:hAnsi="仿宋" w:eastAsia="仿宋_GB2312"/>
          <w:sz w:val="32"/>
          <w:szCs w:val="32"/>
        </w:rPr>
        <w:t>556.2</w:t>
      </w:r>
      <w:r>
        <w:rPr>
          <w:rFonts w:hint="eastAsia" w:ascii="仿宋_GB2312" w:hAnsi="仿宋" w:eastAsia="仿宋_GB2312"/>
          <w:sz w:val="32"/>
          <w:szCs w:val="32"/>
        </w:rPr>
        <w:t>万元、占</w:t>
      </w:r>
      <w:r>
        <w:rPr>
          <w:rFonts w:ascii="仿宋_GB2312" w:hAnsi="仿宋" w:eastAsia="仿宋_GB2312"/>
          <w:sz w:val="32"/>
          <w:szCs w:val="32"/>
        </w:rPr>
        <w:t>71.98%</w:t>
      </w:r>
      <w:r>
        <w:rPr>
          <w:rFonts w:hint="eastAsia" w:ascii="仿宋_GB2312" w:hAnsi="仿宋" w:eastAsia="仿宋_GB2312"/>
          <w:sz w:val="32"/>
          <w:szCs w:val="32"/>
        </w:rPr>
        <w:t>。</w:t>
      </w:r>
    </w:p>
    <w:p>
      <w:pPr>
        <w:adjustRightInd w:val="0"/>
        <w:snapToGrid w:val="0"/>
        <w:spacing w:line="600" w:lineRule="exact"/>
        <w:ind w:firstLine="321" w:firstLineChars="1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2.62</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13.84</w:t>
      </w:r>
      <w:r>
        <w:rPr>
          <w:rFonts w:ascii="仿宋_GB2312" w:hAnsi="仿宋" w:eastAsia="仿宋_GB2312"/>
          <w:sz w:val="32"/>
          <w:szCs w:val="32"/>
        </w:rPr>
        <w:t>%</w:t>
      </w:r>
      <w:r>
        <w:rPr>
          <w:rFonts w:hint="eastAsia" w:ascii="仿宋_GB2312" w:hAnsi="仿宋" w:eastAsia="仿宋_GB2312"/>
          <w:sz w:val="32"/>
          <w:szCs w:val="32"/>
        </w:rPr>
        <w:t>，下降原因主要是人员减少。</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2.</w:t>
      </w:r>
      <w:r>
        <w:rPr>
          <w:rFonts w:hint="eastAsia" w:ascii="仿宋_GB2312" w:hAnsi="仿宋" w:eastAsia="仿宋_GB2312"/>
          <w:b/>
          <w:sz w:val="32"/>
          <w:szCs w:val="32"/>
        </w:rPr>
        <w:t>社会保障和就业支出（类）行政事业单位养老支出（款）机关事业单位职业年金缴费支出（项）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8.1</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，增加原因主要是规范单位人员养老和职业年金机制。</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3</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卫生健康支出（类）行政事业单位医疗（款）行政单位医疗（项）</w:t>
      </w:r>
      <w:r>
        <w:rPr>
          <w:rFonts w:ascii="仿宋_GB2312" w:hAnsi="仿宋" w:eastAsia="仿宋_GB2312"/>
          <w:sz w:val="32"/>
          <w:szCs w:val="32"/>
        </w:rPr>
        <w:t>2022</w:t>
      </w:r>
      <w:r>
        <w:rPr>
          <w:rFonts w:hint="eastAsia" w:ascii="仿宋_GB2312" w:hAnsi="仿宋" w:eastAsia="仿宋_GB2312"/>
          <w:sz w:val="32"/>
          <w:szCs w:val="32"/>
        </w:rPr>
        <w:t>年预算</w:t>
      </w:r>
      <w:r>
        <w:rPr>
          <w:rFonts w:ascii="仿宋_GB2312" w:hAnsi="仿宋" w:eastAsia="仿宋_GB2312"/>
          <w:sz w:val="32"/>
          <w:szCs w:val="32"/>
        </w:rPr>
        <w:t>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0.63</w:t>
      </w:r>
      <w:r>
        <w:rPr>
          <w:rFonts w:hint="eastAsia" w:ascii="仿宋_GB2312" w:hAnsi="仿宋" w:eastAsia="仿宋_GB2312"/>
          <w:sz w:val="32"/>
          <w:szCs w:val="32"/>
        </w:rPr>
        <w:t>万元，下降2</w:t>
      </w:r>
      <w:r>
        <w:rPr>
          <w:rFonts w:ascii="仿宋_GB2312" w:hAnsi="仿宋" w:eastAsia="仿宋_GB2312"/>
          <w:sz w:val="32"/>
          <w:szCs w:val="32"/>
        </w:rPr>
        <w:t>5.93%</w:t>
      </w:r>
      <w:r>
        <w:rPr>
          <w:rFonts w:hint="eastAsia" w:ascii="仿宋_GB2312" w:hAnsi="仿宋" w:eastAsia="仿宋_GB2312"/>
          <w:sz w:val="32"/>
          <w:szCs w:val="32"/>
        </w:rPr>
        <w:t>，下降原因主要是人员减少。</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4</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卫生健康支出（类）行政事业单位医疗（款）事业单位医疗（项）</w:t>
      </w:r>
      <w:r>
        <w:rPr>
          <w:rFonts w:ascii="仿宋_GB2312" w:hAnsi="仿宋" w:eastAsia="仿宋_GB2312"/>
          <w:b/>
          <w:sz w:val="32"/>
          <w:szCs w:val="32"/>
        </w:rPr>
        <w:t>5.2</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1.74</w:t>
      </w:r>
      <w:r>
        <w:rPr>
          <w:rFonts w:hint="eastAsia" w:ascii="仿宋_GB2312" w:hAnsi="仿宋" w:eastAsia="仿宋_GB2312"/>
          <w:sz w:val="32"/>
          <w:szCs w:val="32"/>
        </w:rPr>
        <w:t>万元，增加</w:t>
      </w:r>
      <w:r>
        <w:rPr>
          <w:rFonts w:ascii="仿宋_GB2312" w:hAnsi="仿宋" w:eastAsia="仿宋_GB2312"/>
          <w:sz w:val="32"/>
          <w:szCs w:val="32"/>
        </w:rPr>
        <w:t>85%</w:t>
      </w:r>
      <w:r>
        <w:rPr>
          <w:rFonts w:hint="eastAsia" w:ascii="仿宋_GB2312" w:hAnsi="仿宋" w:eastAsia="仿宋_GB2312"/>
          <w:sz w:val="32"/>
          <w:szCs w:val="32"/>
        </w:rPr>
        <w:t>，增加原因主要是用于全额事业单位医疗保障方面的支出，人员工资增长，因此本项目也伴随着增长。</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5</w:t>
      </w:r>
      <w:r>
        <w:rPr>
          <w:rFonts w:ascii="仿宋_GB2312" w:hAnsi="仿宋" w:eastAsia="仿宋_GB2312"/>
          <w:b/>
          <w:sz w:val="32"/>
          <w:szCs w:val="32"/>
        </w:rPr>
        <w:t>.</w:t>
      </w:r>
      <w:r>
        <w:rPr>
          <w:rFonts w:hint="eastAsia" w:ascii="仿宋_GB2312" w:hAnsi="仿宋" w:eastAsia="仿宋_GB2312"/>
          <w:b/>
          <w:sz w:val="32"/>
          <w:szCs w:val="32"/>
        </w:rPr>
        <w:t>卫生健康支出（类）行政事业单位医疗（款）</w:t>
      </w:r>
      <w:r>
        <w:rPr>
          <w:rFonts w:hint="eastAsia" w:ascii="仿宋_GB2312" w:hAnsi="仿宋" w:eastAsia="仿宋_GB2312"/>
          <w:b/>
          <w:sz w:val="32"/>
          <w:szCs w:val="32"/>
          <w:lang w:eastAsia="zh-CN"/>
        </w:rPr>
        <w:t>公务员医疗补助</w:t>
      </w:r>
      <w:r>
        <w:rPr>
          <w:rFonts w:hint="eastAsia" w:ascii="仿宋_GB2312" w:hAnsi="仿宋" w:eastAsia="仿宋_GB2312"/>
          <w:b/>
          <w:sz w:val="32"/>
          <w:szCs w:val="32"/>
        </w:rPr>
        <w:t>（项）0</w:t>
      </w:r>
      <w:r>
        <w:rPr>
          <w:rFonts w:ascii="仿宋_GB2312" w:hAnsi="仿宋" w:eastAsia="仿宋_GB2312"/>
          <w:b/>
          <w:sz w:val="32"/>
          <w:szCs w:val="32"/>
        </w:rPr>
        <w:t>.8</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0.8</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，增加原因主要是今年增加了此项目。</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6</w:t>
      </w:r>
      <w:r>
        <w:rPr>
          <w:rFonts w:ascii="仿宋_GB2312" w:hAnsi="仿宋" w:eastAsia="仿宋_GB2312"/>
          <w:b/>
          <w:sz w:val="32"/>
          <w:szCs w:val="32"/>
        </w:rPr>
        <w:t>.</w:t>
      </w:r>
      <w:r>
        <w:rPr>
          <w:rFonts w:hint="eastAsia" w:ascii="仿宋_GB2312" w:hAnsi="仿宋" w:eastAsia="仿宋_GB2312"/>
          <w:b/>
          <w:sz w:val="32"/>
          <w:szCs w:val="32"/>
        </w:rPr>
        <w:t>城乡社区支出（类）城乡社区管理事务（款）行政运行（项）</w:t>
      </w:r>
      <w:r>
        <w:rPr>
          <w:rFonts w:ascii="仿宋_GB2312" w:hAnsi="仿宋" w:eastAsia="仿宋_GB2312"/>
          <w:b/>
          <w:sz w:val="32"/>
          <w:szCs w:val="32"/>
        </w:rPr>
        <w:t>67.9</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ascii="仿宋_GB2312" w:hAnsi="仿宋" w:eastAsia="仿宋_GB2312"/>
          <w:sz w:val="32"/>
          <w:szCs w:val="32"/>
        </w:rPr>
        <w:t>4.01</w:t>
      </w:r>
      <w:r>
        <w:rPr>
          <w:rFonts w:hint="eastAsia" w:ascii="仿宋_GB2312" w:hAnsi="仿宋" w:eastAsia="仿宋_GB2312"/>
          <w:sz w:val="32"/>
          <w:szCs w:val="32"/>
        </w:rPr>
        <w:t>万元，减少5</w:t>
      </w:r>
      <w:r>
        <w:rPr>
          <w:rFonts w:ascii="仿宋_GB2312" w:hAnsi="仿宋" w:eastAsia="仿宋_GB2312"/>
          <w:sz w:val="32"/>
          <w:szCs w:val="32"/>
        </w:rPr>
        <w:t>.58%</w:t>
      </w:r>
      <w:r>
        <w:rPr>
          <w:rFonts w:hint="eastAsia" w:ascii="仿宋_GB2312" w:hAnsi="仿宋" w:eastAsia="仿宋_GB2312"/>
          <w:sz w:val="32"/>
          <w:szCs w:val="32"/>
        </w:rPr>
        <w:t>，减少原因主要是响应中央号召、厉行节约。</w:t>
      </w:r>
    </w:p>
    <w:p>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7</w:t>
      </w:r>
      <w:bookmarkStart w:id="1" w:name="_GoBack"/>
      <w:bookmarkEnd w:id="1"/>
      <w:r>
        <w:rPr>
          <w:rFonts w:ascii="仿宋_GB2312" w:hAnsi="仿宋" w:eastAsia="仿宋_GB2312"/>
          <w:b/>
          <w:sz w:val="32"/>
          <w:szCs w:val="32"/>
        </w:rPr>
        <w:t>.</w:t>
      </w:r>
      <w:r>
        <w:rPr>
          <w:rFonts w:hint="eastAsia" w:ascii="仿宋_GB2312" w:hAnsi="仿宋" w:eastAsia="仿宋_GB2312"/>
          <w:b/>
          <w:sz w:val="32"/>
          <w:szCs w:val="32"/>
        </w:rPr>
        <w:t>城乡社区支出（类）其他城乡社区支出（款）其他城乡社区支出（项）</w:t>
      </w:r>
      <w:r>
        <w:rPr>
          <w:rFonts w:hint="eastAsia" w:ascii="仿宋_GB2312" w:hAnsi="仿宋" w:eastAsia="仿宋_GB2312"/>
          <w:b/>
          <w:sz w:val="32"/>
          <w:szCs w:val="32"/>
          <w:lang w:val="en-US" w:eastAsia="zh-CN"/>
        </w:rPr>
        <w:t>15</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年预算减少1</w:t>
      </w:r>
      <w:r>
        <w:rPr>
          <w:rFonts w:ascii="仿宋_GB2312" w:hAnsi="仿宋" w:eastAsia="仿宋_GB2312"/>
          <w:sz w:val="32"/>
          <w:szCs w:val="32"/>
        </w:rPr>
        <w:t>.</w:t>
      </w:r>
      <w:r>
        <w:rPr>
          <w:rFonts w:hint="eastAsia" w:ascii="仿宋_GB2312" w:hAnsi="仿宋" w:eastAsia="仿宋_GB2312"/>
          <w:sz w:val="32"/>
          <w:szCs w:val="32"/>
          <w:lang w:val="en-US" w:eastAsia="zh-CN"/>
        </w:rPr>
        <w:t>62</w:t>
      </w:r>
      <w:r>
        <w:rPr>
          <w:rFonts w:hint="eastAsia" w:ascii="仿宋_GB2312" w:hAnsi="仿宋" w:eastAsia="仿宋_GB2312"/>
          <w:sz w:val="32"/>
          <w:szCs w:val="32"/>
        </w:rPr>
        <w:t>万元，减少</w:t>
      </w:r>
      <w:r>
        <w:rPr>
          <w:rFonts w:hint="eastAsia" w:ascii="仿宋_GB2312" w:hAnsi="仿宋" w:eastAsia="仿宋_GB2312"/>
          <w:sz w:val="32"/>
          <w:szCs w:val="32"/>
          <w:lang w:val="en-US" w:eastAsia="zh-CN"/>
        </w:rPr>
        <w:t>9.7</w:t>
      </w:r>
      <w:r>
        <w:rPr>
          <w:rFonts w:ascii="仿宋_GB2312" w:hAnsi="仿宋" w:eastAsia="仿宋_GB2312"/>
          <w:sz w:val="32"/>
          <w:szCs w:val="32"/>
        </w:rPr>
        <w:t>%</w:t>
      </w:r>
      <w:r>
        <w:rPr>
          <w:rFonts w:hint="eastAsia" w:ascii="仿宋_GB2312" w:hAnsi="仿宋" w:eastAsia="仿宋_GB2312"/>
          <w:sz w:val="32"/>
          <w:szCs w:val="32"/>
        </w:rPr>
        <w:t>，增加原因主要是厉行节约。</w:t>
      </w:r>
    </w:p>
    <w:p>
      <w:pPr>
        <w:adjustRightInd w:val="0"/>
        <w:snapToGrid w:val="0"/>
        <w:spacing w:line="600" w:lineRule="exact"/>
        <w:ind w:firstLine="643" w:firstLineChars="200"/>
        <w:rPr>
          <w:rFonts w:hint="eastAsia" w:ascii="仿宋_GB2312" w:hAnsi="仿宋" w:eastAsia="仿宋_GB2312"/>
          <w:sz w:val="32"/>
          <w:szCs w:val="32"/>
        </w:rPr>
      </w:pPr>
      <w:r>
        <w:rPr>
          <w:rFonts w:ascii="仿宋_GB2312" w:hAnsi="仿宋" w:eastAsia="仿宋_GB2312"/>
          <w:b/>
          <w:sz w:val="32"/>
          <w:szCs w:val="32"/>
        </w:rPr>
        <w:t>8.</w:t>
      </w:r>
      <w:r>
        <w:rPr>
          <w:rFonts w:hint="eastAsia" w:ascii="仿宋_GB2312" w:hAnsi="仿宋" w:eastAsia="仿宋_GB2312"/>
          <w:b/>
          <w:sz w:val="32"/>
          <w:szCs w:val="32"/>
        </w:rPr>
        <w:t>城乡社区支出（类）其他城乡社区支出（款）其他城乡社区</w:t>
      </w:r>
      <w:r>
        <w:rPr>
          <w:rFonts w:hint="eastAsia" w:ascii="仿宋_GB2312" w:hAnsi="仿宋" w:eastAsia="仿宋_GB2312"/>
          <w:b/>
          <w:sz w:val="32"/>
          <w:szCs w:val="32"/>
          <w:lang w:eastAsia="zh-CN"/>
        </w:rPr>
        <w:t>管理事务</w:t>
      </w:r>
      <w:r>
        <w:rPr>
          <w:rFonts w:hint="eastAsia" w:ascii="仿宋_GB2312" w:hAnsi="仿宋" w:eastAsia="仿宋_GB2312"/>
          <w:b/>
          <w:sz w:val="32"/>
          <w:szCs w:val="32"/>
        </w:rPr>
        <w:t>支出（项）</w:t>
      </w:r>
      <w:r>
        <w:rPr>
          <w:rFonts w:hint="eastAsia" w:ascii="仿宋_GB2312" w:hAnsi="仿宋" w:eastAsia="仿宋_GB2312"/>
          <w:b/>
          <w:sz w:val="32"/>
          <w:szCs w:val="32"/>
          <w:lang w:val="en-US" w:eastAsia="zh-CN"/>
        </w:rPr>
        <w:t>85.3</w:t>
      </w:r>
      <w:r>
        <w:rPr>
          <w:rFonts w:hint="eastAsia" w:ascii="仿宋_GB2312" w:hAnsi="仿宋" w:eastAsia="仿宋_GB2312"/>
          <w:b/>
          <w:sz w:val="32"/>
          <w:szCs w:val="32"/>
        </w:rPr>
        <w:t>万元</w:t>
      </w:r>
      <w:r>
        <w:rPr>
          <w:rFonts w:hint="eastAsia" w:ascii="仿宋_GB2312" w:hAnsi="仿宋" w:eastAsia="仿宋_GB2312"/>
          <w:b/>
          <w:sz w:val="32"/>
          <w:szCs w:val="32"/>
          <w:lang w:eastAsia="zh-CN"/>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6.24</w:t>
      </w:r>
      <w:r>
        <w:rPr>
          <w:rFonts w:hint="eastAsia" w:ascii="仿宋_GB2312" w:hAnsi="仿宋" w:eastAsia="仿宋_GB2312"/>
          <w:sz w:val="32"/>
          <w:szCs w:val="32"/>
        </w:rPr>
        <w:t>万元，减少</w:t>
      </w:r>
      <w:r>
        <w:rPr>
          <w:rFonts w:hint="eastAsia" w:ascii="仿宋_GB2312" w:hAnsi="仿宋" w:eastAsia="仿宋_GB2312"/>
          <w:sz w:val="32"/>
          <w:szCs w:val="32"/>
          <w:lang w:val="en-US" w:eastAsia="zh-CN"/>
        </w:rPr>
        <w:t>6.8%</w:t>
      </w:r>
      <w:r>
        <w:rPr>
          <w:rFonts w:hint="eastAsia" w:ascii="仿宋_GB2312" w:hAnsi="仿宋" w:eastAsia="仿宋_GB2312"/>
          <w:sz w:val="32"/>
          <w:szCs w:val="32"/>
        </w:rPr>
        <w:t>，增加原因主要是厉行节约。</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9.</w:t>
      </w:r>
      <w:r>
        <w:rPr>
          <w:rFonts w:hint="eastAsia" w:ascii="仿宋_GB2312" w:hAnsi="仿宋" w:eastAsia="仿宋_GB2312"/>
          <w:b/>
          <w:sz w:val="32"/>
          <w:szCs w:val="32"/>
        </w:rPr>
        <w:t>农林水支出（类）农业农村（款）农村道路建设（项）</w:t>
      </w:r>
      <w:r>
        <w:rPr>
          <w:rFonts w:ascii="仿宋_GB2312" w:hAnsi="仿宋" w:eastAsia="仿宋_GB2312"/>
          <w:b/>
          <w:sz w:val="32"/>
          <w:szCs w:val="32"/>
        </w:rPr>
        <w:t>20.0</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20.0</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，增加原因主要是相比较之前增加了此类项目。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10.</w:t>
      </w:r>
      <w:r>
        <w:rPr>
          <w:rFonts w:hint="eastAsia" w:ascii="仿宋_GB2312" w:hAnsi="仿宋" w:eastAsia="仿宋_GB2312"/>
          <w:b/>
          <w:sz w:val="32"/>
          <w:szCs w:val="32"/>
        </w:rPr>
        <w:t>住房保障支出（类）保障性安居工程支出（款）老旧小区改造（项）</w:t>
      </w:r>
      <w:r>
        <w:rPr>
          <w:rFonts w:ascii="仿宋_GB2312" w:hAnsi="仿宋" w:eastAsia="仿宋_GB2312"/>
          <w:b/>
          <w:sz w:val="32"/>
          <w:szCs w:val="32"/>
        </w:rPr>
        <w:t>526.1</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526.1</w:t>
      </w:r>
      <w:r>
        <w:rPr>
          <w:rFonts w:hint="eastAsia" w:ascii="仿宋_GB2312" w:hAnsi="仿宋" w:eastAsia="仿宋_GB2312"/>
          <w:sz w:val="32"/>
          <w:szCs w:val="32"/>
        </w:rPr>
        <w:t>万元，增加1</w:t>
      </w:r>
      <w:r>
        <w:rPr>
          <w:rFonts w:ascii="仿宋_GB2312" w:hAnsi="仿宋" w:eastAsia="仿宋_GB2312"/>
          <w:sz w:val="32"/>
          <w:szCs w:val="32"/>
        </w:rPr>
        <w:t>00%</w:t>
      </w:r>
      <w:r>
        <w:rPr>
          <w:rFonts w:hint="eastAsia" w:ascii="仿宋_GB2312" w:hAnsi="仿宋" w:eastAsia="仿宋_GB2312"/>
          <w:sz w:val="32"/>
          <w:szCs w:val="32"/>
        </w:rPr>
        <w:t>，增加原因主要是今年计划实施更多老旧小区改造项目。</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11.</w:t>
      </w:r>
      <w:r>
        <w:rPr>
          <w:rFonts w:hint="eastAsia" w:ascii="仿宋_GB2312" w:hAnsi="仿宋" w:eastAsia="仿宋_GB2312"/>
          <w:b/>
          <w:sz w:val="32"/>
          <w:szCs w:val="32"/>
        </w:rPr>
        <w:t>住房保障支出（类）住房改革支出（款）住房公积金（项）</w:t>
      </w:r>
      <w:r>
        <w:rPr>
          <w:rFonts w:hint="eastAsia" w:ascii="仿宋_GB2312" w:hAnsi="仿宋" w:eastAsia="仿宋_GB2312"/>
          <w:b/>
          <w:sz w:val="32"/>
          <w:szCs w:val="32"/>
          <w:lang w:val="en-US" w:eastAsia="zh-CN"/>
        </w:rPr>
        <w:t>12.1</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2.86</w:t>
      </w:r>
      <w:r>
        <w:rPr>
          <w:rFonts w:hint="eastAsia" w:ascii="仿宋_GB2312" w:hAnsi="仿宋" w:eastAsia="仿宋_GB2312"/>
          <w:sz w:val="32"/>
          <w:szCs w:val="32"/>
        </w:rPr>
        <w:t>万元，增加</w:t>
      </w:r>
      <w:r>
        <w:rPr>
          <w:rFonts w:hint="eastAsia" w:ascii="仿宋_GB2312" w:hAnsi="仿宋" w:eastAsia="仿宋_GB2312"/>
          <w:sz w:val="32"/>
          <w:szCs w:val="32"/>
          <w:lang w:val="en-US" w:eastAsia="zh-CN"/>
        </w:rPr>
        <w:t>30.96</w:t>
      </w:r>
      <w:r>
        <w:rPr>
          <w:rFonts w:ascii="仿宋_GB2312" w:hAnsi="仿宋" w:eastAsia="仿宋_GB2312"/>
          <w:sz w:val="32"/>
          <w:szCs w:val="32"/>
        </w:rPr>
        <w:t>%</w:t>
      </w:r>
      <w:r>
        <w:rPr>
          <w:rFonts w:hint="eastAsia" w:ascii="仿宋_GB2312" w:hAnsi="仿宋" w:eastAsia="仿宋_GB2312"/>
          <w:sz w:val="32"/>
          <w:szCs w:val="32"/>
        </w:rPr>
        <w:t>，减少原因主要是人员工资增长，公积金也随着增长。</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12.</w:t>
      </w:r>
      <w:r>
        <w:rPr>
          <w:rFonts w:hint="eastAsia" w:ascii="仿宋_GB2312" w:hAnsi="仿宋" w:eastAsia="仿宋_GB2312"/>
          <w:b/>
          <w:sz w:val="32"/>
          <w:szCs w:val="32"/>
        </w:rPr>
        <w:t>住房保障支出（类）住房改革支出（款）提租补贴（项）</w:t>
      </w:r>
      <w:r>
        <w:rPr>
          <w:rFonts w:hint="eastAsia" w:ascii="仿宋_GB2312" w:hAnsi="仿宋" w:eastAsia="仿宋_GB2312"/>
          <w:b/>
          <w:sz w:val="32"/>
          <w:szCs w:val="32"/>
          <w:lang w:val="en-US" w:eastAsia="zh-CN"/>
        </w:rPr>
        <w:t>8.0</w:t>
      </w:r>
      <w:r>
        <w:rPr>
          <w:rFonts w:hint="eastAsia" w:ascii="仿宋_GB2312" w:hAnsi="仿宋" w:eastAsia="仿宋_GB2312"/>
          <w:b/>
          <w:sz w:val="32"/>
          <w:szCs w:val="32"/>
        </w:rPr>
        <w:t>万元，</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8.0</w:t>
      </w:r>
      <w:r>
        <w:rPr>
          <w:rFonts w:hint="eastAsia" w:ascii="仿宋_GB2312" w:hAnsi="仿宋" w:eastAsia="仿宋_GB2312"/>
          <w:sz w:val="32"/>
          <w:szCs w:val="32"/>
        </w:rPr>
        <w:t>万元，增加</w:t>
      </w:r>
      <w:r>
        <w:rPr>
          <w:rFonts w:ascii="仿宋_GB2312" w:hAnsi="仿宋" w:eastAsia="仿宋_GB2312"/>
          <w:sz w:val="32"/>
          <w:szCs w:val="32"/>
        </w:rPr>
        <w:t>100%</w:t>
      </w:r>
      <w:r>
        <w:rPr>
          <w:rFonts w:hint="eastAsia" w:ascii="仿宋_GB2312" w:hAnsi="仿宋" w:eastAsia="仿宋_GB2312"/>
          <w:sz w:val="32"/>
          <w:szCs w:val="32"/>
        </w:rPr>
        <w:t>，增加原因主要是今年新增了本项目。</w:t>
      </w: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adjustRightInd w:val="0"/>
        <w:snapToGrid w:val="0"/>
        <w:spacing w:line="600" w:lineRule="exact"/>
        <w:ind w:firstLine="640" w:firstLineChars="200"/>
        <w:rPr>
          <w:rFonts w:ascii="仿宋_GB2312" w:hAnsi="仿宋" w:eastAsia="仿宋_GB2312"/>
          <w:sz w:val="32"/>
          <w:szCs w:val="32"/>
        </w:rPr>
      </w:pPr>
    </w:p>
    <w:p>
      <w:pPr>
        <w:pStyle w:val="5"/>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ascii="仿宋_GB2312" w:hAnsi="仿宋" w:eastAsia="仿宋_GB2312"/>
          <w:sz w:val="32"/>
          <w:szCs w:val="32"/>
        </w:rPr>
        <w:t>176</w:t>
      </w:r>
      <w:r>
        <w:rPr>
          <w:rFonts w:hint="eastAsia" w:ascii="仿宋_GB2312" w:hAnsi="仿宋" w:eastAsia="仿宋_GB2312"/>
          <w:sz w:val="32"/>
          <w:szCs w:val="32"/>
        </w:rPr>
        <w:t>万元，其中，人员经费</w:t>
      </w:r>
      <w:r>
        <w:rPr>
          <w:rFonts w:ascii="仿宋_GB2312" w:hAnsi="仿宋" w:eastAsia="仿宋_GB2312"/>
          <w:sz w:val="32"/>
          <w:szCs w:val="32"/>
        </w:rPr>
        <w:t>169.7</w:t>
      </w:r>
      <w:r>
        <w:rPr>
          <w:rFonts w:hint="eastAsia" w:ascii="仿宋_GB2312" w:hAnsi="仿宋" w:eastAsia="仿宋_GB2312"/>
          <w:sz w:val="32"/>
          <w:szCs w:val="32"/>
        </w:rPr>
        <w:t>万元，公用经费</w:t>
      </w:r>
      <w:r>
        <w:rPr>
          <w:rFonts w:ascii="仿宋_GB2312" w:hAnsi="仿宋" w:eastAsia="仿宋_GB2312"/>
          <w:sz w:val="32"/>
          <w:szCs w:val="32"/>
        </w:rPr>
        <w:t>6.3</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ascii="仿宋_GB2312" w:hAnsi="仿宋" w:eastAsia="仿宋_GB2312"/>
          <w:sz w:val="32"/>
          <w:szCs w:val="32"/>
        </w:rPr>
        <w:t>169.7</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_GB2312" w:hAnsi="仿宋" w:eastAsia="仿宋_GB2312"/>
          <w:sz w:val="32"/>
          <w:szCs w:val="32"/>
          <w:u w:val="single"/>
        </w:rPr>
        <w:t>基本工资、津贴补贴、奖金、绩效工资、机关事业单位基本养老保险费、职业年金缴费、职工基本医疗保险缴费、公务员医疗补助缴费、其他社会保障缴费、住房公积金、其他工资福利支出、退休费、奖励金、对其他个人和家庭的补助支出。</w:t>
      </w: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ascii="仿宋_GB2312" w:hAnsi="仿宋" w:eastAsia="仿宋_GB2312"/>
          <w:sz w:val="32"/>
          <w:szCs w:val="32"/>
        </w:rPr>
        <w:t>6.3</w:t>
      </w:r>
      <w:r>
        <w:rPr>
          <w:rFonts w:hint="eastAsia" w:ascii="仿宋_GB2312" w:hAnsi="仿宋" w:eastAsia="仿宋_GB2312"/>
          <w:sz w:val="32"/>
          <w:szCs w:val="32"/>
        </w:rPr>
        <w:t>万元，主要包括：</w:t>
      </w:r>
      <w:r>
        <w:rPr>
          <w:rFonts w:hint="eastAsia" w:ascii="仿宋_GB2312" w:hAnsi="仿宋" w:eastAsia="仿宋_GB2312"/>
          <w:sz w:val="32"/>
          <w:szCs w:val="32"/>
          <w:u w:val="single"/>
        </w:rPr>
        <w:t>办公费、公务接待费、工会经费、福利费、公务用车运行维护费、其他交通费用等。</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5"/>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ascii="仿宋_GB2312" w:hAnsi="仿宋" w:eastAsia="仿宋_GB2312"/>
          <w:sz w:val="32"/>
          <w:szCs w:val="32"/>
        </w:rPr>
        <w:t>596.7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ascii="仿宋_GB2312" w:hAnsi="仿宋" w:eastAsia="仿宋_GB2312"/>
          <w:sz w:val="32"/>
          <w:szCs w:val="32"/>
        </w:rPr>
        <w:t>27.46</w:t>
      </w:r>
      <w:r>
        <w:rPr>
          <w:rFonts w:hint="eastAsia" w:ascii="仿宋_GB2312" w:hAnsi="仿宋" w:eastAsia="仿宋_GB2312"/>
          <w:sz w:val="32"/>
          <w:szCs w:val="32"/>
        </w:rPr>
        <w:t>万元，增长</w:t>
      </w:r>
      <w:r>
        <w:rPr>
          <w:rFonts w:ascii="仿宋_GB2312" w:hAnsi="仿宋" w:eastAsia="仿宋_GB2312"/>
          <w:sz w:val="32"/>
          <w:szCs w:val="32"/>
        </w:rPr>
        <w:t>3.23%</w:t>
      </w:r>
      <w:r>
        <w:rPr>
          <w:rFonts w:hint="eastAsia" w:ascii="仿宋_GB2312" w:hAnsi="仿宋" w:eastAsia="仿宋_GB2312"/>
          <w:sz w:val="32"/>
          <w:szCs w:val="32"/>
        </w:rPr>
        <w:t>，增长原因主要是工程项目增加。主要包括：本年财政拨款安排</w:t>
      </w:r>
      <w:r>
        <w:rPr>
          <w:rFonts w:ascii="仿宋_GB2312" w:hAnsi="仿宋" w:eastAsia="仿宋_GB2312"/>
          <w:sz w:val="32"/>
          <w:szCs w:val="32"/>
        </w:rPr>
        <w:t xml:space="preserve"> 596.7</w:t>
      </w:r>
      <w:r>
        <w:rPr>
          <w:rFonts w:hint="eastAsia" w:ascii="仿宋_GB2312" w:hAnsi="仿宋" w:eastAsia="仿宋_GB2312"/>
          <w:sz w:val="32"/>
          <w:szCs w:val="32"/>
        </w:rPr>
        <w:t>万元（其中，一般公共预算拨款安排</w:t>
      </w:r>
      <w:r>
        <w:rPr>
          <w:rFonts w:ascii="仿宋_GB2312" w:hAnsi="仿宋" w:eastAsia="仿宋_GB2312"/>
          <w:sz w:val="32"/>
          <w:szCs w:val="32"/>
        </w:rPr>
        <w:t>570.6</w:t>
      </w:r>
      <w:r>
        <w:rPr>
          <w:rFonts w:hint="eastAsia" w:ascii="仿宋_GB2312" w:hAnsi="仿宋" w:eastAsia="仿宋_GB2312"/>
          <w:sz w:val="32"/>
          <w:szCs w:val="32"/>
        </w:rPr>
        <w:t>万元，政府性基金预算拨款安排</w:t>
      </w:r>
      <w:r>
        <w:rPr>
          <w:rFonts w:ascii="仿宋_GB2312" w:hAnsi="仿宋" w:eastAsia="仿宋_GB2312"/>
          <w:sz w:val="32"/>
          <w:szCs w:val="32"/>
        </w:rPr>
        <w:t>0</w:t>
      </w:r>
      <w:r>
        <w:rPr>
          <w:rFonts w:hint="eastAsia" w:ascii="仿宋_GB2312" w:hAnsi="仿宋" w:eastAsia="仿宋_GB2312"/>
          <w:sz w:val="32"/>
          <w:szCs w:val="32"/>
        </w:rPr>
        <w:t>万元，国有资本经营预算拨款安排</w:t>
      </w:r>
      <w:r>
        <w:rPr>
          <w:rFonts w:ascii="仿宋_GB2312" w:hAnsi="仿宋" w:eastAsia="仿宋_GB2312"/>
          <w:sz w:val="32"/>
          <w:szCs w:val="32"/>
        </w:rPr>
        <w:t>0</w:t>
      </w:r>
      <w:r>
        <w:rPr>
          <w:rFonts w:hint="eastAsia" w:ascii="仿宋_GB2312" w:hAnsi="仿宋" w:eastAsia="仿宋_GB2312"/>
          <w:sz w:val="32"/>
          <w:szCs w:val="32"/>
        </w:rPr>
        <w:t>万元，财政拨款结转结余安排2</w:t>
      </w:r>
      <w:r>
        <w:rPr>
          <w:rFonts w:ascii="仿宋_GB2312" w:hAnsi="仿宋" w:eastAsia="仿宋_GB2312"/>
          <w:sz w:val="32"/>
          <w:szCs w:val="32"/>
        </w:rPr>
        <w:t>6.1</w:t>
      </w:r>
      <w:r>
        <w:rPr>
          <w:rFonts w:hint="eastAsia" w:ascii="仿宋_GB2312" w:hAnsi="仿宋" w:eastAsia="仿宋_GB2312"/>
          <w:sz w:val="32"/>
          <w:szCs w:val="32"/>
        </w:rPr>
        <w:t>万元（其中，一般公共预算拨款安排</w:t>
      </w:r>
      <w:r>
        <w:rPr>
          <w:rFonts w:ascii="仿宋_GB2312" w:hAnsi="仿宋" w:eastAsia="仿宋_GB2312"/>
          <w:sz w:val="32"/>
          <w:szCs w:val="32"/>
        </w:rPr>
        <w:t>26.1</w:t>
      </w:r>
      <w:r>
        <w:rPr>
          <w:rFonts w:hint="eastAsia" w:ascii="仿宋_GB2312" w:hAnsi="仿宋" w:eastAsia="仿宋_GB2312"/>
          <w:sz w:val="32"/>
          <w:szCs w:val="32"/>
        </w:rPr>
        <w:t>万元，政府性基金预算拨款安排</w:t>
      </w:r>
      <w:r>
        <w:rPr>
          <w:rFonts w:ascii="仿宋_GB2312" w:hAnsi="仿宋" w:eastAsia="仿宋_GB2312"/>
          <w:sz w:val="32"/>
          <w:szCs w:val="32"/>
        </w:rPr>
        <w:t>0</w:t>
      </w:r>
      <w:r>
        <w:rPr>
          <w:rFonts w:hint="eastAsia" w:ascii="仿宋_GB2312" w:hAnsi="仿宋" w:eastAsia="仿宋_GB2312"/>
          <w:sz w:val="32"/>
          <w:szCs w:val="32"/>
        </w:rPr>
        <w:t>万元，国有资本经营预算拨款安排</w:t>
      </w:r>
      <w:r>
        <w:rPr>
          <w:rFonts w:ascii="仿宋_GB2312" w:hAnsi="仿宋" w:eastAsia="仿宋_GB2312"/>
          <w:sz w:val="32"/>
          <w:szCs w:val="32"/>
        </w:rPr>
        <w:t>0</w:t>
      </w:r>
      <w:r>
        <w:rPr>
          <w:rFonts w:hint="eastAsia" w:ascii="仿宋_GB2312" w:hAnsi="仿宋" w:eastAsia="仿宋_GB2312"/>
          <w:sz w:val="32"/>
          <w:szCs w:val="32"/>
        </w:rPr>
        <w:t>万元）、财政专户管理资金安排</w:t>
      </w:r>
      <w:r>
        <w:rPr>
          <w:rFonts w:ascii="仿宋_GB2312" w:hAnsi="仿宋" w:eastAsia="仿宋_GB2312"/>
          <w:sz w:val="32"/>
          <w:szCs w:val="32"/>
        </w:rPr>
        <w:t>0</w:t>
      </w:r>
      <w:r>
        <w:rPr>
          <w:rFonts w:hint="eastAsia" w:ascii="仿宋_GB2312" w:hAnsi="仿宋" w:eastAsia="仿宋_GB2312"/>
          <w:sz w:val="32"/>
          <w:szCs w:val="32"/>
        </w:rPr>
        <w:t>万元和单位资金安排</w:t>
      </w:r>
      <w:r>
        <w:rPr>
          <w:rFonts w:ascii="仿宋_GB2312" w:hAnsi="仿宋" w:eastAsia="仿宋_GB2312"/>
          <w:sz w:val="32"/>
          <w:szCs w:val="32"/>
        </w:rPr>
        <w:t>0</w:t>
      </w:r>
      <w:r>
        <w:rPr>
          <w:rFonts w:hint="eastAsia" w:ascii="仿宋_GB2312" w:hAnsi="仿宋" w:eastAsia="仿宋_GB2312"/>
          <w:sz w:val="32"/>
          <w:szCs w:val="32"/>
        </w:rPr>
        <w:t>万元。</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5"/>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ascii="仿宋_GB2312" w:hAnsi="仿宋" w:eastAsia="仿宋_GB2312"/>
          <w:sz w:val="32"/>
          <w:szCs w:val="32"/>
        </w:rPr>
        <w:t>八公山区</w:t>
      </w:r>
      <w:r>
        <w:rPr>
          <w:rFonts w:hint="eastAsia" w:ascii="仿宋_GB2312" w:hAnsi="仿宋" w:eastAsia="仿宋_GB2312"/>
          <w:sz w:val="32"/>
          <w:szCs w:val="32"/>
        </w:rPr>
        <w:t>住建局</w:t>
      </w:r>
      <w:r>
        <w:rPr>
          <w:rFonts w:ascii="仿宋_GB2312" w:hAnsi="仿宋" w:eastAsia="仿宋_GB2312"/>
          <w:sz w:val="32"/>
          <w:szCs w:val="32"/>
        </w:rPr>
        <w:t>2022年预算安排政府采购支出1万元，比2021年预算减少0.5万元，下降33.33%，下降原因主要是我单位本年度办公设备已不缺。其中，一般公共预算安排1万元，占100%；政府性基金预算安排0万元，占0%；国有资本经营预算安排0万元，占0%；财政专户管理资金安排0万元，占0%；单位资金安排0万元，占0%。</w:t>
      </w:r>
    </w:p>
    <w:p>
      <w:pPr>
        <w:pStyle w:val="5"/>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5"/>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w:t>
      </w:r>
      <w:bookmarkStart w:id="0" w:name="_Hlk109309218"/>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“2</w:t>
      </w:r>
      <w:r>
        <w:rPr>
          <w:rFonts w:ascii="仿宋_GB2312" w:hAnsi="楷体" w:eastAsia="仿宋_GB2312"/>
          <w:b/>
          <w:sz w:val="32"/>
          <w:szCs w:val="32"/>
        </w:rPr>
        <w:t>022</w:t>
      </w:r>
      <w:r>
        <w:rPr>
          <w:rFonts w:hint="eastAsia" w:ascii="仿宋_GB2312" w:hAnsi="楷体" w:eastAsia="仿宋_GB2312"/>
          <w:b/>
          <w:sz w:val="32"/>
          <w:szCs w:val="32"/>
        </w:rPr>
        <w:t>年八公山区老旧小区改造”项目。</w:t>
      </w:r>
    </w:p>
    <w:p>
      <w:pPr>
        <w:adjustRightInd w:val="0"/>
        <w:snapToGrid w:val="0"/>
        <w:spacing w:line="600" w:lineRule="exact"/>
        <w:ind w:firstLine="640" w:firstLineChars="200"/>
        <w:rPr>
          <w:rFonts w:ascii="仿宋_GB2312" w:hAnsi="仿宋" w:eastAsia="仿宋_GB2312" w:cs="宋体"/>
          <w:kern w:val="0"/>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ascii="仿宋_GB2312" w:hAnsi="仿宋" w:eastAsia="仿宋_GB2312" w:cs="宋体"/>
          <w:kern w:val="0"/>
          <w:sz w:val="32"/>
          <w:szCs w:val="32"/>
        </w:rPr>
        <w:t>建设规模及内容:项目拟涉及2个小区，总建筑面积约3.861万平方米，住户约641户。改造内容包括道路改造、绿化补植、改造排水、新建排污、增设路灯、监控、楼顶立面整治、新增环卫设施等。</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）立项依据：淮八发改审批【2</w:t>
      </w:r>
      <w:r>
        <w:rPr>
          <w:rFonts w:ascii="仿宋_GB2312" w:hAnsi="楷体" w:eastAsia="仿宋_GB2312"/>
          <w:sz w:val="32"/>
          <w:szCs w:val="32"/>
        </w:rPr>
        <w:t>022</w:t>
      </w:r>
      <w:r>
        <w:rPr>
          <w:rFonts w:hint="eastAsia" w:ascii="仿宋_GB2312" w:hAnsi="楷体" w:eastAsia="仿宋_GB2312"/>
          <w:sz w:val="32"/>
          <w:szCs w:val="32"/>
        </w:rPr>
        <w:t>】3号</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）实施主体：八公山区住房和城乡建设局</w:t>
      </w:r>
    </w:p>
    <w:p>
      <w:pPr>
        <w:adjustRightInd w:val="0"/>
        <w:snapToGrid w:val="0"/>
        <w:spacing w:line="600" w:lineRule="exact"/>
        <w:ind w:firstLine="640" w:firstLineChars="200"/>
        <w:rPr>
          <w:rFonts w:ascii="仿宋_GB2312" w:hAnsi="仿宋" w:eastAsia="仿宋_GB2312" w:cs="宋体"/>
          <w:kern w:val="0"/>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ascii="仿宋_GB2312" w:hAnsi="仿宋" w:eastAsia="仿宋_GB2312" w:cs="宋体"/>
          <w:kern w:val="0"/>
          <w:sz w:val="32"/>
          <w:szCs w:val="32"/>
        </w:rPr>
        <w:t>2022年5月-2022年9月</w:t>
      </w:r>
    </w:p>
    <w:p>
      <w:pPr>
        <w:adjustRightInd w:val="0"/>
        <w:snapToGrid w:val="0"/>
        <w:spacing w:line="600" w:lineRule="exact"/>
        <w:ind w:firstLine="640" w:firstLineChars="200"/>
        <w:rPr>
          <w:rFonts w:ascii="仿宋_GB2312" w:hAnsi="仿宋" w:eastAsia="仿宋_GB2312" w:cs="宋体"/>
          <w:kern w:val="0"/>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ascii="仿宋_GB2312" w:hAnsi="仿宋" w:eastAsia="仿宋_GB2312" w:cs="宋体"/>
          <w:kern w:val="0"/>
          <w:sz w:val="32"/>
          <w:szCs w:val="32"/>
        </w:rPr>
        <w:t>改造内容包括道路改造、绿化补植、改造排水、新建排污、增设路灯、监控、楼顶立面整治、新增环卫设施等。</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）年度预算安排：5</w:t>
      </w:r>
      <w:r>
        <w:rPr>
          <w:rFonts w:ascii="仿宋_GB2312" w:hAnsi="楷体" w:eastAsia="仿宋_GB2312"/>
          <w:sz w:val="32"/>
          <w:szCs w:val="32"/>
        </w:rPr>
        <w:t>00</w:t>
      </w:r>
      <w:r>
        <w:rPr>
          <w:rFonts w:hint="eastAsia" w:ascii="仿宋_GB2312" w:hAnsi="楷体" w:eastAsia="仿宋_GB2312"/>
          <w:sz w:val="32"/>
          <w:szCs w:val="32"/>
        </w:rPr>
        <w:t>万元</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）绩效目标：顺利完成2</w:t>
      </w:r>
      <w:r>
        <w:rPr>
          <w:rFonts w:ascii="仿宋_GB2312" w:hAnsi="楷体" w:eastAsia="仿宋_GB2312"/>
          <w:sz w:val="32"/>
          <w:szCs w:val="32"/>
        </w:rPr>
        <w:t>022</w:t>
      </w:r>
      <w:r>
        <w:rPr>
          <w:rFonts w:hint="eastAsia" w:ascii="仿宋_GB2312" w:hAnsi="楷体" w:eastAsia="仿宋_GB2312"/>
          <w:sz w:val="32"/>
          <w:szCs w:val="32"/>
        </w:rPr>
        <w:t>年八公山区老旧小区改造项目。</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tbl>
      <w:tblPr>
        <w:tblStyle w:val="6"/>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ascii="宋体" w:cs="宋体"/>
                <w:color w:val="000000"/>
                <w:sz w:val="20"/>
                <w:szCs w:val="20"/>
              </w:rPr>
            </w:pPr>
            <w:r>
              <w:rPr>
                <w:rFonts w:hint="eastAsia"/>
                <w:color w:val="000000"/>
                <w:sz w:val="20"/>
                <w:szCs w:val="20"/>
              </w:rPr>
              <w:t>八公山区2</w:t>
            </w:r>
            <w:r>
              <w:rPr>
                <w:color w:val="000000"/>
                <w:sz w:val="20"/>
                <w:szCs w:val="20"/>
              </w:rPr>
              <w:t>022</w:t>
            </w:r>
            <w:r>
              <w:rPr>
                <w:rFonts w:hint="eastAsia"/>
                <w:color w:val="000000"/>
                <w:sz w:val="20"/>
                <w:szCs w:val="20"/>
              </w:rPr>
              <w:t>年老旧小区改造项目</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淮南市八公山区住房和城乡建设局　</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民生工程　</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5</w:t>
            </w:r>
            <w:r>
              <w:rPr>
                <w:sz w:val="20"/>
                <w:szCs w:val="20"/>
              </w:rPr>
              <w:t>261000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5</w:t>
            </w:r>
            <w:r>
              <w:rPr>
                <w:sz w:val="20"/>
                <w:szCs w:val="20"/>
              </w:rPr>
              <w:t>261000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5</w:t>
            </w:r>
            <w:r>
              <w:rPr>
                <w:sz w:val="20"/>
                <w:szCs w:val="20"/>
              </w:rPr>
              <w:t>261000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5</w:t>
            </w:r>
            <w:r>
              <w:rPr>
                <w:sz w:val="20"/>
                <w:szCs w:val="20"/>
              </w:rPr>
              <w:t>261000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rPr>
              <w:t>2</w:t>
            </w:r>
            <w:r>
              <w:rPr>
                <w:sz w:val="20"/>
                <w:szCs w:val="20"/>
              </w:rPr>
              <w:t>2</w:t>
            </w:r>
            <w:r>
              <w:rPr>
                <w:rFonts w:hint="eastAsia"/>
                <w:sz w:val="20"/>
                <w:szCs w:val="20"/>
              </w:rPr>
              <w:t>年5月</w:t>
            </w:r>
            <w:r>
              <w:rPr>
                <w:sz w:val="20"/>
                <w:szCs w:val="20"/>
              </w:rPr>
              <w:t>—20</w:t>
            </w:r>
            <w:r>
              <w:rPr>
                <w:rFonts w:hint="eastAsia"/>
                <w:sz w:val="20"/>
                <w:szCs w:val="20"/>
              </w:rPr>
              <w:t>2</w:t>
            </w:r>
            <w:r>
              <w:rPr>
                <w:sz w:val="20"/>
                <w:szCs w:val="20"/>
              </w:rPr>
              <w:t>2</w:t>
            </w:r>
            <w:r>
              <w:rPr>
                <w:rFonts w:hint="eastAsia"/>
                <w:sz w:val="20"/>
                <w:szCs w:val="20"/>
              </w:rPr>
              <w:t>年9月）</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ascii="宋体" w:cs="宋体"/>
                <w:sz w:val="20"/>
                <w:szCs w:val="20"/>
              </w:rPr>
            </w:pPr>
            <w:r>
              <w:rPr>
                <w:rFonts w:hint="eastAsia"/>
                <w:sz w:val="20"/>
                <w:szCs w:val="20"/>
              </w:rPr>
              <w:t>顺利完成八公山区2</w:t>
            </w:r>
            <w:r>
              <w:rPr>
                <w:sz w:val="20"/>
                <w:szCs w:val="20"/>
              </w:rPr>
              <w:t>022</w:t>
            </w:r>
            <w:r>
              <w:rPr>
                <w:rFonts w:hint="eastAsia"/>
                <w:sz w:val="20"/>
                <w:szCs w:val="20"/>
              </w:rPr>
              <w:t>年老旧小区改造，改善被改造小区居民生活环境</w:t>
            </w:r>
            <w:r>
              <w:rPr>
                <w:sz w:val="20"/>
                <w:szCs w:val="20"/>
              </w:rPr>
              <w:br w:type="textWrapping"/>
            </w:r>
            <w:r>
              <w:rPr>
                <w:sz w:val="20"/>
                <w:szCs w:val="20"/>
              </w:rPr>
              <w:t xml:space="preserve"> </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br w:type="textWrapping"/>
            </w:r>
            <w:r>
              <w:rPr>
                <w:rFonts w:hint="eastAsia" w:ascii="宋体" w:cs="宋体"/>
                <w:sz w:val="20"/>
                <w:szCs w:val="20"/>
              </w:rPr>
              <w:t>严格按照标准，按照实施进度足额支付老旧小区改造进度款，及时验收，完成2</w:t>
            </w:r>
            <w:r>
              <w:rPr>
                <w:rFonts w:ascii="宋体" w:cs="宋体"/>
                <w:sz w:val="20"/>
                <w:szCs w:val="20"/>
              </w:rPr>
              <w:t>022</w:t>
            </w:r>
            <w:r>
              <w:rPr>
                <w:rFonts w:hint="eastAsia" w:ascii="宋体" w:cs="宋体"/>
                <w:sz w:val="20"/>
                <w:szCs w:val="20"/>
              </w:rPr>
              <w:t>年老旧小区改造。</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：完成小区改造数量</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2</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2</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：完成小区改造数量</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2</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2</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：改造项目1</w:t>
            </w:r>
            <w:r>
              <w:rPr>
                <w:sz w:val="20"/>
                <w:szCs w:val="20"/>
              </w:rPr>
              <w:t>00%</w:t>
            </w:r>
            <w:r>
              <w:rPr>
                <w:rFonts w:hint="eastAsia"/>
                <w:sz w:val="20"/>
                <w:szCs w:val="20"/>
              </w:rPr>
              <w:t>合格验收</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1</w:t>
            </w:r>
            <w:r>
              <w:rPr>
                <w:sz w:val="20"/>
                <w:szCs w:val="20"/>
              </w:rPr>
              <w:t>00%</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1</w:t>
            </w:r>
            <w:r>
              <w:rPr>
                <w:sz w:val="20"/>
                <w:szCs w:val="20"/>
              </w:rPr>
              <w:t>00%</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：改造项目1</w:t>
            </w:r>
            <w:r>
              <w:rPr>
                <w:sz w:val="20"/>
                <w:szCs w:val="20"/>
              </w:rPr>
              <w:t>00%</w:t>
            </w:r>
            <w:r>
              <w:rPr>
                <w:rFonts w:hint="eastAsia"/>
                <w:sz w:val="20"/>
                <w:szCs w:val="20"/>
              </w:rPr>
              <w:t>合格验收</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1</w:t>
            </w:r>
            <w:r>
              <w:rPr>
                <w:sz w:val="20"/>
                <w:szCs w:val="20"/>
              </w:rPr>
              <w:t>00%</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1</w:t>
            </w:r>
            <w:r>
              <w:rPr>
                <w:sz w:val="20"/>
                <w:szCs w:val="20"/>
              </w:rPr>
              <w:t>00%</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：2</w:t>
            </w:r>
            <w:r>
              <w:rPr>
                <w:sz w:val="20"/>
                <w:szCs w:val="20"/>
              </w:rPr>
              <w:t>022</w:t>
            </w:r>
            <w:r>
              <w:rPr>
                <w:rFonts w:hint="eastAsia"/>
                <w:sz w:val="20"/>
                <w:szCs w:val="20"/>
              </w:rPr>
              <w:t>年9月之前完工</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sz w:val="20"/>
                <w:szCs w:val="20"/>
              </w:rPr>
              <w:t>9</w:t>
            </w:r>
            <w:r>
              <w:rPr>
                <w:rFonts w:hint="eastAsia"/>
                <w:sz w:val="20"/>
                <w:szCs w:val="20"/>
              </w:rPr>
              <w:t>月</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9月</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：2</w:t>
            </w:r>
            <w:r>
              <w:rPr>
                <w:sz w:val="20"/>
                <w:szCs w:val="20"/>
              </w:rPr>
              <w:t>022</w:t>
            </w:r>
            <w:r>
              <w:rPr>
                <w:rFonts w:hint="eastAsia"/>
                <w:sz w:val="20"/>
                <w:szCs w:val="20"/>
              </w:rPr>
              <w:t>年9月之前完工</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sz w:val="20"/>
                <w:szCs w:val="20"/>
              </w:rPr>
              <w:t>9</w:t>
            </w:r>
            <w:r>
              <w:rPr>
                <w:rFonts w:hint="eastAsia"/>
                <w:sz w:val="20"/>
                <w:szCs w:val="20"/>
              </w:rPr>
              <w:t>月</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9月</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：施工造价≤合同价</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合同价</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合同价</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：施工造价≤合同价</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合同价</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合同价</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：带动地区建筑业产值，超过去年</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去年建筑业产值数</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去年建筑业产值数</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：带动地区建筑业产值，超过去年</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去年建筑业产值数</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去年建筑业产值数</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：改善群众生活环境，群众上访数降低</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群众上访数量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群众上访数量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：改善群众生活环境，群众上访数降低</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群众上访数量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群众上访数量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：小区绿地覆盖率提高</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绿地覆盖率</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绿地覆盖率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：小区绿地覆盖率提高</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绿地覆盖率</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绿地覆盖率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：该小区居住人数增长率</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人数增长率</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人数增长率</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：该小区居住人数增长率</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人数增长率</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人数增长率</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1040" w:type="dxa"/>
            <w:tcBorders>
              <w:top w:val="nil"/>
              <w:left w:val="nil"/>
              <w:bottom w:val="single" w:color="auto" w:sz="4" w:space="0"/>
              <w:right w:val="nil"/>
            </w:tcBorders>
            <w:vAlign w:val="center"/>
          </w:tcPr>
          <w:p>
            <w:pPr>
              <w:rPr>
                <w:rFonts w:asci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：被改造小区群众满意度</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w:t>
            </w:r>
            <w:r>
              <w:rPr>
                <w:sz w:val="20"/>
                <w:szCs w:val="20"/>
              </w:rPr>
              <w:t>00%</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1</w:t>
            </w:r>
            <w:r>
              <w:rPr>
                <w:sz w:val="20"/>
                <w:szCs w:val="20"/>
              </w:rPr>
              <w:t>00%</w:t>
            </w:r>
            <w:r>
              <w:rPr>
                <w:rFonts w:hint="eastAsia"/>
                <w:sz w:val="20"/>
                <w:szCs w:val="20"/>
              </w:rPr>
              <w:t>　</w:t>
            </w:r>
          </w:p>
        </w:tc>
        <w:tc>
          <w:tcPr>
            <w:tcW w:w="889" w:type="dxa"/>
            <w:vMerge w:val="restart"/>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指标</w:t>
            </w:r>
            <w:r>
              <w:rPr>
                <w:sz w:val="20"/>
                <w:szCs w:val="20"/>
              </w:rPr>
              <w:t>1</w:t>
            </w:r>
            <w:r>
              <w:rPr>
                <w:rFonts w:hint="eastAsia"/>
                <w:sz w:val="20"/>
                <w:szCs w:val="20"/>
              </w:rPr>
              <w:t>：被改造小区群众满意度</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1</w:t>
            </w:r>
            <w:r>
              <w:rPr>
                <w:sz w:val="20"/>
                <w:szCs w:val="20"/>
              </w:rPr>
              <w:t>00%</w:t>
            </w: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1</w:t>
            </w:r>
            <w:r>
              <w:rPr>
                <w:sz w:val="20"/>
                <w:szCs w:val="20"/>
              </w:rPr>
              <w:t>00%</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94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889"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94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889"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w:t>
            </w:r>
          </w:p>
        </w:tc>
        <w:tc>
          <w:tcPr>
            <w:tcW w:w="1040" w:type="dxa"/>
            <w:tcBorders>
              <w:top w:val="nil"/>
              <w:left w:val="nil"/>
              <w:bottom w:val="single" w:color="auto" w:sz="4" w:space="0"/>
              <w:right w:val="nil"/>
            </w:tcBorders>
            <w:vAlign w:val="center"/>
          </w:tcPr>
          <w:p>
            <w:pPr>
              <w:rPr>
                <w:rFonts w:ascii="宋体" w:cs="宋体"/>
                <w:sz w:val="20"/>
                <w:szCs w:val="20"/>
              </w:rPr>
            </w:pPr>
            <w:r>
              <w:rPr>
                <w:rFonts w:hint="eastAsia"/>
                <w:sz w:val="20"/>
                <w:szCs w:val="20"/>
              </w:rPr>
              <w:t>　</w:t>
            </w:r>
          </w:p>
        </w:tc>
        <w:tc>
          <w:tcPr>
            <w:tcW w:w="623" w:type="dxa"/>
            <w:tcBorders>
              <w:top w:val="nil"/>
              <w:left w:val="single" w:color="auto" w:sz="4" w:space="0"/>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bookmarkEnd w:id="0"/>
    </w:tbl>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rPr>
        <w:t>八公山区住建局</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ascii="仿宋_GB2312" w:hAnsi="仿宋" w:eastAsia="仿宋_GB2312"/>
          <w:sz w:val="32"/>
          <w:szCs w:val="32"/>
        </w:rPr>
        <w:t>71.37</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年预算减少3</w:t>
      </w:r>
      <w:r>
        <w:rPr>
          <w:rFonts w:ascii="仿宋_GB2312" w:hAnsi="仿宋" w:eastAsia="仿宋_GB2312"/>
          <w:sz w:val="32"/>
          <w:szCs w:val="32"/>
        </w:rPr>
        <w:t>.62</w:t>
      </w:r>
      <w:r>
        <w:rPr>
          <w:rFonts w:hint="eastAsia" w:ascii="仿宋_GB2312" w:hAnsi="仿宋" w:eastAsia="仿宋_GB2312"/>
          <w:sz w:val="32"/>
          <w:szCs w:val="32"/>
        </w:rPr>
        <w:t>万元，减少4</w:t>
      </w:r>
      <w:r>
        <w:rPr>
          <w:rFonts w:ascii="仿宋_GB2312" w:hAnsi="仿宋" w:eastAsia="仿宋_GB2312"/>
          <w:sz w:val="32"/>
          <w:szCs w:val="32"/>
        </w:rPr>
        <w:t>.83%</w:t>
      </w:r>
      <w:r>
        <w:rPr>
          <w:rFonts w:hint="eastAsia" w:ascii="仿宋_GB2312" w:hAnsi="仿宋" w:eastAsia="仿宋_GB2312"/>
          <w:sz w:val="32"/>
          <w:szCs w:val="32"/>
        </w:rPr>
        <w:t>，减少主要原因是厉行节约，压缩一般性支出。</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rPr>
        <w:t>八公山区住建局</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ascii="仿宋_GB2312" w:hAnsi="楷体" w:eastAsia="仿宋_GB2312"/>
          <w:sz w:val="32"/>
          <w:szCs w:val="32"/>
        </w:rPr>
        <w:t>1</w:t>
      </w:r>
      <w:r>
        <w:rPr>
          <w:rFonts w:hint="eastAsia" w:ascii="仿宋_GB2312" w:hAnsi="楷体" w:eastAsia="仿宋_GB2312"/>
          <w:sz w:val="32"/>
          <w:szCs w:val="32"/>
        </w:rPr>
        <w:t>万元。其中：政府采购货物预算</w:t>
      </w:r>
      <w:r>
        <w:rPr>
          <w:rFonts w:ascii="仿宋_GB2312" w:hAnsi="楷体" w:eastAsia="仿宋_GB2312"/>
          <w:sz w:val="32"/>
          <w:szCs w:val="32"/>
        </w:rPr>
        <w:t>1</w:t>
      </w:r>
      <w:r>
        <w:rPr>
          <w:rFonts w:hint="eastAsia" w:ascii="仿宋_GB2312" w:hAnsi="楷体" w:eastAsia="仿宋_GB2312"/>
          <w:sz w:val="32"/>
          <w:szCs w:val="32"/>
        </w:rPr>
        <w:t>万元，政府采购工程预算</w:t>
      </w:r>
      <w:r>
        <w:rPr>
          <w:rFonts w:ascii="仿宋_GB2312" w:hAnsi="楷体" w:eastAsia="仿宋_GB2312"/>
          <w:sz w:val="32"/>
          <w:szCs w:val="32"/>
        </w:rPr>
        <w:t>0</w:t>
      </w:r>
      <w:r>
        <w:rPr>
          <w:rFonts w:hint="eastAsia" w:ascii="仿宋_GB2312" w:hAnsi="楷体" w:eastAsia="仿宋_GB2312"/>
          <w:sz w:val="32"/>
          <w:szCs w:val="32"/>
        </w:rPr>
        <w:t>万元，政府采购服务预算</w:t>
      </w:r>
      <w:r>
        <w:rPr>
          <w:rFonts w:ascii="仿宋_GB2312" w:hAnsi="楷体" w:eastAsia="仿宋_GB2312"/>
          <w:sz w:val="32"/>
          <w:szCs w:val="32"/>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rPr>
        <w:t>八公山区住建局</w:t>
      </w:r>
      <w:r>
        <w:rPr>
          <w:rFonts w:hint="eastAsia" w:ascii="仿宋_GB2312" w:hAnsi="楷体" w:eastAsia="仿宋_GB2312"/>
          <w:sz w:val="32"/>
          <w:szCs w:val="32"/>
        </w:rPr>
        <w:t>共有车辆</w:t>
      </w:r>
      <w:r>
        <w:rPr>
          <w:rFonts w:ascii="仿宋_GB2312" w:hAnsi="楷体" w:eastAsia="仿宋_GB2312"/>
          <w:sz w:val="32"/>
          <w:szCs w:val="32"/>
        </w:rPr>
        <w:t>1</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ascii="仿宋_GB2312" w:hAnsi="楷体" w:eastAsia="仿宋_GB2312"/>
          <w:sz w:val="32"/>
          <w:szCs w:val="32"/>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ascii="仿宋_GB2312" w:hAnsi="楷体" w:eastAsia="仿宋_GB2312"/>
          <w:sz w:val="32"/>
          <w:szCs w:val="32"/>
        </w:rPr>
        <w:t>0</w:t>
      </w:r>
      <w:r>
        <w:rPr>
          <w:rFonts w:hint="eastAsia" w:ascii="仿宋_GB2312" w:hAnsi="楷体" w:eastAsia="仿宋_GB2312"/>
          <w:sz w:val="32"/>
          <w:szCs w:val="32"/>
        </w:rPr>
        <w:t>辆，购置费</w:t>
      </w:r>
      <w:r>
        <w:rPr>
          <w:rFonts w:ascii="仿宋_GB2312" w:hAnsi="楷体" w:eastAsia="仿宋_GB2312"/>
          <w:sz w:val="32"/>
          <w:szCs w:val="32"/>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0</w:t>
      </w:r>
      <w:r>
        <w:rPr>
          <w:rFonts w:hint="eastAsia" w:ascii="仿宋_GB2312" w:hAnsi="楷体" w:eastAsia="仿宋_GB2312"/>
          <w:sz w:val="32"/>
          <w:szCs w:val="32"/>
        </w:rPr>
        <w:t>台（套），购置费</w:t>
      </w:r>
      <w:r>
        <w:rPr>
          <w:rFonts w:ascii="仿宋_GB2312" w:hAnsi="楷体" w:eastAsia="仿宋_GB2312"/>
          <w:sz w:val="32"/>
          <w:szCs w:val="32"/>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ascii="仿宋_GB2312" w:hAnsi="楷体" w:eastAsia="仿宋_GB2312"/>
          <w:sz w:val="32"/>
          <w:szCs w:val="32"/>
        </w:rPr>
        <w:t>0</w:t>
      </w:r>
      <w:r>
        <w:rPr>
          <w:rFonts w:hint="eastAsia" w:ascii="仿宋_GB2312" w:hAnsi="楷体" w:eastAsia="仿宋_GB2312"/>
          <w:sz w:val="32"/>
          <w:szCs w:val="32"/>
        </w:rPr>
        <w:t>台（套），购置费</w:t>
      </w:r>
      <w:r>
        <w:rPr>
          <w:rFonts w:ascii="仿宋_GB2312" w:hAnsi="楷体" w:eastAsia="仿宋_GB2312"/>
          <w:sz w:val="32"/>
          <w:szCs w:val="32"/>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rPr>
        <w:t>八公山区住建局</w:t>
      </w:r>
      <w:r>
        <w:rPr>
          <w:rFonts w:ascii="仿宋_GB2312" w:hAnsi="仿宋" w:eastAsia="仿宋_GB2312"/>
          <w:sz w:val="32"/>
          <w:szCs w:val="32"/>
        </w:rPr>
        <w:t>1</w:t>
      </w:r>
      <w:r>
        <w:rPr>
          <w:rFonts w:hint="eastAsia" w:ascii="仿宋_GB2312" w:hAnsi="仿宋" w:eastAsia="仿宋_GB2312"/>
          <w:sz w:val="32"/>
          <w:szCs w:val="32"/>
        </w:rPr>
        <w:t>个项目实行了绩效目标管理，涉及一般公共预算当年财政拨款</w:t>
      </w:r>
      <w:r>
        <w:rPr>
          <w:rFonts w:ascii="仿宋_GB2312" w:hAnsi="仿宋" w:eastAsia="仿宋_GB2312"/>
          <w:sz w:val="32"/>
          <w:szCs w:val="32"/>
        </w:rPr>
        <w:t>526.1</w:t>
      </w:r>
      <w:r>
        <w:rPr>
          <w:rFonts w:hint="eastAsia" w:ascii="仿宋_GB2312" w:hAnsi="仿宋" w:eastAsia="仿宋_GB2312"/>
          <w:sz w:val="32"/>
          <w:szCs w:val="32"/>
        </w:rPr>
        <w:t>万元、政府性基金预算当年财政拨款</w:t>
      </w:r>
      <w:r>
        <w:rPr>
          <w:rFonts w:ascii="仿宋_GB2312" w:hAnsi="仿宋" w:eastAsia="仿宋_GB2312"/>
          <w:sz w:val="32"/>
          <w:szCs w:val="32"/>
        </w:rPr>
        <w:t>0</w:t>
      </w:r>
      <w:r>
        <w:rPr>
          <w:rFonts w:hint="eastAsia" w:ascii="仿宋_GB2312" w:hAnsi="仿宋" w:eastAsia="仿宋_GB2312"/>
          <w:sz w:val="32"/>
          <w:szCs w:val="32"/>
        </w:rPr>
        <w:t>万元、国有资本经营预算当年财政拨款</w:t>
      </w:r>
      <w:r>
        <w:rPr>
          <w:rFonts w:ascii="仿宋_GB2312" w:hAnsi="仿宋" w:eastAsia="仿宋_GB2312"/>
          <w:sz w:val="32"/>
          <w:szCs w:val="32"/>
        </w:rPr>
        <w:t>0</w:t>
      </w:r>
      <w:r>
        <w:rPr>
          <w:rFonts w:hint="eastAsia" w:ascii="仿宋_GB2312" w:hAnsi="仿宋" w:eastAsia="仿宋_GB2312"/>
          <w:sz w:val="32"/>
          <w:szCs w:val="32"/>
        </w:rPr>
        <w:t>万元、财政专户管理资金当年安排</w:t>
      </w:r>
      <w:r>
        <w:rPr>
          <w:rFonts w:ascii="仿宋_GB2312" w:hAnsi="仿宋" w:eastAsia="仿宋_GB2312"/>
          <w:sz w:val="32"/>
          <w:szCs w:val="32"/>
        </w:rPr>
        <w:t>0</w:t>
      </w:r>
      <w:r>
        <w:rPr>
          <w:rFonts w:hint="eastAsia" w:ascii="仿宋_GB2312" w:hAnsi="仿宋" w:eastAsia="仿宋_GB2312"/>
          <w:sz w:val="32"/>
          <w:szCs w:val="32"/>
        </w:rPr>
        <w:t>万元和单位资金安排安排</w:t>
      </w:r>
      <w:r>
        <w:rPr>
          <w:rFonts w:ascii="仿宋_GB2312" w:hAnsi="仿宋" w:eastAsia="仿宋_GB2312"/>
          <w:sz w:val="32"/>
          <w:szCs w:val="32"/>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5"/>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5"/>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5"/>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5"/>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5"/>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5"/>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color w:val="auto"/>
      </w:rPr>
    </w:lvl>
  </w:abstractNum>
  <w:abstractNum w:abstractNumId="1">
    <w:nsid w:val="6EE630EE"/>
    <w:multiLevelType w:val="multilevel"/>
    <w:tmpl w:val="6EE630EE"/>
    <w:lvl w:ilvl="0" w:tentative="0">
      <w:start w:val="1"/>
      <w:numFmt w:val="japaneseCounting"/>
      <w:lvlText w:val="%1、"/>
      <w:lvlJc w:val="left"/>
      <w:pPr>
        <w:ind w:left="1196" w:hanging="629"/>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characterSpacingControl w:val="doNotCompress"/>
  <w:noLineBreaksAfter w:lang="zh-CN" w:val="$([{£¥·‘“〈《「『【〔〖〝﹙﹛﹝＄（．［｛￡￥"/>
  <w:noLineBreaksBefore w:lang="zh-CN" w:val="!%),.:;&gt;?]}¢¨°·ˇˉ―‖’”…‰′″›℃∶、。〃〉》」』】〕〗〞︶︺︾﹀﹄﹚﹜﹞！＂％＇），．：；？］｀｜｝～￠"/>
  <w:compat>
    <w:useFELayout/>
    <w:allowSpaceOfSameStyleInTable/>
    <w:compatSetting w:name="compatibilityMode" w:uri="http://schemas.microsoft.com/office/word" w:val="12"/>
  </w:compat>
  <w:docVars>
    <w:docVar w:name="commondata" w:val="eyJoZGlkIjoiMjM5YjUwNjA4NmVlMWM5YWFlMmFiMDc5YzAxYmYyNGMifQ=="/>
  </w:docVars>
  <w:rsids>
    <w:rsidRoot w:val="00DA7155"/>
    <w:rsid w:val="000003C1"/>
    <w:rsid w:val="000116E3"/>
    <w:rsid w:val="00015821"/>
    <w:rsid w:val="00016DCE"/>
    <w:rsid w:val="0002669A"/>
    <w:rsid w:val="00026E99"/>
    <w:rsid w:val="000378C7"/>
    <w:rsid w:val="00040F4C"/>
    <w:rsid w:val="000450DA"/>
    <w:rsid w:val="0005090D"/>
    <w:rsid w:val="00052923"/>
    <w:rsid w:val="0005523F"/>
    <w:rsid w:val="000720A0"/>
    <w:rsid w:val="00072B85"/>
    <w:rsid w:val="000807F9"/>
    <w:rsid w:val="000812F3"/>
    <w:rsid w:val="000859AC"/>
    <w:rsid w:val="00086992"/>
    <w:rsid w:val="00092BDB"/>
    <w:rsid w:val="0009339B"/>
    <w:rsid w:val="000945B8"/>
    <w:rsid w:val="000945C1"/>
    <w:rsid w:val="00095C1B"/>
    <w:rsid w:val="000B486F"/>
    <w:rsid w:val="000B701A"/>
    <w:rsid w:val="000C3BE8"/>
    <w:rsid w:val="000D1442"/>
    <w:rsid w:val="000E0593"/>
    <w:rsid w:val="000F001D"/>
    <w:rsid w:val="000F35AE"/>
    <w:rsid w:val="000F6876"/>
    <w:rsid w:val="0012431A"/>
    <w:rsid w:val="00126646"/>
    <w:rsid w:val="00130CD5"/>
    <w:rsid w:val="00143558"/>
    <w:rsid w:val="00145AB0"/>
    <w:rsid w:val="00150DF1"/>
    <w:rsid w:val="00152846"/>
    <w:rsid w:val="00152BF2"/>
    <w:rsid w:val="00161C3F"/>
    <w:rsid w:val="00162312"/>
    <w:rsid w:val="00162F28"/>
    <w:rsid w:val="0016370A"/>
    <w:rsid w:val="00165C02"/>
    <w:rsid w:val="00166692"/>
    <w:rsid w:val="00170E2D"/>
    <w:rsid w:val="001771E6"/>
    <w:rsid w:val="001803E7"/>
    <w:rsid w:val="00183858"/>
    <w:rsid w:val="00187ED7"/>
    <w:rsid w:val="00194491"/>
    <w:rsid w:val="001949D0"/>
    <w:rsid w:val="00194D13"/>
    <w:rsid w:val="001A6389"/>
    <w:rsid w:val="001A70D0"/>
    <w:rsid w:val="001B2F58"/>
    <w:rsid w:val="001C3EA4"/>
    <w:rsid w:val="001C4E9A"/>
    <w:rsid w:val="001D4149"/>
    <w:rsid w:val="001D4AD2"/>
    <w:rsid w:val="001E4162"/>
    <w:rsid w:val="001E717A"/>
    <w:rsid w:val="001F54C8"/>
    <w:rsid w:val="001F739C"/>
    <w:rsid w:val="00203C06"/>
    <w:rsid w:val="0020776B"/>
    <w:rsid w:val="00210D08"/>
    <w:rsid w:val="00211095"/>
    <w:rsid w:val="00226E7B"/>
    <w:rsid w:val="00234110"/>
    <w:rsid w:val="002351AD"/>
    <w:rsid w:val="00236C97"/>
    <w:rsid w:val="002458E8"/>
    <w:rsid w:val="0024741B"/>
    <w:rsid w:val="0025289A"/>
    <w:rsid w:val="00262483"/>
    <w:rsid w:val="00263B7E"/>
    <w:rsid w:val="002711F0"/>
    <w:rsid w:val="002725C5"/>
    <w:rsid w:val="00272CC1"/>
    <w:rsid w:val="00273982"/>
    <w:rsid w:val="00277F2D"/>
    <w:rsid w:val="00280650"/>
    <w:rsid w:val="002911C3"/>
    <w:rsid w:val="00294131"/>
    <w:rsid w:val="002A6B54"/>
    <w:rsid w:val="002C2BDF"/>
    <w:rsid w:val="002C781A"/>
    <w:rsid w:val="002E11DE"/>
    <w:rsid w:val="002E284A"/>
    <w:rsid w:val="002F54FF"/>
    <w:rsid w:val="002F6AE2"/>
    <w:rsid w:val="002F71A6"/>
    <w:rsid w:val="003066B6"/>
    <w:rsid w:val="00314DEA"/>
    <w:rsid w:val="00351103"/>
    <w:rsid w:val="00352640"/>
    <w:rsid w:val="00353EE7"/>
    <w:rsid w:val="00366256"/>
    <w:rsid w:val="00370476"/>
    <w:rsid w:val="00380820"/>
    <w:rsid w:val="00383CD8"/>
    <w:rsid w:val="003952F0"/>
    <w:rsid w:val="003B060D"/>
    <w:rsid w:val="003B4633"/>
    <w:rsid w:val="003C17BD"/>
    <w:rsid w:val="003C40FD"/>
    <w:rsid w:val="003D30B2"/>
    <w:rsid w:val="003E096B"/>
    <w:rsid w:val="003E237C"/>
    <w:rsid w:val="003E66A3"/>
    <w:rsid w:val="003E7441"/>
    <w:rsid w:val="003E7E98"/>
    <w:rsid w:val="003F2BE9"/>
    <w:rsid w:val="003F5900"/>
    <w:rsid w:val="00402702"/>
    <w:rsid w:val="00402ABD"/>
    <w:rsid w:val="004138F5"/>
    <w:rsid w:val="00415416"/>
    <w:rsid w:val="00415ED5"/>
    <w:rsid w:val="004166E1"/>
    <w:rsid w:val="0042415B"/>
    <w:rsid w:val="00425751"/>
    <w:rsid w:val="0042713F"/>
    <w:rsid w:val="00430C41"/>
    <w:rsid w:val="00431161"/>
    <w:rsid w:val="004340BE"/>
    <w:rsid w:val="0044737F"/>
    <w:rsid w:val="00454492"/>
    <w:rsid w:val="004554E5"/>
    <w:rsid w:val="00482476"/>
    <w:rsid w:val="0048574C"/>
    <w:rsid w:val="004A1E3F"/>
    <w:rsid w:val="004A6577"/>
    <w:rsid w:val="004A7283"/>
    <w:rsid w:val="004C3BD5"/>
    <w:rsid w:val="004D08D6"/>
    <w:rsid w:val="005074C0"/>
    <w:rsid w:val="00514735"/>
    <w:rsid w:val="00516B0F"/>
    <w:rsid w:val="00531C3E"/>
    <w:rsid w:val="00532161"/>
    <w:rsid w:val="0053715F"/>
    <w:rsid w:val="00542173"/>
    <w:rsid w:val="00544C35"/>
    <w:rsid w:val="00553026"/>
    <w:rsid w:val="00557E03"/>
    <w:rsid w:val="00562B09"/>
    <w:rsid w:val="00564456"/>
    <w:rsid w:val="00565987"/>
    <w:rsid w:val="00574EF2"/>
    <w:rsid w:val="00577B14"/>
    <w:rsid w:val="00582209"/>
    <w:rsid w:val="00584B72"/>
    <w:rsid w:val="005A108B"/>
    <w:rsid w:val="005A1C41"/>
    <w:rsid w:val="005A1CDD"/>
    <w:rsid w:val="005A262C"/>
    <w:rsid w:val="005B0577"/>
    <w:rsid w:val="005B23CE"/>
    <w:rsid w:val="005B5372"/>
    <w:rsid w:val="005C2187"/>
    <w:rsid w:val="005D2121"/>
    <w:rsid w:val="005E1DBE"/>
    <w:rsid w:val="005E66C6"/>
    <w:rsid w:val="005F1DCD"/>
    <w:rsid w:val="00600DF2"/>
    <w:rsid w:val="00601B50"/>
    <w:rsid w:val="0060284C"/>
    <w:rsid w:val="00632F29"/>
    <w:rsid w:val="006368B4"/>
    <w:rsid w:val="006422D1"/>
    <w:rsid w:val="00642C39"/>
    <w:rsid w:val="00647E00"/>
    <w:rsid w:val="00657804"/>
    <w:rsid w:val="00662911"/>
    <w:rsid w:val="00666BD8"/>
    <w:rsid w:val="00672304"/>
    <w:rsid w:val="00672AEA"/>
    <w:rsid w:val="00672CA7"/>
    <w:rsid w:val="006868B2"/>
    <w:rsid w:val="0069039D"/>
    <w:rsid w:val="006907F4"/>
    <w:rsid w:val="00693859"/>
    <w:rsid w:val="00694264"/>
    <w:rsid w:val="006A032A"/>
    <w:rsid w:val="006B17A0"/>
    <w:rsid w:val="006B4C13"/>
    <w:rsid w:val="006B6125"/>
    <w:rsid w:val="006D39F7"/>
    <w:rsid w:val="006E3F7A"/>
    <w:rsid w:val="006F28D7"/>
    <w:rsid w:val="00700AE0"/>
    <w:rsid w:val="007221FD"/>
    <w:rsid w:val="00722B93"/>
    <w:rsid w:val="00723CD5"/>
    <w:rsid w:val="007318DE"/>
    <w:rsid w:val="0074251D"/>
    <w:rsid w:val="00752451"/>
    <w:rsid w:val="00752F7A"/>
    <w:rsid w:val="0075731C"/>
    <w:rsid w:val="0076294D"/>
    <w:rsid w:val="00772BCD"/>
    <w:rsid w:val="00791CA0"/>
    <w:rsid w:val="00796E8E"/>
    <w:rsid w:val="007A0175"/>
    <w:rsid w:val="007A0E2A"/>
    <w:rsid w:val="007B0E13"/>
    <w:rsid w:val="007B6088"/>
    <w:rsid w:val="007C106E"/>
    <w:rsid w:val="007D2C1D"/>
    <w:rsid w:val="007E1A26"/>
    <w:rsid w:val="007E28D7"/>
    <w:rsid w:val="007E36F8"/>
    <w:rsid w:val="007F61AA"/>
    <w:rsid w:val="007F73C1"/>
    <w:rsid w:val="00812252"/>
    <w:rsid w:val="00831988"/>
    <w:rsid w:val="00842138"/>
    <w:rsid w:val="00846410"/>
    <w:rsid w:val="00860CC8"/>
    <w:rsid w:val="00863DEC"/>
    <w:rsid w:val="00891055"/>
    <w:rsid w:val="00893638"/>
    <w:rsid w:val="00895981"/>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53C58"/>
    <w:rsid w:val="00960E56"/>
    <w:rsid w:val="00962167"/>
    <w:rsid w:val="009640FF"/>
    <w:rsid w:val="009730E4"/>
    <w:rsid w:val="00973400"/>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34E9C"/>
    <w:rsid w:val="00A46E97"/>
    <w:rsid w:val="00A51BB2"/>
    <w:rsid w:val="00A550EA"/>
    <w:rsid w:val="00A566E8"/>
    <w:rsid w:val="00A62DE6"/>
    <w:rsid w:val="00A64B80"/>
    <w:rsid w:val="00A66984"/>
    <w:rsid w:val="00A71516"/>
    <w:rsid w:val="00A759CE"/>
    <w:rsid w:val="00A80366"/>
    <w:rsid w:val="00A80C60"/>
    <w:rsid w:val="00A84085"/>
    <w:rsid w:val="00A95237"/>
    <w:rsid w:val="00AA019E"/>
    <w:rsid w:val="00AA63E5"/>
    <w:rsid w:val="00AC6A43"/>
    <w:rsid w:val="00AD02CD"/>
    <w:rsid w:val="00AD7F7C"/>
    <w:rsid w:val="00AE398A"/>
    <w:rsid w:val="00AE6B99"/>
    <w:rsid w:val="00B106E8"/>
    <w:rsid w:val="00B214F8"/>
    <w:rsid w:val="00B24E1E"/>
    <w:rsid w:val="00B31578"/>
    <w:rsid w:val="00B37364"/>
    <w:rsid w:val="00B40A13"/>
    <w:rsid w:val="00B472B0"/>
    <w:rsid w:val="00B51464"/>
    <w:rsid w:val="00B60BEC"/>
    <w:rsid w:val="00B679AC"/>
    <w:rsid w:val="00B7597E"/>
    <w:rsid w:val="00B9441F"/>
    <w:rsid w:val="00B96C93"/>
    <w:rsid w:val="00BA005D"/>
    <w:rsid w:val="00BA4DEF"/>
    <w:rsid w:val="00BC2FD8"/>
    <w:rsid w:val="00BE6210"/>
    <w:rsid w:val="00BF40E0"/>
    <w:rsid w:val="00C061CA"/>
    <w:rsid w:val="00C07806"/>
    <w:rsid w:val="00C10BDA"/>
    <w:rsid w:val="00C221BA"/>
    <w:rsid w:val="00C25627"/>
    <w:rsid w:val="00C25A68"/>
    <w:rsid w:val="00C32C69"/>
    <w:rsid w:val="00C34B8B"/>
    <w:rsid w:val="00C415C6"/>
    <w:rsid w:val="00C56441"/>
    <w:rsid w:val="00C6198B"/>
    <w:rsid w:val="00C720B7"/>
    <w:rsid w:val="00C82039"/>
    <w:rsid w:val="00C83D02"/>
    <w:rsid w:val="00C87C34"/>
    <w:rsid w:val="00C907C3"/>
    <w:rsid w:val="00C925A2"/>
    <w:rsid w:val="00C95A6A"/>
    <w:rsid w:val="00CB0030"/>
    <w:rsid w:val="00CB3A30"/>
    <w:rsid w:val="00CB4DEC"/>
    <w:rsid w:val="00CC691C"/>
    <w:rsid w:val="00CD124A"/>
    <w:rsid w:val="00CE5011"/>
    <w:rsid w:val="00CE506D"/>
    <w:rsid w:val="00CE61C2"/>
    <w:rsid w:val="00CF2676"/>
    <w:rsid w:val="00CF68DB"/>
    <w:rsid w:val="00D15514"/>
    <w:rsid w:val="00D2281B"/>
    <w:rsid w:val="00D23BD9"/>
    <w:rsid w:val="00D256A1"/>
    <w:rsid w:val="00D37F92"/>
    <w:rsid w:val="00D41522"/>
    <w:rsid w:val="00D46BEC"/>
    <w:rsid w:val="00D6103B"/>
    <w:rsid w:val="00D62F2F"/>
    <w:rsid w:val="00D675E1"/>
    <w:rsid w:val="00D75DE3"/>
    <w:rsid w:val="00D80815"/>
    <w:rsid w:val="00D917DD"/>
    <w:rsid w:val="00D93A0A"/>
    <w:rsid w:val="00D9799E"/>
    <w:rsid w:val="00DA114A"/>
    <w:rsid w:val="00DA6329"/>
    <w:rsid w:val="00DA7155"/>
    <w:rsid w:val="00DD3619"/>
    <w:rsid w:val="00DD3DB1"/>
    <w:rsid w:val="00DD4AE9"/>
    <w:rsid w:val="00DE43E7"/>
    <w:rsid w:val="00DE4AFE"/>
    <w:rsid w:val="00DF08DE"/>
    <w:rsid w:val="00E141EB"/>
    <w:rsid w:val="00E14721"/>
    <w:rsid w:val="00E27E2C"/>
    <w:rsid w:val="00E31623"/>
    <w:rsid w:val="00E33FD5"/>
    <w:rsid w:val="00E34B24"/>
    <w:rsid w:val="00E35319"/>
    <w:rsid w:val="00E36BDC"/>
    <w:rsid w:val="00E4294F"/>
    <w:rsid w:val="00E6025A"/>
    <w:rsid w:val="00E60B42"/>
    <w:rsid w:val="00E616B4"/>
    <w:rsid w:val="00E658C5"/>
    <w:rsid w:val="00E717A2"/>
    <w:rsid w:val="00E81D02"/>
    <w:rsid w:val="00E86DFB"/>
    <w:rsid w:val="00E955F8"/>
    <w:rsid w:val="00E9565D"/>
    <w:rsid w:val="00EA0754"/>
    <w:rsid w:val="00EA43F9"/>
    <w:rsid w:val="00EB3D13"/>
    <w:rsid w:val="00EB6ECB"/>
    <w:rsid w:val="00EC18BD"/>
    <w:rsid w:val="00ED7F9A"/>
    <w:rsid w:val="00EE3CAA"/>
    <w:rsid w:val="00EE4D07"/>
    <w:rsid w:val="00EE56A3"/>
    <w:rsid w:val="00EF601B"/>
    <w:rsid w:val="00F06673"/>
    <w:rsid w:val="00F129D1"/>
    <w:rsid w:val="00F177FD"/>
    <w:rsid w:val="00F20784"/>
    <w:rsid w:val="00F354AA"/>
    <w:rsid w:val="00F43207"/>
    <w:rsid w:val="00F447BE"/>
    <w:rsid w:val="00F45865"/>
    <w:rsid w:val="00F6260A"/>
    <w:rsid w:val="00F62848"/>
    <w:rsid w:val="00F65F2C"/>
    <w:rsid w:val="00F708D4"/>
    <w:rsid w:val="00F72B29"/>
    <w:rsid w:val="00F738CA"/>
    <w:rsid w:val="00F74D65"/>
    <w:rsid w:val="00F74DDA"/>
    <w:rsid w:val="00F9598A"/>
    <w:rsid w:val="00FA4134"/>
    <w:rsid w:val="00FC0EE2"/>
    <w:rsid w:val="00FC4888"/>
    <w:rsid w:val="00FC6A28"/>
    <w:rsid w:val="00FE398C"/>
    <w:rsid w:val="00FE475B"/>
    <w:rsid w:val="00FF6EF3"/>
    <w:rsid w:val="01596278"/>
    <w:rsid w:val="01FF05B0"/>
    <w:rsid w:val="031228B1"/>
    <w:rsid w:val="04847570"/>
    <w:rsid w:val="0A2037DA"/>
    <w:rsid w:val="0D9C7FD3"/>
    <w:rsid w:val="0E283076"/>
    <w:rsid w:val="106D0FD1"/>
    <w:rsid w:val="14377D86"/>
    <w:rsid w:val="166158D1"/>
    <w:rsid w:val="1AD46292"/>
    <w:rsid w:val="1C4F0C9B"/>
    <w:rsid w:val="2347066D"/>
    <w:rsid w:val="234863C1"/>
    <w:rsid w:val="24A26144"/>
    <w:rsid w:val="29366156"/>
    <w:rsid w:val="2A703C9F"/>
    <w:rsid w:val="34E03158"/>
    <w:rsid w:val="352F0DFC"/>
    <w:rsid w:val="373C29F8"/>
    <w:rsid w:val="38704314"/>
    <w:rsid w:val="3B7C3B77"/>
    <w:rsid w:val="3C4036DC"/>
    <w:rsid w:val="3E4B7EE3"/>
    <w:rsid w:val="3F6A12E9"/>
    <w:rsid w:val="3FB337BE"/>
    <w:rsid w:val="46282B7D"/>
    <w:rsid w:val="48F32361"/>
    <w:rsid w:val="494A0E00"/>
    <w:rsid w:val="4CFF70C4"/>
    <w:rsid w:val="52E80BEB"/>
    <w:rsid w:val="55302C55"/>
    <w:rsid w:val="58674F71"/>
    <w:rsid w:val="597B7BEF"/>
    <w:rsid w:val="5D075BDA"/>
    <w:rsid w:val="5E6C2A09"/>
    <w:rsid w:val="60D97EB0"/>
    <w:rsid w:val="643D0718"/>
    <w:rsid w:val="65F25193"/>
    <w:rsid w:val="670009BB"/>
    <w:rsid w:val="67A9053E"/>
    <w:rsid w:val="69B9159D"/>
    <w:rsid w:val="6C797180"/>
    <w:rsid w:val="72882D68"/>
    <w:rsid w:val="72CC459A"/>
    <w:rsid w:val="73652C13"/>
    <w:rsid w:val="78620F7F"/>
    <w:rsid w:val="7E1924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qFormat/>
    <w:uiPriority w:val="99"/>
    <w:pPr>
      <w:spacing w:after="120" w:line="480" w:lineRule="auto"/>
      <w:ind w:left="420" w:leftChars="200"/>
    </w:pPr>
    <w:rPr>
      <w:rFonts w:ascii="Times New Roman" w:hAnsi="Times New Roman"/>
      <w:szCs w:val="24"/>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页脚 字符"/>
    <w:basedOn w:val="7"/>
    <w:link w:val="3"/>
    <w:locked/>
    <w:uiPriority w:val="99"/>
    <w:rPr>
      <w:rFonts w:cs="Times New Roman"/>
      <w:sz w:val="18"/>
      <w:szCs w:val="18"/>
    </w:rPr>
  </w:style>
  <w:style w:type="character" w:customStyle="1" w:styleId="10">
    <w:name w:val="页眉 字符"/>
    <w:basedOn w:val="7"/>
    <w:link w:val="4"/>
    <w:semiHidden/>
    <w:qFormat/>
    <w:locked/>
    <w:uiPriority w:val="99"/>
    <w:rPr>
      <w:rFonts w:cs="Times New Roman"/>
      <w:sz w:val="18"/>
      <w:szCs w:val="18"/>
    </w:rPr>
  </w:style>
  <w:style w:type="paragraph" w:customStyle="1" w:styleId="11">
    <w:name w:val="List Paragraph1"/>
    <w:basedOn w:val="1"/>
    <w:uiPriority w:val="99"/>
    <w:pPr>
      <w:ind w:firstLine="420" w:firstLineChars="200"/>
    </w:pPr>
  </w:style>
  <w:style w:type="character" w:customStyle="1" w:styleId="12">
    <w:name w:val="正文文本缩进 2 字符"/>
    <w:basedOn w:val="7"/>
    <w:link w:val="2"/>
    <w:uiPriority w:val="99"/>
    <w:rPr>
      <w:kern w:val="2"/>
      <w:sz w:val="21"/>
      <w:szCs w:val="24"/>
    </w:rPr>
  </w:style>
  <w:style w:type="paragraph" w:customStyle="1" w:styleId="13">
    <w:name w:val="p0"/>
    <w:basedOn w:val="1"/>
    <w:uiPriority w:val="0"/>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11210</Words>
  <Characters>13054</Characters>
  <Lines>120</Lines>
  <Paragraphs>34</Paragraphs>
  <TotalTime>6</TotalTime>
  <ScaleCrop>false</ScaleCrop>
  <LinksUpToDate>false</LinksUpToDate>
  <CharactersWithSpaces>14795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2022-08-02T04:29:27Z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7A83B8FB721D47CBBFA376531D257072</vt:lpwstr>
  </property>
</Properties>
</file>