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sz w:val="44"/>
          <w:szCs w:val="44"/>
        </w:rPr>
      </w:pPr>
      <w:r>
        <w:rPr>
          <w:rFonts w:hint="eastAsia" w:ascii="宋体" w:hAnsi="宋体" w:cs="宋体"/>
          <w:b/>
          <w:bCs/>
          <w:color w:val="000000"/>
          <w:sz w:val="44"/>
          <w:szCs w:val="44"/>
          <w:lang w:val="en-US" w:eastAsia="zh-CN"/>
        </w:rPr>
        <w:t>新庄孜</w:t>
      </w:r>
      <w:r>
        <w:rPr>
          <w:rFonts w:hint="eastAsia" w:ascii="宋体" w:hAnsi="宋体" w:eastAsia="宋体" w:cs="宋体"/>
          <w:b/>
          <w:bCs/>
          <w:color w:val="000000"/>
          <w:sz w:val="44"/>
          <w:szCs w:val="44"/>
          <w:lang w:val="en-US" w:eastAsia="zh-CN"/>
        </w:rPr>
        <w:t>街道</w:t>
      </w:r>
      <w:r>
        <w:rPr>
          <w:rFonts w:hint="eastAsia" w:ascii="宋体" w:hAnsi="宋体" w:cs="宋体"/>
          <w:b/>
          <w:bCs/>
          <w:color w:val="000000"/>
          <w:sz w:val="44"/>
          <w:szCs w:val="44"/>
          <w:lang w:val="en-US" w:eastAsia="zh-CN"/>
        </w:rPr>
        <w:t>2020</w:t>
      </w:r>
      <w:r>
        <w:rPr>
          <w:rFonts w:hint="eastAsia" w:ascii="宋体" w:hAnsi="宋体" w:eastAsia="宋体" w:cs="宋体"/>
          <w:b/>
          <w:bCs/>
          <w:color w:val="000000"/>
          <w:sz w:val="44"/>
          <w:szCs w:val="44"/>
          <w:lang w:val="en-US" w:eastAsia="zh-CN"/>
        </w:rPr>
        <w:t>年政府信息公开工作年度报告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宋体"/>
          <w:bCs/>
          <w:kern w:val="0"/>
          <w:sz w:val="32"/>
          <w:szCs w:val="32"/>
        </w:rPr>
      </w:pPr>
      <w:r>
        <w:rPr>
          <w:rFonts w:hint="eastAsia" w:ascii="仿宋_GB2312" w:eastAsia="仿宋_GB2312"/>
          <w:color w:val="333333"/>
          <w:sz w:val="32"/>
          <w:szCs w:val="32"/>
          <w:shd w:val="clear" w:color="auto" w:fill="FFFFFF"/>
        </w:rPr>
        <w:t>本报告依据《中华人民共和国政府信息公开条例》（国务院令第711号）、《国务院办公厅政府信息与政务公开办公室关于政府信息公开工作年度报告有关</w:t>
      </w:r>
      <w:bookmarkStart w:id="0" w:name="_GoBack"/>
      <w:bookmarkEnd w:id="0"/>
      <w:r>
        <w:rPr>
          <w:rFonts w:hint="eastAsia" w:ascii="仿宋_GB2312" w:eastAsia="仿宋_GB2312"/>
          <w:color w:val="333333"/>
          <w:sz w:val="32"/>
          <w:szCs w:val="32"/>
          <w:shd w:val="clear" w:color="auto" w:fill="FFFFFF"/>
        </w:rPr>
        <w:t>事项的通知》（国办公开办函〔2019〕60号）及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安徽省政务公开办公室关于做好政府信息公开工作年度报告编制及统计数据报送工作的通知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皖政务办秘〔2020〕44号</w:t>
      </w:r>
      <w:r>
        <w:rPr>
          <w:rFonts w:hint="eastAsia" w:ascii="仿宋_GB2312" w:hAnsi="仿宋_GB2312" w:eastAsia="仿宋_GB2312" w:cs="仿宋_GB2312"/>
          <w:sz w:val="32"/>
          <w:szCs w:val="32"/>
          <w:lang w:val="en-US" w:eastAsia="zh-CN"/>
        </w:rPr>
        <w:t>)</w:t>
      </w:r>
      <w:r>
        <w:rPr>
          <w:rFonts w:hint="eastAsia" w:ascii="仿宋_GB2312" w:eastAsia="仿宋_GB2312"/>
          <w:color w:val="333333"/>
          <w:sz w:val="32"/>
          <w:szCs w:val="32"/>
          <w:shd w:val="clear" w:color="auto" w:fill="FFFFFF"/>
        </w:rPr>
        <w:t>，结合我单位政府信息公开工作有关统计数据撰写。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w:t>
      </w:r>
      <w:r>
        <w:rPr>
          <w:rFonts w:hint="eastAsia" w:ascii="仿宋_GB2312" w:eastAsia="仿宋_GB2312"/>
          <w:color w:val="333333"/>
          <w:sz w:val="32"/>
          <w:szCs w:val="32"/>
          <w:shd w:val="clear" w:color="auto" w:fill="FFFFFF"/>
          <w:lang w:val="en-US" w:eastAsia="zh-CN"/>
        </w:rPr>
        <w:t>20</w:t>
      </w:r>
      <w:r>
        <w:rPr>
          <w:rFonts w:hint="eastAsia" w:ascii="仿宋_GB2312" w:eastAsia="仿宋_GB2312"/>
          <w:color w:val="333333"/>
          <w:sz w:val="32"/>
          <w:szCs w:val="32"/>
          <w:shd w:val="clear" w:color="auto" w:fill="FFFFFF"/>
        </w:rPr>
        <w:t>年1月1日至12月31日。</w:t>
      </w:r>
      <w:r>
        <w:rPr>
          <w:rFonts w:hint="eastAsia" w:ascii="仿宋" w:hAnsi="仿宋" w:eastAsia="仿宋" w:cs="仿宋"/>
          <w:b w:val="0"/>
          <w:bCs w:val="0"/>
          <w:color w:val="000000"/>
          <w:sz w:val="32"/>
          <w:szCs w:val="32"/>
          <w:shd w:val="clear" w:color="auto" w:fill="FFFFFF"/>
        </w:rPr>
        <w:t>报告的电子版可在</w:t>
      </w:r>
      <w:r>
        <w:rPr>
          <w:rFonts w:hint="eastAsia" w:ascii="仿宋" w:hAnsi="仿宋" w:eastAsia="仿宋" w:cs="仿宋"/>
          <w:b w:val="0"/>
          <w:bCs w:val="0"/>
          <w:color w:val="000000"/>
          <w:sz w:val="32"/>
          <w:szCs w:val="32"/>
          <w:shd w:val="clear" w:color="auto" w:fill="FFFFFF"/>
          <w:lang w:eastAsia="zh-CN"/>
        </w:rPr>
        <w:t>八公山区</w:t>
      </w:r>
      <w:r>
        <w:rPr>
          <w:rFonts w:hint="eastAsia" w:ascii="仿宋" w:hAnsi="仿宋" w:eastAsia="仿宋" w:cs="仿宋"/>
          <w:b w:val="0"/>
          <w:bCs w:val="0"/>
          <w:color w:val="000000"/>
          <w:sz w:val="32"/>
          <w:szCs w:val="32"/>
          <w:shd w:val="clear" w:color="auto" w:fill="FFFFFF"/>
        </w:rPr>
        <w:t>人民政府网站下载（http://www.bagongshan.gov.cn/）。如对本报告有任何疑问，请与</w:t>
      </w:r>
      <w:r>
        <w:rPr>
          <w:rFonts w:hint="eastAsia" w:ascii="仿宋" w:hAnsi="仿宋" w:eastAsia="仿宋" w:cs="仿宋"/>
          <w:b w:val="0"/>
          <w:bCs w:val="0"/>
          <w:color w:val="000000"/>
          <w:sz w:val="32"/>
          <w:szCs w:val="32"/>
          <w:shd w:val="clear" w:color="auto" w:fill="FFFFFF"/>
          <w:lang w:eastAsia="zh-CN"/>
        </w:rPr>
        <w:t>新庄孜街道党政办</w:t>
      </w:r>
      <w:r>
        <w:rPr>
          <w:rFonts w:hint="eastAsia" w:ascii="仿宋" w:hAnsi="仿宋" w:eastAsia="仿宋" w:cs="仿宋"/>
          <w:b w:val="0"/>
          <w:bCs w:val="0"/>
          <w:color w:val="000000"/>
          <w:sz w:val="32"/>
          <w:szCs w:val="32"/>
          <w:shd w:val="clear" w:color="auto" w:fill="FFFFFF"/>
        </w:rPr>
        <w:t>联系</w:t>
      </w:r>
      <w:r>
        <w:rPr>
          <w:rFonts w:hint="eastAsia" w:ascii="仿宋" w:hAnsi="仿宋" w:eastAsia="仿宋" w:cs="仿宋"/>
          <w:b w:val="0"/>
          <w:bCs w:val="0"/>
          <w:color w:val="000000"/>
          <w:sz w:val="32"/>
          <w:szCs w:val="32"/>
          <w:shd w:val="clear" w:color="auto" w:fill="FFFFFF"/>
          <w:lang w:eastAsia="zh-CN"/>
        </w:rPr>
        <w:t>，</w:t>
      </w:r>
      <w:r>
        <w:rPr>
          <w:rFonts w:hint="eastAsia" w:ascii="仿宋" w:hAnsi="仿宋" w:eastAsia="仿宋" w:cs="仿宋"/>
          <w:b w:val="0"/>
          <w:bCs w:val="0"/>
          <w:color w:val="000000"/>
          <w:sz w:val="32"/>
          <w:szCs w:val="32"/>
          <w:shd w:val="clear" w:color="auto" w:fill="FFFFFF"/>
        </w:rPr>
        <w:t>地址：</w:t>
      </w:r>
      <w:r>
        <w:rPr>
          <w:rFonts w:hint="eastAsia" w:ascii="仿宋" w:hAnsi="仿宋" w:eastAsia="仿宋" w:cs="仿宋"/>
          <w:b w:val="0"/>
          <w:bCs w:val="0"/>
          <w:color w:val="000000"/>
          <w:sz w:val="32"/>
          <w:szCs w:val="32"/>
          <w:shd w:val="clear" w:color="auto" w:fill="FFFFFF"/>
          <w:lang w:eastAsia="zh-CN"/>
        </w:rPr>
        <w:t>新庄孜街道办事处；</w:t>
      </w:r>
      <w:r>
        <w:rPr>
          <w:rFonts w:hint="eastAsia" w:ascii="仿宋" w:hAnsi="仿宋" w:eastAsia="仿宋" w:cs="仿宋"/>
          <w:b w:val="0"/>
          <w:bCs w:val="0"/>
          <w:color w:val="000000"/>
          <w:sz w:val="32"/>
          <w:szCs w:val="32"/>
          <w:shd w:val="clear" w:color="auto" w:fill="FFFFFF"/>
        </w:rPr>
        <w:t>电话</w:t>
      </w:r>
      <w:r>
        <w:rPr>
          <w:rFonts w:hint="eastAsia" w:ascii="仿宋" w:hAnsi="仿宋" w:eastAsia="仿宋" w:cs="仿宋"/>
          <w:b w:val="0"/>
          <w:bCs w:val="0"/>
          <w:color w:val="000000"/>
          <w:sz w:val="32"/>
          <w:szCs w:val="32"/>
          <w:shd w:val="clear" w:color="auto" w:fill="FFFFFF"/>
          <w:lang w:val="en-US" w:eastAsia="zh-CN"/>
        </w:rPr>
        <w:t>0554--2168956</w:t>
      </w:r>
      <w:r>
        <w:rPr>
          <w:rFonts w:hint="eastAsia" w:ascii="仿宋" w:hAnsi="仿宋" w:eastAsia="仿宋" w:cs="仿宋"/>
          <w:b w:val="0"/>
          <w:bCs w:val="0"/>
          <w:color w:val="000000"/>
          <w:sz w:val="32"/>
          <w:szCs w:val="32"/>
          <w:shd w:val="clear" w:color="auto" w:fill="FFFFFF"/>
          <w:lang w:eastAsia="zh-CN"/>
        </w:rPr>
        <w:t>；</w:t>
      </w:r>
      <w:r>
        <w:rPr>
          <w:rFonts w:hint="eastAsia" w:ascii="仿宋" w:hAnsi="仿宋" w:eastAsia="仿宋" w:cs="仿宋"/>
          <w:b w:val="0"/>
          <w:bCs w:val="0"/>
          <w:color w:val="000000"/>
          <w:sz w:val="32"/>
          <w:szCs w:val="32"/>
          <w:shd w:val="clear" w:color="auto" w:fill="FFFFFF"/>
        </w:rPr>
        <w:t>邮编：</w:t>
      </w:r>
      <w:r>
        <w:rPr>
          <w:rFonts w:hint="eastAsia" w:ascii="仿宋" w:hAnsi="仿宋" w:eastAsia="仿宋" w:cs="仿宋"/>
          <w:b w:val="0"/>
          <w:bCs w:val="0"/>
          <w:color w:val="000000"/>
          <w:sz w:val="32"/>
          <w:szCs w:val="32"/>
          <w:shd w:val="clear" w:color="auto" w:fill="FFFFFF"/>
          <w:lang w:val="en-US" w:eastAsia="zh-CN"/>
        </w:rPr>
        <w:t>232072</w:t>
      </w:r>
      <w:r>
        <w:rPr>
          <w:rFonts w:hint="eastAsia" w:ascii="仿宋" w:hAnsi="仿宋" w:eastAsia="仿宋" w:cs="仿宋"/>
          <w:b w:val="0"/>
          <w:bCs w:val="0"/>
          <w:color w:val="000000"/>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ascii="黑体" w:hAnsi="黑体" w:eastAsia="黑体" w:cs="宋体"/>
          <w:kern w:val="0"/>
          <w:sz w:val="32"/>
          <w:szCs w:val="32"/>
        </w:rPr>
      </w:pPr>
      <w:r>
        <w:rPr>
          <w:rFonts w:hint="eastAsia" w:ascii="黑体" w:hAnsi="黑体" w:eastAsia="黑体" w:cs="宋体"/>
          <w:bCs/>
          <w:kern w:val="0"/>
          <w:sz w:val="32"/>
          <w:szCs w:val="32"/>
        </w:rPr>
        <w:t>一、总体情况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lang w:val="en-US" w:eastAsia="zh-CN"/>
        </w:rPr>
        <w:t>2020</w:t>
      </w:r>
      <w:r>
        <w:rPr>
          <w:rFonts w:hint="eastAsia" w:ascii="仿宋" w:hAnsi="仿宋" w:eastAsia="仿宋" w:cs="仿宋"/>
          <w:i w:val="0"/>
          <w:caps w:val="0"/>
          <w:color w:val="333333"/>
          <w:spacing w:val="0"/>
          <w:sz w:val="32"/>
          <w:szCs w:val="32"/>
          <w:shd w:val="clear" w:fill="FFFFFF"/>
        </w:rPr>
        <w:t>年</w:t>
      </w:r>
      <w:r>
        <w:rPr>
          <w:rFonts w:hint="eastAsia" w:ascii="仿宋" w:hAnsi="仿宋" w:eastAsia="仿宋" w:cs="仿宋"/>
          <w:i w:val="0"/>
          <w:caps w:val="0"/>
          <w:color w:val="333333"/>
          <w:spacing w:val="0"/>
          <w:sz w:val="32"/>
          <w:szCs w:val="32"/>
          <w:shd w:val="clear" w:fill="FFFFFF"/>
          <w:lang w:val="en-US" w:eastAsia="zh-CN"/>
        </w:rPr>
        <w:t>以来</w:t>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lang w:val="en-US" w:eastAsia="zh-CN"/>
        </w:rPr>
        <w:t>新庄孜街道</w:t>
      </w:r>
      <w:r>
        <w:rPr>
          <w:rFonts w:hint="eastAsia" w:ascii="仿宋" w:hAnsi="仿宋" w:eastAsia="仿宋" w:cs="仿宋"/>
          <w:i w:val="0"/>
          <w:caps w:val="0"/>
          <w:color w:val="333333"/>
          <w:spacing w:val="0"/>
          <w:sz w:val="32"/>
          <w:szCs w:val="32"/>
          <w:shd w:val="clear" w:fill="FFFFFF"/>
        </w:rPr>
        <w:t>坚持“以公开为常态、不公开为例外”，全面贯彻落实《条例》要求，不断完善制度建设，提升主动公开信息质量，加大重点领域信息公开力度，改善依申请公开服务工作，努力保障人民群众的知情权、参与权、表达权和监督权，</w:t>
      </w:r>
      <w:r>
        <w:rPr>
          <w:rFonts w:hint="eastAsia" w:ascii="仿宋" w:hAnsi="仿宋" w:eastAsia="仿宋" w:cs="仿宋"/>
          <w:sz w:val="32"/>
          <w:szCs w:val="32"/>
          <w:lang w:val="en-US" w:eastAsia="zh-CN"/>
        </w:rPr>
        <w:t>坚持考核评估，强化监督，健全完善监督机制，使我街道政务信息公开工作进一步规范化、制度化，</w:t>
      </w:r>
      <w:r>
        <w:rPr>
          <w:rFonts w:hint="eastAsia" w:ascii="仿宋" w:hAnsi="仿宋" w:eastAsia="仿宋" w:cs="仿宋"/>
          <w:i w:val="0"/>
          <w:caps w:val="0"/>
          <w:color w:val="333333"/>
          <w:spacing w:val="0"/>
          <w:sz w:val="32"/>
          <w:szCs w:val="32"/>
          <w:shd w:val="clear" w:fill="FFFFFF"/>
        </w:rPr>
        <w:t>为服务和推进全区经济社会发展提供了坚强有力的保障。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78" w:lineRule="atLeast"/>
        <w:ind w:left="0" w:right="0" w:firstLine="643"/>
        <w:jc w:val="left"/>
        <w:rPr>
          <w:rFonts w:hint="eastAsia" w:ascii="楷体" w:hAnsi="楷体" w:eastAsia="楷体" w:cs="楷体"/>
          <w:i w:val="0"/>
          <w:caps w:val="0"/>
          <w:color w:val="333333"/>
          <w:spacing w:val="0"/>
          <w:sz w:val="32"/>
          <w:szCs w:val="32"/>
        </w:rPr>
      </w:pPr>
      <w:r>
        <w:rPr>
          <w:rFonts w:hint="eastAsia" w:ascii="楷体" w:hAnsi="楷体" w:eastAsia="楷体" w:cs="楷体"/>
          <w:b w:val="0"/>
          <w:bCs/>
          <w:i w:val="0"/>
          <w:caps w:val="0"/>
          <w:color w:val="333333"/>
          <w:spacing w:val="0"/>
          <w:kern w:val="0"/>
          <w:sz w:val="32"/>
          <w:szCs w:val="32"/>
          <w:shd w:val="clear" w:fill="FFFFFF"/>
          <w:lang w:val="en-US" w:eastAsia="zh-CN" w:bidi="ar"/>
        </w:rPr>
        <w:t>（一）</w:t>
      </w:r>
      <w:r>
        <w:rPr>
          <w:rFonts w:hint="eastAsia" w:ascii="楷体" w:hAnsi="楷体" w:eastAsia="楷体" w:cs="楷体"/>
          <w:i w:val="0"/>
          <w:caps w:val="0"/>
          <w:color w:val="333333"/>
          <w:spacing w:val="0"/>
          <w:kern w:val="0"/>
          <w:sz w:val="32"/>
          <w:szCs w:val="32"/>
          <w:shd w:val="clear" w:fill="FFFFFF"/>
          <w:lang w:val="en-US" w:eastAsia="zh-CN" w:bidi="ar"/>
        </w:rPr>
        <w:t>主动公开情况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lang w:val="en-US" w:eastAsia="zh-CN" w:bidi="ar"/>
        </w:rPr>
        <w:t>根据信息公开工作的要求，新庄孜街道切实明确政务公开的具体范围，不断扩大主动公开的事项，2020年通过政府政务公开管理平台公开各类信息总计510条。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19"/>
          <w:szCs w:val="19"/>
        </w:rPr>
      </w:pPr>
      <w:r>
        <w:rPr>
          <w:rFonts w:hint="eastAsia" w:ascii="仿宋" w:hAnsi="仿宋" w:eastAsia="仿宋" w:cs="仿宋"/>
          <w:i w:val="0"/>
          <w:caps w:val="0"/>
          <w:color w:val="333333"/>
          <w:spacing w:val="0"/>
          <w:kern w:val="0"/>
          <w:sz w:val="32"/>
          <w:szCs w:val="32"/>
          <w:shd w:val="clear" w:fill="FFFFFF"/>
          <w:lang w:val="en-US" w:eastAsia="zh-CN" w:bidi="ar"/>
        </w:rPr>
        <w:t>    </w:t>
      </w:r>
      <w:r>
        <w:rPr>
          <w:rFonts w:hint="eastAsia" w:ascii="楷体" w:hAnsi="楷体" w:eastAsia="楷体" w:cs="楷体"/>
          <w:i w:val="0"/>
          <w:caps w:val="0"/>
          <w:color w:val="333333"/>
          <w:spacing w:val="0"/>
          <w:kern w:val="0"/>
          <w:sz w:val="32"/>
          <w:szCs w:val="32"/>
          <w:shd w:val="clear" w:fill="FFFFFF"/>
          <w:lang w:val="en-US" w:eastAsia="zh-CN" w:bidi="ar"/>
        </w:rPr>
        <w:t>（二）依申请公开情况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19"/>
          <w:szCs w:val="19"/>
        </w:rPr>
      </w:pPr>
      <w:r>
        <w:rPr>
          <w:rFonts w:hint="eastAsia" w:ascii="仿宋" w:hAnsi="仿宋" w:eastAsia="仿宋" w:cs="仿宋"/>
          <w:i w:val="0"/>
          <w:caps w:val="0"/>
          <w:color w:val="333333"/>
          <w:spacing w:val="0"/>
          <w:kern w:val="0"/>
          <w:sz w:val="32"/>
          <w:szCs w:val="32"/>
          <w:shd w:val="clear" w:fill="FFFFFF"/>
          <w:lang w:val="en-US" w:eastAsia="zh-CN" w:bidi="ar"/>
        </w:rPr>
        <w:t>    新庄孜街道2020年度未发生依申请公开政府信息和不予公开政府信息的情况。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caps w:val="0"/>
          <w:color w:val="333333"/>
          <w:spacing w:val="0"/>
          <w:sz w:val="19"/>
          <w:szCs w:val="19"/>
        </w:rPr>
      </w:pPr>
      <w:r>
        <w:rPr>
          <w:rFonts w:ascii="新宋体" w:hAnsi="新宋体" w:eastAsia="新宋体" w:cs="新宋体"/>
          <w:i w:val="0"/>
          <w:caps w:val="0"/>
          <w:color w:val="333333"/>
          <w:spacing w:val="0"/>
          <w:kern w:val="0"/>
          <w:sz w:val="32"/>
          <w:szCs w:val="32"/>
          <w:shd w:val="clear" w:fill="FFFFFF"/>
          <w:lang w:val="en-US" w:eastAsia="zh-CN" w:bidi="ar"/>
        </w:rPr>
        <w:t> </w:t>
      </w:r>
      <w:r>
        <w:rPr>
          <w:rFonts w:hint="eastAsia" w:ascii="楷体" w:hAnsi="楷体" w:eastAsia="楷体" w:cs="楷体"/>
          <w:i w:val="0"/>
          <w:caps w:val="0"/>
          <w:color w:val="333333"/>
          <w:spacing w:val="0"/>
          <w:kern w:val="0"/>
          <w:sz w:val="32"/>
          <w:szCs w:val="32"/>
          <w:shd w:val="clear" w:fill="FFFFFF"/>
          <w:lang w:val="en-US" w:eastAsia="zh-CN" w:bidi="ar"/>
        </w:rPr>
        <w:t>（三）政府信息管理情况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caps w:val="0"/>
          <w:color w:val="333333"/>
          <w:spacing w:val="0"/>
          <w:sz w:val="19"/>
          <w:szCs w:val="19"/>
        </w:rPr>
      </w:pPr>
      <w:r>
        <w:rPr>
          <w:rFonts w:hint="eastAsia" w:ascii="仿宋" w:hAnsi="仿宋" w:eastAsia="仿宋" w:cs="仿宋"/>
          <w:i w:val="0"/>
          <w:caps w:val="0"/>
          <w:color w:val="333333"/>
          <w:spacing w:val="0"/>
          <w:kern w:val="0"/>
          <w:sz w:val="32"/>
          <w:szCs w:val="32"/>
          <w:shd w:val="clear" w:fill="FFFFFF"/>
          <w:lang w:val="en-US" w:eastAsia="zh-CN" w:bidi="ar"/>
        </w:rPr>
        <w:t> 一是完善政府信息管理相关制度。建立完善公文公开属性源头认定、信息发布协调、投诉举报、保密审查、信息公开统计五项政府信息管理制度。二是持续加强政务公开内容建设。落实政府网站信息发布三审制和复查制，坚持分级分类审核、先审后发，杜绝涉密信息、违规信息上网，避免出现严重表述错误。三是建立政务公开常态化监测检查机制。采取系统监测和人工复核相结合的方式，紧盯栏目更新不及时、更新内容不规范等问题，对政务公开各单位各栏目进行动态化监测，并做好日常整改。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楷体" w:hAnsi="楷体" w:eastAsia="楷体" w:cs="楷体"/>
          <w:i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楷体" w:hAnsi="楷体" w:eastAsia="楷体" w:cs="楷体"/>
          <w:i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楷体" w:hAnsi="楷体" w:eastAsia="楷体" w:cs="楷体"/>
          <w:i w:val="0"/>
          <w:caps w:val="0"/>
          <w:color w:val="333333"/>
          <w:spacing w:val="0"/>
          <w:sz w:val="19"/>
          <w:szCs w:val="19"/>
        </w:rPr>
      </w:pPr>
      <w:r>
        <w:rPr>
          <w:rFonts w:hint="eastAsia" w:ascii="楷体" w:hAnsi="楷体" w:eastAsia="楷体" w:cs="楷体"/>
          <w:i w:val="0"/>
          <w:caps w:val="0"/>
          <w:color w:val="333333"/>
          <w:spacing w:val="0"/>
          <w:kern w:val="0"/>
          <w:sz w:val="32"/>
          <w:szCs w:val="32"/>
          <w:shd w:val="clear" w:fill="FFFFFF"/>
          <w:lang w:val="en-US" w:eastAsia="zh-CN" w:bidi="ar"/>
        </w:rPr>
        <w:t>（四）平台建设情况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微软雅黑" w:hAnsi="微软雅黑" w:eastAsia="微软雅黑" w:cs="微软雅黑"/>
          <w:i w:val="0"/>
          <w:caps w:val="0"/>
          <w:color w:val="333333"/>
          <w:spacing w:val="0"/>
          <w:sz w:val="19"/>
          <w:szCs w:val="19"/>
        </w:rPr>
      </w:pPr>
      <w:r>
        <w:rPr>
          <w:rFonts w:hint="eastAsia" w:ascii="仿宋" w:hAnsi="仿宋" w:eastAsia="仿宋" w:cs="仿宋"/>
          <w:i w:val="0"/>
          <w:caps w:val="0"/>
          <w:color w:val="333333"/>
          <w:spacing w:val="0"/>
          <w:kern w:val="0"/>
          <w:sz w:val="32"/>
          <w:szCs w:val="32"/>
          <w:shd w:val="clear" w:fill="FFFFFF"/>
          <w:lang w:val="en-US" w:eastAsia="zh-CN" w:bidi="ar"/>
        </w:rPr>
        <w:t>充分发挥政府网站作为政府信息公开第一平台的作用。以政府网站为平台，以政务公开为手段，坚持在街道政府网站第一时间公布政务信息、做好政策解读、回应百姓关切。完成政府网站集约化。对照《安徽省政府网站集约化平台技术标准》和省市相关文件要求，做好集约化平台下的区级网站栏目规划、目录梳理和功能调整，规范数据接口和技术架构，完成与市政府网站集约化平台及应用系统的对接、清洗、归类、历史数据迁移及增量数据采集等任务，提升我街道政府信息公开平台规范化程度。强化街道门户网站信息公开主平台作用，通过信息资源整合，全面提升政务公开信息化、集中化水平，更大程度地满足群众和企业对政务信息的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643"/>
        <w:jc w:val="left"/>
        <w:rPr>
          <w:rFonts w:hint="eastAsia" w:ascii="楷体" w:hAnsi="楷体" w:eastAsia="楷体" w:cs="楷体"/>
          <w:i w:val="0"/>
          <w:caps w:val="0"/>
          <w:color w:val="333333"/>
          <w:spacing w:val="0"/>
          <w:sz w:val="19"/>
          <w:szCs w:val="19"/>
        </w:rPr>
      </w:pPr>
      <w:r>
        <w:rPr>
          <w:rFonts w:hint="eastAsia" w:ascii="楷体" w:hAnsi="楷体" w:eastAsia="楷体" w:cs="楷体"/>
          <w:i w:val="0"/>
          <w:caps w:val="0"/>
          <w:color w:val="333333"/>
          <w:spacing w:val="0"/>
          <w:kern w:val="0"/>
          <w:sz w:val="32"/>
          <w:szCs w:val="32"/>
          <w:shd w:val="clear" w:fill="FFFFFF"/>
          <w:lang w:val="en-US" w:eastAsia="zh-CN" w:bidi="ar"/>
        </w:rPr>
        <w:t>（五）监督保障情况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微软雅黑" w:hAnsi="微软雅黑" w:eastAsia="微软雅黑" w:cs="微软雅黑"/>
          <w:i w:val="0"/>
          <w:caps w:val="0"/>
          <w:color w:val="333333"/>
          <w:spacing w:val="0"/>
          <w:sz w:val="19"/>
          <w:szCs w:val="19"/>
        </w:rPr>
      </w:pPr>
      <w:r>
        <w:rPr>
          <w:rFonts w:hint="eastAsia" w:ascii="仿宋" w:hAnsi="仿宋" w:eastAsia="仿宋" w:cs="仿宋"/>
          <w:i w:val="0"/>
          <w:caps w:val="0"/>
          <w:color w:val="333333"/>
          <w:spacing w:val="0"/>
          <w:kern w:val="0"/>
          <w:sz w:val="32"/>
          <w:szCs w:val="32"/>
          <w:shd w:val="clear" w:fill="FFFFFF"/>
          <w:lang w:val="en-US" w:eastAsia="zh-CN" w:bidi="ar"/>
        </w:rPr>
        <w:t>在狠抓内部制约机制的同时，重点以《条例》实施为突破口，抓好外部监督制约机制的完善，建立健全长效管理机制，形成用制度规范行为、按制度办事、靠制度管人的机制。使政务公开工作更加扎实、有序开展。积极对市区考核结果进行整改，完善社会评议信息，将政务公开工作与法治政府建设、优化营商环境、效能督查、意识形态、网信工作有机结合，形成齐抓共管的良好局面。</w:t>
      </w:r>
    </w:p>
    <w:p>
      <w:pPr>
        <w:widowControl/>
        <w:spacing w:after="240" w:line="578" w:lineRule="exact"/>
        <w:ind w:firstLine="480"/>
        <w:rPr>
          <w:rFonts w:hint="eastAsia" w:ascii="黑体" w:hAnsi="黑体" w:eastAsia="黑体" w:cs="宋体"/>
          <w:bCs/>
          <w:kern w:val="0"/>
          <w:sz w:val="32"/>
          <w:szCs w:val="32"/>
        </w:rPr>
      </w:pPr>
    </w:p>
    <w:p>
      <w:pPr>
        <w:keepNext w:val="0"/>
        <w:keepLines w:val="0"/>
        <w:pageBreakBefore w:val="0"/>
        <w:widowControl/>
        <w:kinsoku/>
        <w:wordWrap/>
        <w:overflowPunct/>
        <w:topLinePunct w:val="0"/>
        <w:autoSpaceDE/>
        <w:autoSpaceDN/>
        <w:bidi w:val="0"/>
        <w:adjustRightInd/>
        <w:snapToGrid/>
        <w:spacing w:after="240" w:line="578" w:lineRule="exact"/>
        <w:ind w:firstLine="640" w:firstLineChars="200"/>
        <w:textAlignment w:val="auto"/>
        <w:rPr>
          <w:rFonts w:ascii="黑体" w:hAnsi="黑体" w:eastAsia="黑体" w:cs="宋体"/>
          <w:kern w:val="0"/>
          <w:sz w:val="32"/>
          <w:szCs w:val="32"/>
        </w:rPr>
      </w:pPr>
      <w:r>
        <w:rPr>
          <w:rFonts w:hint="eastAsia" w:ascii="黑体" w:hAnsi="黑体" w:eastAsia="黑体" w:cs="宋体"/>
          <w:bCs/>
          <w:kern w:val="0"/>
          <w:sz w:val="32"/>
          <w:szCs w:val="32"/>
        </w:rPr>
        <w:t>二、主动公开政府信息情况</w:t>
      </w:r>
    </w:p>
    <w:tbl>
      <w:tblPr>
        <w:tblStyle w:val="5"/>
        <w:tblW w:w="9310" w:type="dxa"/>
        <w:tblInd w:w="132" w:type="dxa"/>
        <w:tblLayout w:type="autofit"/>
        <w:tblCellMar>
          <w:top w:w="0" w:type="dxa"/>
          <w:left w:w="0" w:type="dxa"/>
          <w:bottom w:w="0" w:type="dxa"/>
          <w:right w:w="0" w:type="dxa"/>
        </w:tblCellMar>
      </w:tblPr>
      <w:tblGrid>
        <w:gridCol w:w="3723"/>
        <w:gridCol w:w="2369"/>
        <w:gridCol w:w="1533"/>
        <w:gridCol w:w="1685"/>
      </w:tblGrid>
      <w:tr>
        <w:trPr>
          <w:trHeight w:val="495" w:hRule="atLeast"/>
        </w:trPr>
        <w:tc>
          <w:tcPr>
            <w:tcW w:w="931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第二十条第（一）项</w:t>
            </w:r>
          </w:p>
        </w:tc>
      </w:tr>
      <w:tr>
        <w:tblPrEx>
          <w:tblCellMar>
            <w:top w:w="0" w:type="dxa"/>
            <w:left w:w="0" w:type="dxa"/>
            <w:bottom w:w="0" w:type="dxa"/>
            <w:right w:w="0" w:type="dxa"/>
          </w:tblCellMar>
        </w:tblPrEx>
        <w:trPr>
          <w:trHeight w:val="882"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信息内容</w:t>
            </w:r>
          </w:p>
        </w:tc>
        <w:tc>
          <w:tcPr>
            <w:tcW w:w="236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本年新</w:t>
            </w:r>
            <w:r>
              <w:rPr>
                <w:rFonts w:ascii="宋体" w:cs="宋体"/>
                <w:kern w:val="0"/>
                <w:sz w:val="20"/>
                <w:szCs w:val="20"/>
              </w:rPr>
              <w:br w:type="textWrapping"/>
            </w:r>
            <w:r>
              <w:rPr>
                <w:rFonts w:hint="eastAsia" w:ascii="宋体" w:hAnsi="宋体" w:cs="宋体"/>
                <w:kern w:val="0"/>
                <w:sz w:val="20"/>
                <w:szCs w:val="20"/>
              </w:rPr>
              <w:t>制作数量</w:t>
            </w:r>
          </w:p>
        </w:tc>
        <w:tc>
          <w:tcPr>
            <w:tcW w:w="15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本年新</w:t>
            </w:r>
            <w:r>
              <w:rPr>
                <w:rFonts w:ascii="宋体" w:cs="宋体"/>
                <w:kern w:val="0"/>
                <w:sz w:val="20"/>
                <w:szCs w:val="20"/>
              </w:rPr>
              <w:br w:type="textWrapping"/>
            </w:r>
            <w:r>
              <w:rPr>
                <w:rFonts w:hint="eastAsia" w:ascii="宋体" w:hAnsi="宋体" w:cs="宋体"/>
                <w:kern w:val="0"/>
                <w:sz w:val="20"/>
                <w:szCs w:val="20"/>
              </w:rPr>
              <w:t>公开数量</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对外公开总数量</w:t>
            </w:r>
          </w:p>
        </w:tc>
      </w:tr>
      <w:tr>
        <w:tblPrEx>
          <w:tblCellMar>
            <w:top w:w="0" w:type="dxa"/>
            <w:left w:w="0" w:type="dxa"/>
            <w:bottom w:w="0" w:type="dxa"/>
            <w:right w:w="0" w:type="dxa"/>
          </w:tblCellMar>
        </w:tblPrEx>
        <w:trPr>
          <w:trHeight w:val="523"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规章</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5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471"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规范性文件</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5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480"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第二十条第（五）项</w:t>
            </w:r>
          </w:p>
        </w:tc>
      </w:tr>
      <w:tr>
        <w:tblPrEx>
          <w:tblCellMar>
            <w:top w:w="0" w:type="dxa"/>
            <w:left w:w="0" w:type="dxa"/>
            <w:bottom w:w="0" w:type="dxa"/>
            <w:right w:w="0" w:type="dxa"/>
          </w:tblCellMar>
        </w:tblPrEx>
        <w:trPr>
          <w:trHeight w:val="634"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信息内容</w:t>
            </w:r>
          </w:p>
        </w:tc>
        <w:tc>
          <w:tcPr>
            <w:tcW w:w="236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上一年项目数量</w:t>
            </w:r>
          </w:p>
        </w:tc>
        <w:tc>
          <w:tcPr>
            <w:tcW w:w="15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本年增</w:t>
            </w:r>
            <w:r>
              <w:rPr>
                <w:rFonts w:ascii="宋体" w:hAnsi="宋体" w:cs="宋体"/>
                <w:kern w:val="0"/>
                <w:sz w:val="20"/>
                <w:szCs w:val="20"/>
              </w:rPr>
              <w:t>/</w:t>
            </w:r>
            <w:r>
              <w:rPr>
                <w:rFonts w:hint="eastAsia" w:ascii="宋体" w:hAnsi="宋体" w:cs="宋体"/>
                <w:kern w:val="0"/>
                <w:sz w:val="20"/>
                <w:szCs w:val="20"/>
              </w:rPr>
              <w:t>减</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处理决定数量</w:t>
            </w:r>
          </w:p>
        </w:tc>
      </w:tr>
      <w:tr>
        <w:tblPrEx>
          <w:tblCellMar>
            <w:top w:w="0" w:type="dxa"/>
            <w:left w:w="0" w:type="dxa"/>
            <w:bottom w:w="0" w:type="dxa"/>
            <w:right w:w="0" w:type="dxa"/>
          </w:tblCellMar>
        </w:tblPrEx>
        <w:trPr>
          <w:trHeight w:val="528" w:hRule="atLeast"/>
        </w:trPr>
        <w:tc>
          <w:tcPr>
            <w:tcW w:w="3723" w:type="dxa"/>
            <w:tcBorders>
              <w:top w:val="nil"/>
              <w:left w:val="single" w:color="auto" w:sz="8" w:space="0"/>
              <w:bottom w:val="single" w:color="auto" w:sz="8" w:space="0"/>
              <w:right w:val="single" w:color="auto" w:sz="8" w:space="0"/>
            </w:tcBorders>
            <w:noWrap/>
            <w:vAlign w:val="center"/>
          </w:tcPr>
          <w:p>
            <w:pPr>
              <w:widowControl/>
              <w:spacing w:line="578" w:lineRule="exact"/>
              <w:jc w:val="center"/>
              <w:rPr>
                <w:rFonts w:ascii="宋体" w:cs="宋体"/>
                <w:kern w:val="0"/>
                <w:sz w:val="24"/>
              </w:rPr>
            </w:pPr>
            <w:r>
              <w:rPr>
                <w:rFonts w:hint="eastAsia" w:ascii="宋体" w:hAnsi="宋体" w:cs="宋体"/>
                <w:kern w:val="0"/>
                <w:sz w:val="20"/>
                <w:szCs w:val="20"/>
              </w:rPr>
              <w:t>行政许可</w:t>
            </w:r>
          </w:p>
        </w:tc>
        <w:tc>
          <w:tcPr>
            <w:tcW w:w="2369" w:type="dxa"/>
            <w:tcBorders>
              <w:top w:val="nil"/>
              <w:left w:val="nil"/>
              <w:bottom w:val="single" w:color="auto" w:sz="8" w:space="0"/>
              <w:right w:val="single" w:color="auto" w:sz="8" w:space="0"/>
            </w:tcBorders>
            <w:noWrap/>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0</w:t>
            </w:r>
          </w:p>
        </w:tc>
        <w:tc>
          <w:tcPr>
            <w:tcW w:w="15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0</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550" w:hRule="atLeast"/>
        </w:trPr>
        <w:tc>
          <w:tcPr>
            <w:tcW w:w="3723" w:type="dxa"/>
            <w:tcBorders>
              <w:top w:val="nil"/>
              <w:left w:val="single" w:color="auto" w:sz="8" w:space="0"/>
              <w:bottom w:val="single" w:color="auto" w:sz="8" w:space="0"/>
              <w:right w:val="single" w:color="auto" w:sz="8" w:space="0"/>
            </w:tcBorders>
            <w:noWrap/>
            <w:vAlign w:val="center"/>
          </w:tcPr>
          <w:p>
            <w:pPr>
              <w:widowControl/>
              <w:spacing w:line="578" w:lineRule="exact"/>
              <w:jc w:val="center"/>
              <w:rPr>
                <w:rFonts w:ascii="宋体" w:cs="宋体"/>
                <w:kern w:val="0"/>
                <w:sz w:val="24"/>
              </w:rPr>
            </w:pPr>
            <w:r>
              <w:rPr>
                <w:rFonts w:hint="eastAsia" w:ascii="宋体" w:hAnsi="宋体" w:cs="宋体"/>
                <w:kern w:val="0"/>
                <w:sz w:val="20"/>
                <w:szCs w:val="20"/>
              </w:rPr>
              <w:t>其他对外管理服务事项</w:t>
            </w:r>
          </w:p>
        </w:tc>
        <w:tc>
          <w:tcPr>
            <w:tcW w:w="2369" w:type="dxa"/>
            <w:tcBorders>
              <w:top w:val="nil"/>
              <w:left w:val="nil"/>
              <w:bottom w:val="single" w:color="auto" w:sz="8" w:space="0"/>
              <w:right w:val="single" w:color="auto" w:sz="8" w:space="0"/>
            </w:tcBorders>
            <w:noWrap/>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0</w:t>
            </w:r>
          </w:p>
        </w:tc>
        <w:tc>
          <w:tcPr>
            <w:tcW w:w="15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0</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406"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第二十条第（六）项</w:t>
            </w:r>
          </w:p>
        </w:tc>
      </w:tr>
      <w:tr>
        <w:tblPrEx>
          <w:tblCellMar>
            <w:top w:w="0" w:type="dxa"/>
            <w:left w:w="0" w:type="dxa"/>
            <w:bottom w:w="0" w:type="dxa"/>
            <w:right w:w="0" w:type="dxa"/>
          </w:tblCellMar>
        </w:tblPrEx>
        <w:trPr>
          <w:trHeight w:val="634"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信息内容</w:t>
            </w:r>
          </w:p>
        </w:tc>
        <w:tc>
          <w:tcPr>
            <w:tcW w:w="236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上一年项目数量</w:t>
            </w:r>
          </w:p>
        </w:tc>
        <w:tc>
          <w:tcPr>
            <w:tcW w:w="15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本年增</w:t>
            </w:r>
            <w:r>
              <w:rPr>
                <w:rFonts w:ascii="宋体" w:hAnsi="宋体" w:cs="宋体"/>
                <w:kern w:val="0"/>
                <w:sz w:val="20"/>
                <w:szCs w:val="20"/>
              </w:rPr>
              <w:t>/</w:t>
            </w:r>
            <w:r>
              <w:rPr>
                <w:rFonts w:hint="eastAsia" w:ascii="宋体" w:hAnsi="宋体" w:cs="宋体"/>
                <w:kern w:val="0"/>
                <w:sz w:val="20"/>
                <w:szCs w:val="20"/>
              </w:rPr>
              <w:t>减</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处理决定数量</w:t>
            </w:r>
          </w:p>
        </w:tc>
      </w:tr>
      <w:tr>
        <w:tblPrEx>
          <w:tblCellMar>
            <w:top w:w="0" w:type="dxa"/>
            <w:left w:w="0" w:type="dxa"/>
            <w:bottom w:w="0" w:type="dxa"/>
            <w:right w:w="0" w:type="dxa"/>
          </w:tblCellMar>
        </w:tblPrEx>
        <w:trPr>
          <w:trHeight w:val="430" w:hRule="atLeast"/>
        </w:trPr>
        <w:tc>
          <w:tcPr>
            <w:tcW w:w="3723" w:type="dxa"/>
            <w:tcBorders>
              <w:top w:val="nil"/>
              <w:left w:val="single" w:color="auto" w:sz="8" w:space="0"/>
              <w:bottom w:val="single" w:color="auto" w:sz="8" w:space="0"/>
              <w:right w:val="single" w:color="auto" w:sz="8" w:space="0"/>
            </w:tcBorders>
            <w:noWrap/>
            <w:vAlign w:val="center"/>
          </w:tcPr>
          <w:p>
            <w:pPr>
              <w:widowControl/>
              <w:spacing w:line="578" w:lineRule="exact"/>
              <w:jc w:val="center"/>
              <w:rPr>
                <w:rFonts w:ascii="宋体" w:cs="宋体"/>
                <w:kern w:val="0"/>
                <w:sz w:val="24"/>
              </w:rPr>
            </w:pPr>
            <w:r>
              <w:rPr>
                <w:rFonts w:hint="eastAsia" w:ascii="宋体" w:hAnsi="宋体" w:cs="宋体"/>
                <w:kern w:val="0"/>
                <w:sz w:val="20"/>
                <w:szCs w:val="20"/>
              </w:rPr>
              <w:t>行政处罚</w:t>
            </w:r>
          </w:p>
        </w:tc>
        <w:tc>
          <w:tcPr>
            <w:tcW w:w="2369" w:type="dxa"/>
            <w:tcBorders>
              <w:top w:val="nil"/>
              <w:left w:val="nil"/>
              <w:bottom w:val="single" w:color="auto" w:sz="8" w:space="0"/>
              <w:right w:val="single" w:color="auto" w:sz="8" w:space="0"/>
            </w:tcBorders>
            <w:noWrap/>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0</w:t>
            </w:r>
          </w:p>
        </w:tc>
        <w:tc>
          <w:tcPr>
            <w:tcW w:w="15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0</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409" w:hRule="atLeast"/>
        </w:trPr>
        <w:tc>
          <w:tcPr>
            <w:tcW w:w="3723" w:type="dxa"/>
            <w:tcBorders>
              <w:top w:val="nil"/>
              <w:left w:val="single" w:color="auto" w:sz="8" w:space="0"/>
              <w:bottom w:val="single" w:color="auto" w:sz="8" w:space="0"/>
              <w:right w:val="single" w:color="auto" w:sz="8" w:space="0"/>
            </w:tcBorders>
            <w:noWrap/>
            <w:vAlign w:val="center"/>
          </w:tcPr>
          <w:p>
            <w:pPr>
              <w:widowControl/>
              <w:spacing w:line="578" w:lineRule="exact"/>
              <w:jc w:val="center"/>
              <w:rPr>
                <w:rFonts w:ascii="宋体" w:cs="宋体"/>
                <w:kern w:val="0"/>
                <w:sz w:val="24"/>
              </w:rPr>
            </w:pPr>
            <w:r>
              <w:rPr>
                <w:rFonts w:hint="eastAsia" w:ascii="宋体" w:hAnsi="宋体" w:cs="宋体"/>
                <w:kern w:val="0"/>
                <w:sz w:val="20"/>
                <w:szCs w:val="20"/>
              </w:rPr>
              <w:t>行政强制</w:t>
            </w:r>
          </w:p>
        </w:tc>
        <w:tc>
          <w:tcPr>
            <w:tcW w:w="2369" w:type="dxa"/>
            <w:tcBorders>
              <w:top w:val="nil"/>
              <w:left w:val="nil"/>
              <w:bottom w:val="single" w:color="auto" w:sz="8" w:space="0"/>
              <w:right w:val="single" w:color="auto" w:sz="8" w:space="0"/>
            </w:tcBorders>
            <w:noWrap/>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0</w:t>
            </w:r>
          </w:p>
        </w:tc>
        <w:tc>
          <w:tcPr>
            <w:tcW w:w="15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0</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474"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第二十条第（八）项</w:t>
            </w:r>
          </w:p>
        </w:tc>
      </w:tr>
      <w:tr>
        <w:tblPrEx>
          <w:tblCellMar>
            <w:top w:w="0" w:type="dxa"/>
            <w:left w:w="0" w:type="dxa"/>
            <w:bottom w:w="0" w:type="dxa"/>
            <w:right w:w="0" w:type="dxa"/>
          </w:tblCellMar>
        </w:tblPrEx>
        <w:trPr>
          <w:trHeight w:val="270"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信息内容</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上一年项目数量</w:t>
            </w:r>
          </w:p>
        </w:tc>
        <w:tc>
          <w:tcPr>
            <w:tcW w:w="3218"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本年增</w:t>
            </w:r>
            <w:r>
              <w:rPr>
                <w:rFonts w:ascii="宋体" w:hAnsi="宋体" w:cs="宋体"/>
                <w:kern w:val="0"/>
                <w:sz w:val="20"/>
                <w:szCs w:val="20"/>
              </w:rPr>
              <w:t>/</w:t>
            </w:r>
            <w:r>
              <w:rPr>
                <w:rFonts w:hint="eastAsia" w:ascii="宋体" w:hAnsi="宋体" w:cs="宋体"/>
                <w:kern w:val="0"/>
                <w:sz w:val="20"/>
                <w:szCs w:val="20"/>
              </w:rPr>
              <w:t>减</w:t>
            </w:r>
          </w:p>
        </w:tc>
      </w:tr>
      <w:tr>
        <w:tblPrEx>
          <w:tblCellMar>
            <w:top w:w="0" w:type="dxa"/>
            <w:left w:w="0" w:type="dxa"/>
            <w:bottom w:w="0" w:type="dxa"/>
            <w:right w:w="0" w:type="dxa"/>
          </w:tblCellMar>
        </w:tblPrEx>
        <w:trPr>
          <w:trHeight w:val="551"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行政事业性收费</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0</w:t>
            </w:r>
          </w:p>
        </w:tc>
        <w:tc>
          <w:tcPr>
            <w:tcW w:w="3218"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476"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第二十条第（九）项</w:t>
            </w:r>
          </w:p>
        </w:tc>
      </w:tr>
      <w:tr>
        <w:tblPrEx>
          <w:tblCellMar>
            <w:top w:w="0" w:type="dxa"/>
            <w:left w:w="0" w:type="dxa"/>
            <w:bottom w:w="0" w:type="dxa"/>
            <w:right w:w="0" w:type="dxa"/>
          </w:tblCellMar>
        </w:tblPrEx>
        <w:trPr>
          <w:trHeight w:val="585"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信息内容</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采购项目数量</w:t>
            </w:r>
          </w:p>
        </w:tc>
        <w:tc>
          <w:tcPr>
            <w:tcW w:w="3218"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采购总金额</w:t>
            </w:r>
          </w:p>
        </w:tc>
      </w:tr>
      <w:tr>
        <w:tblPrEx>
          <w:tblCellMar>
            <w:top w:w="0" w:type="dxa"/>
            <w:left w:w="0" w:type="dxa"/>
            <w:bottom w:w="0" w:type="dxa"/>
            <w:right w:w="0" w:type="dxa"/>
          </w:tblCellMar>
        </w:tblPrEx>
        <w:trPr>
          <w:trHeight w:val="539"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政府集中采购</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4</w:t>
            </w:r>
          </w:p>
        </w:tc>
        <w:tc>
          <w:tcPr>
            <w:tcW w:w="3218"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line="578" w:lineRule="exact"/>
              <w:jc w:val="center"/>
              <w:rPr>
                <w:rFonts w:hint="default" w:ascii="宋体" w:eastAsia="宋体" w:cs="宋体"/>
                <w:kern w:val="0"/>
                <w:sz w:val="24"/>
                <w:lang w:val="en-US" w:eastAsia="zh-CN"/>
              </w:rPr>
            </w:pPr>
            <w:r>
              <w:rPr>
                <w:rFonts w:hint="eastAsia" w:ascii="宋体" w:cs="宋体"/>
                <w:kern w:val="0"/>
                <w:sz w:val="24"/>
                <w:lang w:val="en-US" w:eastAsia="zh-CN"/>
              </w:rPr>
              <w:t>407718</w:t>
            </w:r>
          </w:p>
        </w:tc>
      </w:tr>
    </w:tbl>
    <w:p>
      <w:pPr>
        <w:widowControl/>
        <w:spacing w:after="240" w:line="578" w:lineRule="exact"/>
        <w:rPr>
          <w:rFonts w:ascii="宋体" w:cs="宋体"/>
          <w:b/>
          <w:bCs/>
          <w:kern w:val="0"/>
          <w:sz w:val="24"/>
        </w:rPr>
      </w:pPr>
    </w:p>
    <w:p>
      <w:pPr>
        <w:widowControl/>
        <w:spacing w:after="240" w:line="578" w:lineRule="exact"/>
        <w:rPr>
          <w:rFonts w:hint="eastAsia" w:ascii="黑体" w:hAnsi="黑体" w:eastAsia="黑体" w:cs="宋体"/>
          <w:bCs/>
          <w:kern w:val="0"/>
          <w:sz w:val="32"/>
          <w:szCs w:val="32"/>
        </w:rPr>
      </w:pPr>
    </w:p>
    <w:p>
      <w:pPr>
        <w:keepNext w:val="0"/>
        <w:keepLines w:val="0"/>
        <w:pageBreakBefore w:val="0"/>
        <w:widowControl/>
        <w:kinsoku/>
        <w:wordWrap/>
        <w:overflowPunct/>
        <w:topLinePunct w:val="0"/>
        <w:autoSpaceDE/>
        <w:autoSpaceDN/>
        <w:bidi w:val="0"/>
        <w:adjustRightInd/>
        <w:snapToGrid/>
        <w:spacing w:after="240" w:line="578" w:lineRule="exact"/>
        <w:ind w:firstLine="640" w:firstLineChars="200"/>
        <w:textAlignment w:val="auto"/>
        <w:rPr>
          <w:rFonts w:ascii="黑体" w:hAnsi="黑体" w:eastAsia="黑体" w:cs="宋体"/>
          <w:kern w:val="0"/>
          <w:sz w:val="32"/>
          <w:szCs w:val="32"/>
        </w:rPr>
      </w:pPr>
      <w:r>
        <w:rPr>
          <w:rFonts w:hint="eastAsia" w:ascii="黑体" w:hAnsi="黑体" w:eastAsia="黑体" w:cs="宋体"/>
          <w:bCs/>
          <w:kern w:val="0"/>
          <w:sz w:val="32"/>
          <w:szCs w:val="32"/>
        </w:rPr>
        <w:t>三、收到和处理政府信息公开申请情况</w:t>
      </w:r>
    </w:p>
    <w:tbl>
      <w:tblPr>
        <w:tblStyle w:val="5"/>
        <w:tblW w:w="9356" w:type="dxa"/>
        <w:tblInd w:w="132" w:type="dxa"/>
        <w:tblLayout w:type="autofit"/>
        <w:tblCellMar>
          <w:top w:w="0" w:type="dxa"/>
          <w:left w:w="0" w:type="dxa"/>
          <w:bottom w:w="0" w:type="dxa"/>
          <w:right w:w="0" w:type="dxa"/>
        </w:tblCellMar>
      </w:tblPr>
      <w:tblGrid>
        <w:gridCol w:w="1053"/>
        <w:gridCol w:w="855"/>
        <w:gridCol w:w="1919"/>
        <w:gridCol w:w="851"/>
        <w:gridCol w:w="709"/>
        <w:gridCol w:w="850"/>
        <w:gridCol w:w="851"/>
        <w:gridCol w:w="850"/>
        <w:gridCol w:w="709"/>
        <w:gridCol w:w="709"/>
      </w:tblGrid>
      <w:tr>
        <w:tblPrEx>
          <w:tblCellMar>
            <w:top w:w="0" w:type="dxa"/>
            <w:left w:w="0" w:type="dxa"/>
            <w:bottom w:w="0" w:type="dxa"/>
            <w:right w:w="0" w:type="dxa"/>
          </w:tblCellMar>
        </w:tblPrEx>
        <w:tc>
          <w:tcPr>
            <w:tcW w:w="382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（本列数据的勾稽关系为：第一项加第二项之和，等于第三项加第四项之和）</w:t>
            </w:r>
          </w:p>
        </w:tc>
        <w:tc>
          <w:tcPr>
            <w:tcW w:w="5529"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申请人情况</w:t>
            </w:r>
          </w:p>
        </w:tc>
      </w:tr>
      <w:tr>
        <w:tblPrEx>
          <w:tblCellMar>
            <w:top w:w="0" w:type="dxa"/>
            <w:left w:w="0" w:type="dxa"/>
            <w:bottom w:w="0" w:type="dxa"/>
            <w:right w:w="0" w:type="dxa"/>
          </w:tblCellMar>
        </w:tblPrEx>
        <w:tc>
          <w:tcPr>
            <w:tcW w:w="382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自然人</w:t>
            </w:r>
          </w:p>
        </w:tc>
        <w:tc>
          <w:tcPr>
            <w:tcW w:w="3969"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法人或其他组织</w:t>
            </w:r>
          </w:p>
        </w:tc>
        <w:tc>
          <w:tcPr>
            <w:tcW w:w="709"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总计</w:t>
            </w:r>
          </w:p>
        </w:tc>
      </w:tr>
      <w:tr>
        <w:tblPrEx>
          <w:tblCellMar>
            <w:top w:w="0" w:type="dxa"/>
            <w:left w:w="0" w:type="dxa"/>
            <w:bottom w:w="0" w:type="dxa"/>
            <w:right w:w="0" w:type="dxa"/>
          </w:tblCellMar>
        </w:tblPrEx>
        <w:tc>
          <w:tcPr>
            <w:tcW w:w="382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851" w:type="dxa"/>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商业企业</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科研机构</w:t>
            </w:r>
          </w:p>
        </w:tc>
        <w:tc>
          <w:tcPr>
            <w:tcW w:w="8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社会公益组织</w:t>
            </w:r>
          </w:p>
        </w:tc>
        <w:tc>
          <w:tcPr>
            <w:tcW w:w="8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法律服务机构</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其他</w:t>
            </w:r>
          </w:p>
        </w:tc>
        <w:tc>
          <w:tcPr>
            <w:tcW w:w="709" w:type="dxa"/>
            <w:vMerge w:val="continue"/>
            <w:tcBorders>
              <w:top w:val="single" w:color="auto" w:sz="8" w:space="0"/>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r>
      <w:tr>
        <w:tblPrEx>
          <w:tblCellMar>
            <w:top w:w="0" w:type="dxa"/>
            <w:left w:w="0" w:type="dxa"/>
            <w:bottom w:w="0" w:type="dxa"/>
            <w:right w:w="0" w:type="dxa"/>
          </w:tblCellMar>
        </w:tblPrEx>
        <w:tc>
          <w:tcPr>
            <w:tcW w:w="3827" w:type="dxa"/>
            <w:gridSpan w:val="3"/>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r>
              <w:rPr>
                <w:rFonts w:hint="eastAsia" w:ascii="宋体" w:hAnsi="宋体" w:cs="宋体"/>
                <w:kern w:val="0"/>
                <w:sz w:val="20"/>
                <w:szCs w:val="20"/>
              </w:rPr>
              <w:t>一、本年新收政府信息公开申请数量</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r>
      <w:tr>
        <w:tblPrEx>
          <w:tblCellMar>
            <w:top w:w="0" w:type="dxa"/>
            <w:left w:w="0" w:type="dxa"/>
            <w:bottom w:w="0" w:type="dxa"/>
            <w:right w:w="0" w:type="dxa"/>
          </w:tblCellMar>
        </w:tblPrEx>
        <w:tc>
          <w:tcPr>
            <w:tcW w:w="3827" w:type="dxa"/>
            <w:gridSpan w:val="3"/>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r>
              <w:rPr>
                <w:rFonts w:hint="eastAsia" w:ascii="宋体" w:hAnsi="宋体" w:cs="宋体"/>
                <w:kern w:val="0"/>
                <w:sz w:val="20"/>
                <w:szCs w:val="20"/>
              </w:rPr>
              <w:t>二、上年结转政府信息公开申请数量</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restart"/>
            <w:tcBorders>
              <w:top w:val="nil"/>
              <w:left w:val="single" w:color="auto" w:sz="8" w:space="0"/>
              <w:bottom w:val="single" w:color="auto" w:sz="8" w:space="0"/>
              <w:right w:val="single" w:color="auto" w:sz="8" w:space="0"/>
            </w:tcBorders>
            <w:vAlign w:val="center"/>
          </w:tcPr>
          <w:p>
            <w:pPr>
              <w:widowControl/>
              <w:spacing w:line="578" w:lineRule="exact"/>
              <w:jc w:val="center"/>
              <w:rPr>
                <w:rFonts w:ascii="宋体" w:cs="宋体"/>
                <w:kern w:val="0"/>
                <w:sz w:val="24"/>
              </w:rPr>
            </w:pPr>
            <w:r>
              <w:rPr>
                <w:rFonts w:hint="eastAsia" w:ascii="宋体" w:hAnsi="宋体" w:cs="宋体"/>
                <w:kern w:val="0"/>
                <w:sz w:val="20"/>
                <w:szCs w:val="20"/>
              </w:rPr>
              <w:t>三、本年度办理结果</w:t>
            </w:r>
          </w:p>
        </w:tc>
        <w:tc>
          <w:tcPr>
            <w:tcW w:w="2774" w:type="dxa"/>
            <w:gridSpan w:val="2"/>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r>
              <w:rPr>
                <w:rFonts w:hint="eastAsia" w:ascii="楷体" w:hAnsi="楷体" w:eastAsia="楷体" w:cs="宋体"/>
                <w:kern w:val="0"/>
                <w:sz w:val="20"/>
                <w:szCs w:val="20"/>
              </w:rPr>
              <w:t>（一）予以公开</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2774" w:type="dxa"/>
            <w:gridSpan w:val="2"/>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r>
              <w:rPr>
                <w:rFonts w:hint="eastAsia" w:ascii="楷体" w:hAnsi="楷体" w:eastAsia="楷体" w:cs="宋体"/>
                <w:kern w:val="0"/>
                <w:sz w:val="20"/>
                <w:szCs w:val="20"/>
              </w:rPr>
              <w:t>（二）部分公开（区分处理的，只计这一情形，不计其他情形）</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hint="eastAsia" w:ascii="楷体" w:hAnsi="楷体" w:eastAsia="楷体" w:cs="宋体"/>
                <w:kern w:val="0"/>
                <w:sz w:val="20"/>
                <w:szCs w:val="20"/>
              </w:rPr>
              <w:t>（三）不予公开</w:t>
            </w: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1.</w:t>
            </w:r>
            <w:r>
              <w:rPr>
                <w:rFonts w:hint="eastAsia" w:ascii="楷体" w:hAnsi="楷体" w:eastAsia="楷体" w:cs="宋体"/>
                <w:kern w:val="0"/>
                <w:sz w:val="20"/>
                <w:szCs w:val="20"/>
              </w:rPr>
              <w:t>属于国家秘密</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2.</w:t>
            </w:r>
            <w:r>
              <w:rPr>
                <w:rFonts w:hint="eastAsia" w:ascii="楷体" w:hAnsi="楷体" w:eastAsia="楷体" w:cs="宋体"/>
                <w:kern w:val="0"/>
                <w:sz w:val="20"/>
                <w:szCs w:val="20"/>
              </w:rPr>
              <w:t>其他法律行政法规禁止公开</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3.</w:t>
            </w:r>
            <w:r>
              <w:rPr>
                <w:rFonts w:hint="eastAsia" w:ascii="楷体" w:hAnsi="楷体" w:eastAsia="楷体" w:cs="宋体"/>
                <w:kern w:val="0"/>
                <w:sz w:val="20"/>
                <w:szCs w:val="20"/>
              </w:rPr>
              <w:t>危及“三安全一稳定”</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4.</w:t>
            </w:r>
            <w:r>
              <w:rPr>
                <w:rFonts w:hint="eastAsia" w:ascii="楷体" w:hAnsi="楷体" w:eastAsia="楷体" w:cs="宋体"/>
                <w:kern w:val="0"/>
                <w:sz w:val="20"/>
                <w:szCs w:val="20"/>
              </w:rPr>
              <w:t>保护第三方合法权益</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5.</w:t>
            </w:r>
            <w:r>
              <w:rPr>
                <w:rFonts w:hint="eastAsia" w:ascii="楷体" w:hAnsi="楷体" w:eastAsia="楷体" w:cs="宋体"/>
                <w:kern w:val="0"/>
                <w:sz w:val="20"/>
                <w:szCs w:val="20"/>
              </w:rPr>
              <w:t>属于三类内部事务信息</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6.</w:t>
            </w:r>
            <w:r>
              <w:rPr>
                <w:rFonts w:hint="eastAsia" w:ascii="楷体" w:hAnsi="楷体" w:eastAsia="楷体" w:cs="宋体"/>
                <w:kern w:val="0"/>
                <w:sz w:val="20"/>
                <w:szCs w:val="20"/>
              </w:rPr>
              <w:t>属于四类过程性信息</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7.</w:t>
            </w:r>
            <w:r>
              <w:rPr>
                <w:rFonts w:hint="eastAsia" w:ascii="楷体" w:hAnsi="楷体" w:eastAsia="楷体" w:cs="宋体"/>
                <w:kern w:val="0"/>
                <w:sz w:val="20"/>
                <w:szCs w:val="20"/>
              </w:rPr>
              <w:t>属于行政执法案卷</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8.</w:t>
            </w:r>
            <w:r>
              <w:rPr>
                <w:rFonts w:hint="eastAsia" w:ascii="楷体" w:hAnsi="楷体" w:eastAsia="楷体" w:cs="宋体"/>
                <w:kern w:val="0"/>
                <w:sz w:val="20"/>
                <w:szCs w:val="20"/>
              </w:rPr>
              <w:t>属于行政查询事项</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hint="eastAsia" w:ascii="楷体" w:hAnsi="楷体" w:eastAsia="楷体" w:cs="宋体"/>
                <w:kern w:val="0"/>
                <w:sz w:val="20"/>
                <w:szCs w:val="20"/>
              </w:rPr>
              <w:t>（四）无法提供</w:t>
            </w: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1.</w:t>
            </w:r>
            <w:r>
              <w:rPr>
                <w:rFonts w:hint="eastAsia" w:ascii="楷体" w:hAnsi="楷体" w:eastAsia="楷体" w:cs="宋体"/>
                <w:kern w:val="0"/>
                <w:sz w:val="20"/>
                <w:szCs w:val="20"/>
              </w:rPr>
              <w:t>本机关不掌握相关政府信息</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2.</w:t>
            </w:r>
            <w:r>
              <w:rPr>
                <w:rFonts w:hint="eastAsia" w:ascii="楷体" w:hAnsi="楷体" w:eastAsia="楷体" w:cs="宋体"/>
                <w:kern w:val="0"/>
                <w:sz w:val="20"/>
                <w:szCs w:val="20"/>
              </w:rPr>
              <w:t>没有现成信息需要另行制作</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3.</w:t>
            </w:r>
            <w:r>
              <w:rPr>
                <w:rFonts w:hint="eastAsia" w:ascii="楷体" w:hAnsi="楷体" w:eastAsia="楷体" w:cs="宋体"/>
                <w:kern w:val="0"/>
                <w:sz w:val="20"/>
                <w:szCs w:val="20"/>
              </w:rPr>
              <w:t>补正后申请内容仍不明确</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hint="eastAsia" w:ascii="楷体" w:hAnsi="楷体" w:eastAsia="楷体" w:cs="宋体"/>
                <w:kern w:val="0"/>
                <w:sz w:val="20"/>
                <w:szCs w:val="20"/>
              </w:rPr>
              <w:t>（五）不予处理</w:t>
            </w: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1.</w:t>
            </w:r>
            <w:r>
              <w:rPr>
                <w:rFonts w:hint="eastAsia" w:ascii="楷体" w:hAnsi="楷体" w:eastAsia="楷体" w:cs="宋体"/>
                <w:kern w:val="0"/>
                <w:sz w:val="20"/>
                <w:szCs w:val="20"/>
              </w:rPr>
              <w:t>信访举报投诉类申请</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2.</w:t>
            </w:r>
            <w:r>
              <w:rPr>
                <w:rFonts w:hint="eastAsia" w:ascii="楷体" w:hAnsi="楷体" w:eastAsia="楷体" w:cs="宋体"/>
                <w:kern w:val="0"/>
                <w:sz w:val="20"/>
                <w:szCs w:val="20"/>
              </w:rPr>
              <w:t>重复申请</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3.</w:t>
            </w:r>
            <w:r>
              <w:rPr>
                <w:rFonts w:hint="eastAsia" w:ascii="楷体" w:hAnsi="楷体" w:eastAsia="楷体" w:cs="宋体"/>
                <w:kern w:val="0"/>
                <w:sz w:val="20"/>
                <w:szCs w:val="20"/>
              </w:rPr>
              <w:t>要求提供公开出版物</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4.</w:t>
            </w:r>
            <w:r>
              <w:rPr>
                <w:rFonts w:hint="eastAsia" w:ascii="楷体" w:hAnsi="楷体" w:eastAsia="楷体" w:cs="宋体"/>
                <w:kern w:val="0"/>
                <w:sz w:val="20"/>
                <w:szCs w:val="20"/>
              </w:rPr>
              <w:t>无正当理由大量反复申请</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5.</w:t>
            </w:r>
            <w:r>
              <w:rPr>
                <w:rFonts w:hint="eastAsia" w:ascii="楷体" w:hAnsi="楷体" w:eastAsia="楷体" w:cs="宋体"/>
                <w:kern w:val="0"/>
                <w:sz w:val="20"/>
                <w:szCs w:val="20"/>
              </w:rPr>
              <w:t>要求行政机关确认或重新出具已获取信息</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2774" w:type="dxa"/>
            <w:gridSpan w:val="2"/>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r>
              <w:rPr>
                <w:rFonts w:hint="eastAsia" w:ascii="楷体" w:hAnsi="楷体" w:eastAsia="楷体" w:cs="宋体"/>
                <w:kern w:val="0"/>
                <w:sz w:val="20"/>
                <w:szCs w:val="20"/>
              </w:rPr>
              <w:t>（六）其他处理</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2774" w:type="dxa"/>
            <w:gridSpan w:val="2"/>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r>
              <w:rPr>
                <w:rFonts w:hint="eastAsia" w:ascii="楷体" w:hAnsi="楷体" w:eastAsia="楷体" w:cs="宋体"/>
                <w:kern w:val="0"/>
                <w:sz w:val="20"/>
                <w:szCs w:val="20"/>
              </w:rPr>
              <w:t>（七）总计</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3827" w:type="dxa"/>
            <w:gridSpan w:val="3"/>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r>
              <w:rPr>
                <w:rFonts w:hint="eastAsia" w:ascii="宋体" w:hAnsi="宋体" w:cs="宋体"/>
                <w:kern w:val="0"/>
                <w:sz w:val="20"/>
                <w:szCs w:val="20"/>
              </w:rPr>
              <w:t>四、结转下年度继续办理</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ind w:firstLine="240" w:firstLineChars="100"/>
              <w:jc w:val="left"/>
              <w:rPr>
                <w:rFonts w:hint="eastAsia" w:ascii="宋体" w:eastAsia="宋体" w:cs="宋体"/>
                <w:kern w:val="0"/>
                <w:sz w:val="24"/>
                <w:lang w:val="en-US" w:eastAsia="zh-CN"/>
              </w:rPr>
            </w:pPr>
            <w:r>
              <w:rPr>
                <w:rFonts w:hint="eastAsia" w:ascii="宋体" w:cs="宋体"/>
                <w:kern w:val="0"/>
                <w:sz w:val="24"/>
                <w:lang w:val="en-US" w:eastAsia="zh-CN"/>
              </w:rPr>
              <w:t>0</w:t>
            </w:r>
          </w:p>
        </w:tc>
      </w:tr>
    </w:tbl>
    <w:p>
      <w:pPr>
        <w:widowControl/>
        <w:spacing w:line="578" w:lineRule="exact"/>
        <w:rPr>
          <w:rFonts w:hint="default" w:ascii="宋体" w:eastAsia="宋体" w:cs="宋体"/>
          <w:kern w:val="0"/>
          <w:sz w:val="24"/>
          <w:lang w:val="en-US" w:eastAsia="zh-CN"/>
        </w:rPr>
      </w:pPr>
    </w:p>
    <w:p>
      <w:pPr>
        <w:widowControl/>
        <w:spacing w:line="578" w:lineRule="exact"/>
        <w:rPr>
          <w:rFonts w:hint="eastAsia" w:ascii="黑体" w:hAnsi="黑体" w:eastAsia="黑体" w:cs="宋体"/>
          <w:bCs/>
          <w:kern w:val="0"/>
          <w:sz w:val="32"/>
          <w:szCs w:val="32"/>
        </w:rPr>
      </w:pP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ascii="黑体" w:hAnsi="黑体" w:eastAsia="黑体" w:cs="宋体"/>
          <w:kern w:val="0"/>
          <w:sz w:val="32"/>
          <w:szCs w:val="32"/>
        </w:rPr>
      </w:pPr>
      <w:r>
        <w:rPr>
          <w:rFonts w:hint="eastAsia" w:ascii="黑体" w:hAnsi="黑体" w:eastAsia="黑体" w:cs="宋体"/>
          <w:bCs/>
          <w:kern w:val="0"/>
          <w:sz w:val="32"/>
          <w:szCs w:val="32"/>
        </w:rPr>
        <w:t>四、政府信息公开行政复议、行政诉讼情况</w:t>
      </w:r>
    </w:p>
    <w:tbl>
      <w:tblPr>
        <w:tblStyle w:val="5"/>
        <w:tblW w:w="9214" w:type="dxa"/>
        <w:tblInd w:w="132" w:type="dxa"/>
        <w:tblLayout w:type="autofit"/>
        <w:tblCellMar>
          <w:top w:w="0" w:type="dxa"/>
          <w:left w:w="0" w:type="dxa"/>
          <w:bottom w:w="0" w:type="dxa"/>
          <w:right w:w="0" w:type="dxa"/>
        </w:tblCellMar>
      </w:tblPr>
      <w:tblGrid>
        <w:gridCol w:w="900"/>
        <w:gridCol w:w="604"/>
        <w:gridCol w:w="604"/>
        <w:gridCol w:w="604"/>
        <w:gridCol w:w="658"/>
        <w:gridCol w:w="550"/>
        <w:gridCol w:w="605"/>
        <w:gridCol w:w="605"/>
        <w:gridCol w:w="605"/>
        <w:gridCol w:w="502"/>
        <w:gridCol w:w="709"/>
        <w:gridCol w:w="604"/>
        <w:gridCol w:w="530"/>
        <w:gridCol w:w="567"/>
        <w:gridCol w:w="567"/>
      </w:tblGrid>
      <w:tr>
        <w:tc>
          <w:tcPr>
            <w:tcW w:w="337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行政复议</w:t>
            </w:r>
          </w:p>
        </w:tc>
        <w:tc>
          <w:tcPr>
            <w:tcW w:w="5844"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行政诉讼</w:t>
            </w:r>
          </w:p>
        </w:tc>
      </w:tr>
      <w:tr>
        <w:tblPrEx>
          <w:tblCellMar>
            <w:top w:w="0" w:type="dxa"/>
            <w:left w:w="0" w:type="dxa"/>
            <w:bottom w:w="0" w:type="dxa"/>
            <w:right w:w="0" w:type="dxa"/>
          </w:tblCellMar>
        </w:tblPrEx>
        <w:tc>
          <w:tcPr>
            <w:tcW w:w="90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总计</w:t>
            </w:r>
          </w:p>
        </w:tc>
        <w:tc>
          <w:tcPr>
            <w:tcW w:w="286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未经复议直接起诉</w:t>
            </w:r>
          </w:p>
        </w:tc>
        <w:tc>
          <w:tcPr>
            <w:tcW w:w="297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复议后起诉</w:t>
            </w:r>
          </w:p>
        </w:tc>
      </w:tr>
      <w:tr>
        <w:tblPrEx>
          <w:tblCellMar>
            <w:top w:w="0" w:type="dxa"/>
            <w:left w:w="0" w:type="dxa"/>
            <w:bottom w:w="0" w:type="dxa"/>
            <w:right w:w="0" w:type="dxa"/>
          </w:tblCellMar>
        </w:tblPrEx>
        <w:tc>
          <w:tcPr>
            <w:tcW w:w="900"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尚未审结</w:t>
            </w:r>
          </w:p>
        </w:tc>
        <w:tc>
          <w:tcPr>
            <w:tcW w:w="5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总计</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结果维持</w:t>
            </w:r>
          </w:p>
        </w:tc>
        <w:tc>
          <w:tcPr>
            <w:tcW w:w="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结果纠正</w:t>
            </w:r>
          </w:p>
        </w:tc>
        <w:tc>
          <w:tcPr>
            <w:tcW w:w="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其他结果</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尚未审结</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总计</w:t>
            </w:r>
          </w:p>
        </w:tc>
      </w:tr>
      <w:tr>
        <w:tblPrEx>
          <w:tblCellMar>
            <w:top w:w="0" w:type="dxa"/>
            <w:left w:w="0" w:type="dxa"/>
            <w:bottom w:w="0" w:type="dxa"/>
            <w:right w:w="0" w:type="dxa"/>
          </w:tblCellMar>
        </w:tblPrEx>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cs="宋体"/>
                <w:kern w:val="0"/>
                <w:sz w:val="20"/>
                <w:szCs w:val="20"/>
                <w:lang w:val="en-US" w:eastAsia="zh-CN"/>
              </w:rPr>
              <w:t>0</w:t>
            </w:r>
            <w:r>
              <w:rPr>
                <w:rFonts w:ascii="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cs="宋体"/>
                <w:kern w:val="0"/>
                <w:sz w:val="20"/>
                <w:szCs w:val="20"/>
                <w:lang w:val="en-US" w:eastAsia="zh-CN"/>
              </w:rPr>
              <w:t>0</w:t>
            </w:r>
            <w:r>
              <w:rPr>
                <w:rFonts w:ascii="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cs="宋体"/>
                <w:kern w:val="0"/>
                <w:sz w:val="20"/>
                <w:szCs w:val="20"/>
                <w:lang w:val="en-US" w:eastAsia="zh-CN"/>
              </w:rPr>
              <w:t>0</w:t>
            </w:r>
            <w:r>
              <w:rPr>
                <w:rFonts w:ascii="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cs="宋体"/>
                <w:kern w:val="0"/>
                <w:sz w:val="20"/>
                <w:szCs w:val="20"/>
                <w:lang w:val="en-US" w:eastAsia="zh-CN"/>
              </w:rPr>
              <w:t>0</w:t>
            </w:r>
            <w:r>
              <w:rPr>
                <w:rFonts w:ascii="宋体" w:cs="宋体"/>
                <w:kern w:val="0"/>
                <w:sz w:val="20"/>
                <w:szCs w:val="20"/>
              </w:rPr>
              <w:t> </w:t>
            </w:r>
          </w:p>
        </w:tc>
        <w:tc>
          <w:tcPr>
            <w:tcW w:w="5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cs="宋体"/>
                <w:kern w:val="0"/>
                <w:sz w:val="20"/>
                <w:szCs w:val="20"/>
                <w:lang w:val="en-US" w:eastAsia="zh-CN"/>
              </w:rPr>
              <w:t>0</w:t>
            </w:r>
            <w:r>
              <w:rPr>
                <w:rFonts w:ascii="宋体"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cs="宋体"/>
                <w:kern w:val="0"/>
                <w:sz w:val="20"/>
                <w:szCs w:val="20"/>
                <w:lang w:val="en-US" w:eastAsia="zh-CN"/>
              </w:rPr>
              <w:t>0</w:t>
            </w:r>
            <w:r>
              <w:rPr>
                <w:rFonts w:ascii="宋体" w:cs="宋体"/>
                <w:kern w:val="0"/>
                <w:sz w:val="20"/>
                <w:szCs w:val="20"/>
              </w:rPr>
              <w:t>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cs="宋体"/>
                <w:kern w:val="0"/>
                <w:sz w:val="20"/>
                <w:szCs w:val="20"/>
                <w:lang w:val="en-US" w:eastAsia="zh-CN"/>
              </w:rPr>
              <w:t>0</w:t>
            </w:r>
            <w:r>
              <w:rPr>
                <w:rFonts w:ascii="宋体" w:cs="宋体"/>
                <w:kern w:val="0"/>
                <w:sz w:val="20"/>
                <w:szCs w:val="20"/>
              </w:rPr>
              <w:t> </w:t>
            </w:r>
          </w:p>
        </w:tc>
        <w:tc>
          <w:tcPr>
            <w:tcW w:w="5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cs="宋体"/>
                <w:kern w:val="0"/>
                <w:sz w:val="20"/>
                <w:szCs w:val="20"/>
                <w:lang w:val="en-US" w:eastAsia="zh-CN"/>
              </w:rPr>
              <w:t>0</w:t>
            </w:r>
            <w:r>
              <w:rPr>
                <w:rFonts w:ascii="宋体" w:cs="宋体"/>
                <w:kern w:val="0"/>
                <w:sz w:val="20"/>
                <w:szCs w:val="20"/>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cs="宋体"/>
                <w:kern w:val="0"/>
                <w:sz w:val="20"/>
                <w:szCs w:val="20"/>
                <w:lang w:val="en-US" w:eastAsia="zh-CN"/>
              </w:rPr>
              <w:t>0</w:t>
            </w:r>
            <w:r>
              <w:rPr>
                <w:rFonts w:ascii="宋体" w:cs="宋体"/>
                <w:kern w:val="0"/>
                <w:sz w:val="20"/>
                <w:szCs w:val="20"/>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hint="eastAsia" w:ascii="宋体" w:eastAsia="宋体" w:cs="宋体"/>
                <w:kern w:val="0"/>
                <w:sz w:val="24"/>
                <w:lang w:val="en-US" w:eastAsia="zh-CN"/>
              </w:rPr>
            </w:pPr>
            <w:r>
              <w:rPr>
                <w:rFonts w:hint="eastAsia" w:ascii="宋体" w:cs="宋体"/>
                <w:kern w:val="0"/>
                <w:sz w:val="24"/>
                <w:lang w:val="en-US" w:eastAsia="zh-CN"/>
              </w:rPr>
              <w:t>0</w:t>
            </w:r>
          </w:p>
        </w:tc>
      </w:tr>
    </w:tbl>
    <w:p>
      <w:pPr>
        <w:widowControl/>
        <w:spacing w:line="578" w:lineRule="exact"/>
        <w:rPr>
          <w:rFonts w:ascii="宋体" w:cs="宋体"/>
          <w:b/>
          <w:bCs/>
          <w:kern w:val="0"/>
          <w:sz w:val="24"/>
        </w:rPr>
      </w:pP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ascii="黑体" w:hAnsi="黑体" w:eastAsia="黑体" w:cs="宋体"/>
          <w:kern w:val="0"/>
          <w:sz w:val="32"/>
          <w:szCs w:val="32"/>
        </w:rPr>
      </w:pPr>
      <w:r>
        <w:rPr>
          <w:rFonts w:hint="eastAsia" w:ascii="黑体" w:hAnsi="黑体" w:eastAsia="黑体" w:cs="宋体"/>
          <w:bCs/>
          <w:kern w:val="0"/>
          <w:sz w:val="32"/>
          <w:szCs w:val="32"/>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0" w:firstLineChars="200"/>
        <w:jc w:val="both"/>
        <w:textAlignment w:val="auto"/>
        <w:rPr>
          <w:rFonts w:hint="eastAsia" w:ascii="微软雅黑" w:hAnsi="微软雅黑" w:eastAsia="微软雅黑" w:cs="微软雅黑"/>
          <w:i w:val="0"/>
          <w:caps w:val="0"/>
          <w:color w:val="333333"/>
          <w:spacing w:val="0"/>
          <w:sz w:val="19"/>
          <w:szCs w:val="19"/>
        </w:rPr>
      </w:pPr>
      <w:r>
        <w:rPr>
          <w:rFonts w:ascii="楷体" w:hAnsi="楷体" w:eastAsia="楷体" w:cs="楷体"/>
          <w:i w:val="0"/>
          <w:caps w:val="0"/>
          <w:color w:val="333333"/>
          <w:spacing w:val="0"/>
          <w:kern w:val="0"/>
          <w:sz w:val="32"/>
          <w:szCs w:val="32"/>
          <w:shd w:val="clear" w:fill="FFFFFF"/>
          <w:lang w:val="en-US" w:eastAsia="zh-CN" w:bidi="ar"/>
        </w:rPr>
        <w:t>（一）工作中存在的主要问题和困难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0" w:firstLineChars="200"/>
        <w:jc w:val="both"/>
        <w:textAlignment w:val="auto"/>
        <w:rPr>
          <w:rFonts w:hint="eastAsia" w:ascii="微软雅黑" w:hAnsi="微软雅黑" w:eastAsia="微软雅黑" w:cs="微软雅黑"/>
          <w:i w:val="0"/>
          <w:caps w:val="0"/>
          <w:color w:val="333333"/>
          <w:spacing w:val="0"/>
          <w:sz w:val="19"/>
          <w:szCs w:val="19"/>
        </w:rPr>
      </w:pPr>
      <w:r>
        <w:rPr>
          <w:rFonts w:hint="eastAsia" w:ascii="仿宋_GB2312" w:hAnsi="微软雅黑" w:eastAsia="仿宋_GB2312" w:cs="仿宋_GB2312"/>
          <w:i w:val="0"/>
          <w:caps w:val="0"/>
          <w:color w:val="333333"/>
          <w:spacing w:val="0"/>
          <w:kern w:val="0"/>
          <w:sz w:val="32"/>
          <w:szCs w:val="32"/>
          <w:shd w:val="clear" w:fill="FFFFFF"/>
          <w:lang w:val="en-US" w:eastAsia="zh-CN" w:bidi="ar"/>
        </w:rPr>
        <w:t>2020</w:t>
      </w:r>
      <w:r>
        <w:rPr>
          <w:rFonts w:ascii="仿宋_GB2312" w:hAnsi="微软雅黑" w:eastAsia="仿宋_GB2312" w:cs="仿宋_GB2312"/>
          <w:i w:val="0"/>
          <w:caps w:val="0"/>
          <w:color w:val="333333"/>
          <w:spacing w:val="0"/>
          <w:kern w:val="0"/>
          <w:sz w:val="32"/>
          <w:szCs w:val="32"/>
          <w:shd w:val="clear" w:fill="FFFFFF"/>
          <w:lang w:val="en-US" w:eastAsia="zh-CN" w:bidi="ar"/>
        </w:rPr>
        <w:t>年，</w:t>
      </w:r>
      <w:r>
        <w:rPr>
          <w:rFonts w:hint="eastAsia" w:ascii="仿宋_GB2312" w:hAnsi="微软雅黑" w:eastAsia="仿宋_GB2312" w:cs="仿宋_GB2312"/>
          <w:i w:val="0"/>
          <w:caps w:val="0"/>
          <w:color w:val="333333"/>
          <w:spacing w:val="0"/>
          <w:kern w:val="0"/>
          <w:sz w:val="32"/>
          <w:szCs w:val="32"/>
          <w:shd w:val="clear" w:fill="FFFFFF"/>
          <w:lang w:val="en-US" w:eastAsia="zh-CN" w:bidi="ar"/>
        </w:rPr>
        <w:t>街道</w:t>
      </w:r>
      <w:r>
        <w:rPr>
          <w:rFonts w:ascii="仿宋_GB2312" w:hAnsi="微软雅黑" w:eastAsia="仿宋_GB2312" w:cs="仿宋_GB2312"/>
          <w:i w:val="0"/>
          <w:caps w:val="0"/>
          <w:color w:val="333333"/>
          <w:spacing w:val="0"/>
          <w:kern w:val="0"/>
          <w:sz w:val="32"/>
          <w:szCs w:val="32"/>
          <w:shd w:val="clear" w:fill="FFFFFF"/>
          <w:lang w:val="en-US" w:eastAsia="zh-CN" w:bidi="ar"/>
        </w:rPr>
        <w:t>信息公开工作整体水平有较大的提升，但与上级要求还有一定的差距，主要表现在：一是政务公开工作机制不健全；二是政务公开信息的内容</w:t>
      </w:r>
      <w:r>
        <w:rPr>
          <w:rFonts w:hint="eastAsia" w:ascii="仿宋_GB2312" w:hAnsi="微软雅黑" w:eastAsia="仿宋_GB2312" w:cs="仿宋_GB2312"/>
          <w:i w:val="0"/>
          <w:caps w:val="0"/>
          <w:color w:val="333333"/>
          <w:spacing w:val="0"/>
          <w:kern w:val="0"/>
          <w:sz w:val="32"/>
          <w:szCs w:val="32"/>
          <w:shd w:val="clear" w:fill="FFFFFF"/>
          <w:lang w:val="en-US" w:eastAsia="zh-CN" w:bidi="ar"/>
        </w:rPr>
        <w:t>不及时、</w:t>
      </w:r>
      <w:r>
        <w:rPr>
          <w:rFonts w:ascii="仿宋_GB2312" w:hAnsi="微软雅黑" w:eastAsia="仿宋_GB2312" w:cs="仿宋_GB2312"/>
          <w:i w:val="0"/>
          <w:caps w:val="0"/>
          <w:color w:val="333333"/>
          <w:spacing w:val="0"/>
          <w:kern w:val="0"/>
          <w:sz w:val="32"/>
          <w:szCs w:val="32"/>
          <w:shd w:val="clear" w:fill="FFFFFF"/>
          <w:lang w:val="en-US" w:eastAsia="zh-CN" w:bidi="ar"/>
        </w:rPr>
        <w:t>不全面、不规范；三是业务人员水平参差不齐。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0" w:firstLineChars="200"/>
        <w:jc w:val="both"/>
        <w:textAlignment w:val="auto"/>
        <w:rPr>
          <w:rFonts w:hint="eastAsia" w:ascii="微软雅黑" w:hAnsi="微软雅黑" w:eastAsia="微软雅黑" w:cs="微软雅黑"/>
          <w:i w:val="0"/>
          <w:caps w:val="0"/>
          <w:color w:val="333333"/>
          <w:spacing w:val="0"/>
          <w:sz w:val="19"/>
          <w:szCs w:val="19"/>
        </w:rPr>
      </w:pPr>
      <w:r>
        <w:rPr>
          <w:rFonts w:hint="eastAsia" w:ascii="楷体" w:hAnsi="楷体" w:eastAsia="楷体" w:cs="楷体"/>
          <w:i w:val="0"/>
          <w:caps w:val="0"/>
          <w:color w:val="333333"/>
          <w:spacing w:val="0"/>
          <w:kern w:val="0"/>
          <w:sz w:val="32"/>
          <w:szCs w:val="32"/>
          <w:shd w:val="clear" w:fill="FFFFFF"/>
          <w:lang w:val="en-US" w:eastAsia="zh-CN" w:bidi="ar"/>
        </w:rPr>
        <w:t>（二）</w:t>
      </w:r>
      <w:r>
        <w:rPr>
          <w:rFonts w:hint="eastAsia" w:ascii="楷体" w:hAnsi="楷体" w:eastAsia="楷体" w:cs="楷体"/>
          <w:b w:val="0"/>
          <w:bCs w:val="0"/>
          <w:sz w:val="32"/>
          <w:szCs w:val="32"/>
          <w:lang w:val="en-US" w:eastAsia="zh-CN"/>
        </w:rPr>
        <w:t>2020年我街道将进一步做好政府信息公开工作，为此，将采取以下改进措施：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0" w:firstLineChars="200"/>
        <w:jc w:val="both"/>
        <w:textAlignment w:val="auto"/>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一是进一步健全和完善政府信息公开制度，并加强督查和指导，不断推进政府信息公开工作的制度化和规范化。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0" w:firstLineChars="200"/>
        <w:jc w:val="both"/>
        <w:textAlignment w:val="auto"/>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二是加大政府信息公开工作力度，逐步扩大政府信息公开的覆盖面，保证公开信息的完整性和准确性。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0" w:firstLineChars="200"/>
        <w:jc w:val="both"/>
        <w:textAlignment w:val="auto"/>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kern w:val="0"/>
          <w:sz w:val="32"/>
          <w:szCs w:val="32"/>
          <w:shd w:val="clear" w:fill="FFFFFF"/>
          <w:lang w:val="en-US" w:eastAsia="zh-CN" w:bidi="ar"/>
        </w:rPr>
        <w:t>三是进一步提高业务人员的素质，做好信息公开的培训工作，推进工作持续深入开展。</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ascii="黑体" w:hAnsi="黑体" w:eastAsia="黑体" w:cs="宋体"/>
          <w:kern w:val="0"/>
          <w:sz w:val="32"/>
          <w:szCs w:val="32"/>
        </w:rPr>
      </w:pPr>
      <w:r>
        <w:rPr>
          <w:rFonts w:hint="eastAsia" w:ascii="黑体" w:hAnsi="黑体" w:eastAsia="黑体" w:cs="宋体"/>
          <w:bCs/>
          <w:kern w:val="0"/>
          <w:sz w:val="32"/>
          <w:szCs w:val="32"/>
        </w:rPr>
        <w:t>六、其他需要报告的事项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无</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新庄孜街道办事处</w:t>
      </w:r>
    </w:p>
    <w:p>
      <w:pPr>
        <w:ind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2021年1月21日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1puTTBxJUWPFDjutuvKWyz/UbBo=" w:salt="qC6UzJzCJCHIgxgCuv5mN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276A8"/>
    <w:rsid w:val="00D33E81"/>
    <w:rsid w:val="0A966D7D"/>
    <w:rsid w:val="0E71738B"/>
    <w:rsid w:val="1097325D"/>
    <w:rsid w:val="200331BE"/>
    <w:rsid w:val="2B14349A"/>
    <w:rsid w:val="4A4276A8"/>
    <w:rsid w:val="54646479"/>
    <w:rsid w:val="69D35342"/>
    <w:rsid w:val="7FAE6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2021-01-21T01:53:00Z</dcterms:created>
  <dc:creator>admin</dc:creator>
  <cp:lastModifiedBy>wjx.</cp:lastModifiedBy>
  <dcterms:modified xsi:type="dcterms:W3CDTF">2022-05-18T01:30:47Z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4C081DD801B64C00AECC293E1D7A6E59</vt:lpwstr>
  </property>
</Properties>
</file>