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b/>
          <w:color w:val="auto"/>
          <w:sz w:val="44"/>
          <w:szCs w:val="44"/>
          <w:highlight w:val="none"/>
          <w:u w:val="single"/>
        </w:rPr>
      </w:pPr>
    </w:p>
    <w:p>
      <w:pPr>
        <w:adjustRightInd w:val="0"/>
        <w:snapToGrid w:val="0"/>
        <w:spacing w:line="360" w:lineRule="auto"/>
        <w:jc w:val="center"/>
        <w:rPr>
          <w:rFonts w:ascii="宋体"/>
          <w:b/>
          <w:color w:val="auto"/>
          <w:sz w:val="44"/>
          <w:szCs w:val="44"/>
          <w:highlight w:val="none"/>
          <w:u w:val="single"/>
        </w:rPr>
      </w:pPr>
    </w:p>
    <w:p>
      <w:pPr>
        <w:adjustRightInd w:val="0"/>
        <w:snapToGrid w:val="0"/>
        <w:spacing w:line="360" w:lineRule="auto"/>
        <w:jc w:val="center"/>
        <w:rPr>
          <w:rFonts w:ascii="宋体"/>
          <w:b/>
          <w:color w:val="auto"/>
          <w:sz w:val="44"/>
          <w:szCs w:val="44"/>
          <w:highlight w:val="none"/>
          <w:u w:val="single"/>
        </w:rPr>
      </w:pPr>
    </w:p>
    <w:p>
      <w:pPr>
        <w:pStyle w:val="4"/>
        <w:adjustRightInd w:val="0"/>
        <w:snapToGrid w:val="0"/>
        <w:spacing w:before="0" w:beforeAutospacing="0" w:after="0" w:afterAutospacing="0" w:line="360" w:lineRule="auto"/>
        <w:jc w:val="center"/>
        <w:outlineLvl w:val="0"/>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淮南市八公山区环境卫生管理处</w:t>
      </w:r>
    </w:p>
    <w:p>
      <w:pPr>
        <w:pStyle w:val="4"/>
        <w:adjustRightInd w:val="0"/>
        <w:snapToGrid w:val="0"/>
        <w:spacing w:before="0" w:beforeAutospacing="0" w:after="0" w:afterAutospacing="0" w:line="360" w:lineRule="auto"/>
        <w:jc w:val="center"/>
        <w:outlineLvl w:val="0"/>
        <w:rPr>
          <w:rFonts w:ascii="黑体" w:hAnsi="黑体" w:eastAsia="黑体"/>
          <w:bCs/>
          <w:color w:val="auto"/>
          <w:sz w:val="36"/>
          <w:szCs w:val="36"/>
          <w:highlight w:val="none"/>
        </w:rPr>
      </w:pPr>
      <w:r>
        <w:rPr>
          <w:rFonts w:ascii="华文中宋" w:hAnsi="华文中宋" w:eastAsia="华文中宋" w:cs="华文中宋"/>
          <w:b/>
          <w:color w:val="auto"/>
          <w:sz w:val="44"/>
          <w:szCs w:val="44"/>
          <w:highlight w:val="none"/>
        </w:rPr>
        <w:t>2022</w:t>
      </w:r>
      <w:r>
        <w:rPr>
          <w:rFonts w:hint="eastAsia" w:ascii="华文中宋" w:hAnsi="华文中宋" w:eastAsia="华文中宋" w:cs="华文中宋"/>
          <w:b/>
          <w:color w:val="auto"/>
          <w:sz w:val="44"/>
          <w:szCs w:val="44"/>
          <w:highlight w:val="none"/>
        </w:rPr>
        <w:t>年</w:t>
      </w:r>
      <w:r>
        <w:rPr>
          <w:rFonts w:hint="eastAsia" w:ascii="华文中宋" w:hAnsi="华文中宋" w:eastAsia="华文中宋" w:cs="华文中宋"/>
          <w:b/>
          <w:color w:val="auto"/>
          <w:sz w:val="44"/>
          <w:szCs w:val="44"/>
          <w:highlight w:val="none"/>
          <w:u w:val="none"/>
        </w:rPr>
        <w:t>单位</w:t>
      </w:r>
      <w:r>
        <w:rPr>
          <w:rFonts w:hint="eastAsia" w:ascii="华文中宋" w:hAnsi="华文中宋" w:eastAsia="华文中宋" w:cs="华文中宋"/>
          <w:b/>
          <w:color w:val="auto"/>
          <w:sz w:val="44"/>
          <w:szCs w:val="44"/>
          <w:highlight w:val="none"/>
        </w:rPr>
        <w:t>预算</w:t>
      </w:r>
    </w:p>
    <w:p>
      <w:pPr>
        <w:pStyle w:val="4"/>
        <w:adjustRightInd w:val="0"/>
        <w:snapToGrid w:val="0"/>
        <w:spacing w:before="0" w:beforeAutospacing="0" w:after="0" w:afterAutospacing="0" w:line="360" w:lineRule="auto"/>
        <w:jc w:val="center"/>
        <w:rPr>
          <w:rFonts w:ascii="黑体" w:hAnsi="黑体" w:eastAsia="黑体"/>
          <w:bCs/>
          <w:color w:val="auto"/>
          <w:sz w:val="36"/>
          <w:szCs w:val="36"/>
          <w:highlight w:val="none"/>
        </w:rPr>
      </w:pPr>
    </w:p>
    <w:p>
      <w:pPr>
        <w:pStyle w:val="4"/>
        <w:adjustRightInd w:val="0"/>
        <w:snapToGrid w:val="0"/>
        <w:spacing w:before="0" w:beforeAutospacing="0" w:after="0" w:afterAutospacing="0" w:line="360" w:lineRule="auto"/>
        <w:jc w:val="center"/>
        <w:rPr>
          <w:rFonts w:ascii="黑体" w:hAnsi="黑体" w:eastAsia="黑体"/>
          <w:bCs/>
          <w:color w:val="auto"/>
          <w:sz w:val="36"/>
          <w:szCs w:val="36"/>
          <w:highlight w:val="none"/>
        </w:rPr>
      </w:pPr>
    </w:p>
    <w:p>
      <w:pPr>
        <w:pStyle w:val="4"/>
        <w:adjustRightInd w:val="0"/>
        <w:snapToGrid w:val="0"/>
        <w:spacing w:before="0" w:beforeAutospacing="0" w:after="0" w:afterAutospacing="0" w:line="360" w:lineRule="auto"/>
        <w:jc w:val="center"/>
        <w:rPr>
          <w:rFonts w:ascii="黑体" w:hAnsi="黑体" w:eastAsia="黑体"/>
          <w:bCs/>
          <w:color w:val="auto"/>
          <w:sz w:val="36"/>
          <w:szCs w:val="36"/>
          <w:highlight w:val="none"/>
        </w:rPr>
      </w:pPr>
    </w:p>
    <w:p>
      <w:pPr>
        <w:pStyle w:val="4"/>
        <w:adjustRightInd w:val="0"/>
        <w:snapToGrid w:val="0"/>
        <w:spacing w:before="0" w:beforeAutospacing="0" w:after="0" w:afterAutospacing="0" w:line="360" w:lineRule="auto"/>
        <w:jc w:val="center"/>
        <w:rPr>
          <w:rFonts w:ascii="黑体" w:hAnsi="黑体" w:eastAsia="黑体"/>
          <w:bCs/>
          <w:color w:val="auto"/>
          <w:sz w:val="36"/>
          <w:szCs w:val="36"/>
          <w:highlight w:val="none"/>
        </w:rPr>
      </w:pPr>
    </w:p>
    <w:p>
      <w:pPr>
        <w:pStyle w:val="4"/>
        <w:adjustRightInd w:val="0"/>
        <w:snapToGrid w:val="0"/>
        <w:spacing w:before="0" w:beforeAutospacing="0" w:after="0" w:afterAutospacing="0" w:line="360" w:lineRule="auto"/>
        <w:jc w:val="center"/>
        <w:rPr>
          <w:rFonts w:ascii="黑体" w:hAnsi="黑体" w:eastAsia="黑体"/>
          <w:bCs/>
          <w:color w:val="auto"/>
          <w:sz w:val="36"/>
          <w:szCs w:val="36"/>
          <w:highlight w:val="none"/>
        </w:rPr>
      </w:pPr>
    </w:p>
    <w:p>
      <w:pPr>
        <w:pStyle w:val="4"/>
        <w:adjustRightInd w:val="0"/>
        <w:snapToGrid w:val="0"/>
        <w:spacing w:before="0" w:beforeAutospacing="0" w:after="0" w:afterAutospacing="0" w:line="360" w:lineRule="auto"/>
        <w:jc w:val="center"/>
        <w:rPr>
          <w:rFonts w:ascii="黑体" w:hAnsi="黑体" w:eastAsia="黑体"/>
          <w:bCs/>
          <w:color w:val="auto"/>
          <w:sz w:val="36"/>
          <w:szCs w:val="36"/>
          <w:highlight w:val="none"/>
        </w:rPr>
      </w:pPr>
    </w:p>
    <w:p>
      <w:pPr>
        <w:pStyle w:val="4"/>
        <w:adjustRightInd w:val="0"/>
        <w:snapToGrid w:val="0"/>
        <w:spacing w:before="0" w:beforeAutospacing="0" w:after="0" w:afterAutospacing="0" w:line="360" w:lineRule="auto"/>
        <w:jc w:val="center"/>
        <w:rPr>
          <w:rFonts w:ascii="黑体" w:hAnsi="黑体" w:eastAsia="黑体"/>
          <w:bCs/>
          <w:color w:val="auto"/>
          <w:sz w:val="36"/>
          <w:szCs w:val="36"/>
          <w:highlight w:val="none"/>
        </w:rPr>
      </w:pPr>
    </w:p>
    <w:p>
      <w:pPr>
        <w:pStyle w:val="4"/>
        <w:adjustRightInd w:val="0"/>
        <w:snapToGrid w:val="0"/>
        <w:spacing w:before="0" w:beforeAutospacing="0" w:after="0" w:afterAutospacing="0" w:line="360" w:lineRule="auto"/>
        <w:jc w:val="center"/>
        <w:rPr>
          <w:rFonts w:ascii="黑体" w:hAnsi="黑体" w:eastAsia="黑体"/>
          <w:bCs/>
          <w:color w:val="auto"/>
          <w:sz w:val="36"/>
          <w:szCs w:val="36"/>
          <w:highlight w:val="none"/>
        </w:rPr>
      </w:pPr>
    </w:p>
    <w:p>
      <w:pPr>
        <w:pStyle w:val="4"/>
        <w:adjustRightInd w:val="0"/>
        <w:snapToGrid w:val="0"/>
        <w:spacing w:before="0" w:beforeAutospacing="0" w:after="0" w:afterAutospacing="0" w:line="360" w:lineRule="auto"/>
        <w:jc w:val="center"/>
        <w:rPr>
          <w:rFonts w:ascii="黑体" w:hAnsi="黑体" w:eastAsia="黑体"/>
          <w:bCs/>
          <w:color w:val="auto"/>
          <w:sz w:val="44"/>
          <w:szCs w:val="44"/>
          <w:highlight w:val="none"/>
        </w:rPr>
      </w:pPr>
      <w:r>
        <w:rPr>
          <w:rFonts w:ascii="黑体" w:hAnsi="黑体" w:eastAsia="黑体"/>
          <w:bCs/>
          <w:color w:val="auto"/>
          <w:sz w:val="44"/>
          <w:szCs w:val="44"/>
          <w:highlight w:val="none"/>
        </w:rPr>
        <w:t>2022</w:t>
      </w:r>
      <w:r>
        <w:rPr>
          <w:rFonts w:hint="eastAsia" w:ascii="黑体" w:hAnsi="黑体" w:eastAsia="黑体"/>
          <w:bCs/>
          <w:color w:val="auto"/>
          <w:sz w:val="44"/>
          <w:szCs w:val="44"/>
          <w:highlight w:val="none"/>
        </w:rPr>
        <w:t>年</w:t>
      </w:r>
      <w:r>
        <w:rPr>
          <w:rFonts w:hint="eastAsia" w:ascii="黑体" w:hAnsi="黑体" w:eastAsia="黑体"/>
          <w:bCs/>
          <w:color w:val="auto"/>
          <w:sz w:val="44"/>
          <w:szCs w:val="44"/>
          <w:highlight w:val="none"/>
          <w:lang w:val="en-US" w:eastAsia="zh-CN"/>
        </w:rPr>
        <w:t>3</w:t>
      </w:r>
      <w:r>
        <w:rPr>
          <w:rFonts w:hint="eastAsia" w:ascii="黑体" w:hAnsi="黑体" w:eastAsia="黑体"/>
          <w:bCs/>
          <w:color w:val="auto"/>
          <w:sz w:val="44"/>
          <w:szCs w:val="44"/>
          <w:highlight w:val="none"/>
        </w:rPr>
        <w:t>月</w:t>
      </w:r>
    </w:p>
    <w:p>
      <w:pPr>
        <w:pStyle w:val="4"/>
        <w:adjustRightInd w:val="0"/>
        <w:snapToGrid w:val="0"/>
        <w:spacing w:before="0" w:beforeAutospacing="0" w:after="0" w:afterAutospacing="0" w:line="360" w:lineRule="auto"/>
        <w:jc w:val="both"/>
        <w:rPr>
          <w:rFonts w:ascii="黑体" w:hAnsi="黑体" w:eastAsia="黑体"/>
          <w:bCs/>
          <w:color w:val="auto"/>
          <w:sz w:val="36"/>
          <w:szCs w:val="36"/>
          <w:highlight w:val="none"/>
        </w:rPr>
      </w:pPr>
    </w:p>
    <w:p>
      <w:pPr>
        <w:pStyle w:val="4"/>
        <w:adjustRightInd w:val="0"/>
        <w:snapToGrid w:val="0"/>
        <w:spacing w:before="0" w:beforeAutospacing="0" w:after="0" w:afterAutospacing="0" w:line="500" w:lineRule="exact"/>
        <w:jc w:val="center"/>
        <w:rPr>
          <w:rFonts w:ascii="黑体" w:hAnsi="黑体" w:eastAsia="黑体"/>
          <w:bCs/>
          <w:color w:val="auto"/>
          <w:sz w:val="44"/>
          <w:szCs w:val="44"/>
          <w:highlight w:val="none"/>
        </w:rPr>
      </w:pPr>
    </w:p>
    <w:p>
      <w:pPr>
        <w:pStyle w:val="4"/>
        <w:adjustRightInd w:val="0"/>
        <w:snapToGrid w:val="0"/>
        <w:spacing w:before="0" w:beforeAutospacing="0" w:after="0" w:afterAutospacing="0" w:line="500" w:lineRule="exact"/>
        <w:jc w:val="center"/>
        <w:rPr>
          <w:rFonts w:hint="eastAsia" w:ascii="黑体" w:hAnsi="黑体" w:eastAsia="黑体"/>
          <w:bCs/>
          <w:color w:val="auto"/>
          <w:sz w:val="44"/>
          <w:szCs w:val="44"/>
          <w:highlight w:val="none"/>
        </w:rPr>
      </w:pPr>
    </w:p>
    <w:p>
      <w:pPr>
        <w:pStyle w:val="4"/>
        <w:adjustRightInd w:val="0"/>
        <w:snapToGrid w:val="0"/>
        <w:spacing w:before="0" w:beforeAutospacing="0" w:after="0" w:afterAutospacing="0" w:line="500" w:lineRule="exact"/>
        <w:jc w:val="center"/>
        <w:rPr>
          <w:rFonts w:hint="eastAsia" w:ascii="黑体" w:hAnsi="黑体" w:eastAsia="黑体"/>
          <w:bCs/>
          <w:color w:val="auto"/>
          <w:sz w:val="44"/>
          <w:szCs w:val="44"/>
          <w:highlight w:val="none"/>
        </w:rPr>
      </w:pPr>
    </w:p>
    <w:p>
      <w:pPr>
        <w:pStyle w:val="4"/>
        <w:adjustRightInd w:val="0"/>
        <w:snapToGrid w:val="0"/>
        <w:spacing w:before="0" w:beforeAutospacing="0" w:after="0" w:afterAutospacing="0" w:line="500" w:lineRule="exact"/>
        <w:jc w:val="center"/>
        <w:rPr>
          <w:rFonts w:hint="eastAsia" w:ascii="黑体" w:hAnsi="黑体" w:eastAsia="黑体"/>
          <w:bCs/>
          <w:color w:val="auto"/>
          <w:sz w:val="44"/>
          <w:szCs w:val="44"/>
          <w:highlight w:val="none"/>
        </w:rPr>
      </w:pPr>
    </w:p>
    <w:p>
      <w:pPr>
        <w:pStyle w:val="4"/>
        <w:adjustRightInd w:val="0"/>
        <w:snapToGrid w:val="0"/>
        <w:spacing w:before="0" w:beforeAutospacing="0" w:after="0" w:afterAutospacing="0" w:line="500" w:lineRule="exact"/>
        <w:jc w:val="center"/>
        <w:rPr>
          <w:rFonts w:hint="eastAsia" w:ascii="黑体" w:hAnsi="黑体" w:eastAsia="黑体"/>
          <w:bCs/>
          <w:color w:val="auto"/>
          <w:sz w:val="44"/>
          <w:szCs w:val="44"/>
          <w:highlight w:val="none"/>
        </w:rPr>
      </w:pPr>
    </w:p>
    <w:p>
      <w:pPr>
        <w:pStyle w:val="4"/>
        <w:adjustRightInd w:val="0"/>
        <w:snapToGrid w:val="0"/>
        <w:spacing w:before="0" w:beforeAutospacing="0" w:after="0" w:afterAutospacing="0" w:line="500" w:lineRule="exact"/>
        <w:jc w:val="center"/>
        <w:rPr>
          <w:rFonts w:ascii="黑体" w:hAnsi="黑体" w:eastAsia="黑体"/>
          <w:bCs/>
          <w:color w:val="auto"/>
          <w:sz w:val="44"/>
          <w:szCs w:val="44"/>
          <w:highlight w:val="none"/>
        </w:rPr>
      </w:pPr>
      <w:r>
        <w:rPr>
          <w:rFonts w:hint="eastAsia" w:ascii="黑体" w:hAnsi="黑体" w:eastAsia="黑体"/>
          <w:bCs/>
          <w:color w:val="auto"/>
          <w:sz w:val="44"/>
          <w:szCs w:val="44"/>
          <w:highlight w:val="none"/>
        </w:rPr>
        <w:t>目</w:t>
      </w:r>
      <w:r>
        <w:rPr>
          <w:rFonts w:ascii="黑体" w:hAnsi="黑体" w:eastAsia="黑体"/>
          <w:bCs/>
          <w:color w:val="auto"/>
          <w:sz w:val="44"/>
          <w:szCs w:val="44"/>
          <w:highlight w:val="none"/>
        </w:rPr>
        <w:t xml:space="preserve"> </w:t>
      </w:r>
      <w:r>
        <w:rPr>
          <w:rFonts w:hint="eastAsia" w:ascii="黑体" w:hAnsi="黑体" w:eastAsia="黑体"/>
          <w:bCs/>
          <w:color w:val="auto"/>
          <w:sz w:val="44"/>
          <w:szCs w:val="44"/>
          <w:highlight w:val="none"/>
        </w:rPr>
        <w:t>录</w:t>
      </w:r>
    </w:p>
    <w:p>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color w:val="auto"/>
          <w:sz w:val="32"/>
          <w:szCs w:val="32"/>
          <w:highlight w:val="none"/>
        </w:rPr>
      </w:pPr>
      <w:r>
        <w:rPr>
          <w:rFonts w:hint="eastAsia" w:ascii="仿宋_GB2312" w:hAnsi="仿宋" w:eastAsia="仿宋_GB2312" w:cs="仿宋"/>
          <w:b/>
          <w:color w:val="auto"/>
          <w:sz w:val="32"/>
          <w:szCs w:val="32"/>
          <w:highlight w:val="none"/>
        </w:rPr>
        <w:t>第一部分</w:t>
      </w:r>
      <w:r>
        <w:rPr>
          <w:rFonts w:ascii="仿宋_GB2312" w:hAnsi="仿宋" w:eastAsia="仿宋_GB2312" w:cs="仿宋"/>
          <w:b/>
          <w:color w:val="auto"/>
          <w:sz w:val="32"/>
          <w:szCs w:val="32"/>
          <w:highlight w:val="none"/>
        </w:rPr>
        <w:t xml:space="preserve"> </w:t>
      </w:r>
      <w:r>
        <w:rPr>
          <w:rFonts w:hint="eastAsia" w:ascii="仿宋_GB2312" w:hAnsi="仿宋" w:eastAsia="仿宋_GB2312" w:cs="仿宋"/>
          <w:b/>
          <w:color w:val="auto"/>
          <w:sz w:val="32"/>
          <w:szCs w:val="32"/>
          <w:highlight w:val="none"/>
        </w:rPr>
        <w:t>单位概况</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1.</w:t>
      </w:r>
      <w:r>
        <w:rPr>
          <w:rFonts w:hint="eastAsia" w:ascii="仿宋_GB2312" w:hAnsi="仿宋" w:eastAsia="仿宋_GB2312" w:cs="仿宋"/>
          <w:bCs/>
          <w:color w:val="auto"/>
          <w:sz w:val="32"/>
          <w:szCs w:val="32"/>
          <w:highlight w:val="none"/>
        </w:rPr>
        <w:t>主要职责</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2.</w:t>
      </w:r>
      <w:r>
        <w:rPr>
          <w:rFonts w:hint="eastAsia" w:ascii="仿宋_GB2312" w:hAnsi="仿宋" w:eastAsia="仿宋_GB2312" w:cs="仿宋"/>
          <w:bCs/>
          <w:color w:val="auto"/>
          <w:sz w:val="32"/>
          <w:szCs w:val="32"/>
          <w:highlight w:val="none"/>
          <w:u w:val="none"/>
        </w:rPr>
        <w:t>单位</w:t>
      </w:r>
      <w:r>
        <w:rPr>
          <w:rFonts w:hint="eastAsia" w:ascii="仿宋_GB2312" w:hAnsi="仿宋" w:eastAsia="仿宋_GB2312" w:cs="仿宋"/>
          <w:bCs/>
          <w:color w:val="auto"/>
          <w:sz w:val="32"/>
          <w:szCs w:val="32"/>
          <w:highlight w:val="none"/>
        </w:rPr>
        <w:t>预算构成</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3.2022</w:t>
      </w:r>
      <w:r>
        <w:rPr>
          <w:rFonts w:hint="eastAsia" w:ascii="仿宋_GB2312" w:hAnsi="仿宋" w:eastAsia="仿宋_GB2312" w:cs="仿宋"/>
          <w:bCs/>
          <w:color w:val="auto"/>
          <w:sz w:val="32"/>
          <w:szCs w:val="32"/>
          <w:highlight w:val="none"/>
        </w:rPr>
        <w:t>年度主要工作任务</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color w:val="auto"/>
          <w:sz w:val="32"/>
          <w:szCs w:val="32"/>
          <w:highlight w:val="none"/>
        </w:rPr>
      </w:pPr>
      <w:r>
        <w:rPr>
          <w:rFonts w:hint="eastAsia" w:ascii="仿宋_GB2312" w:hAnsi="仿宋" w:eastAsia="仿宋_GB2312" w:cs="仿宋"/>
          <w:b/>
          <w:color w:val="auto"/>
          <w:sz w:val="32"/>
          <w:szCs w:val="32"/>
          <w:highlight w:val="none"/>
        </w:rPr>
        <w:t>第二部分</w:t>
      </w:r>
      <w:r>
        <w:rPr>
          <w:rFonts w:ascii="仿宋_GB2312" w:hAnsi="仿宋" w:eastAsia="仿宋_GB2312" w:cs="仿宋"/>
          <w:b/>
          <w:color w:val="auto"/>
          <w:sz w:val="32"/>
          <w:szCs w:val="32"/>
          <w:highlight w:val="none"/>
        </w:rPr>
        <w:t xml:space="preserve"> 2022</w:t>
      </w:r>
      <w:r>
        <w:rPr>
          <w:rFonts w:hint="eastAsia" w:ascii="仿宋_GB2312" w:hAnsi="仿宋" w:eastAsia="仿宋_GB2312" w:cs="仿宋"/>
          <w:b/>
          <w:color w:val="auto"/>
          <w:sz w:val="32"/>
          <w:szCs w:val="32"/>
          <w:highlight w:val="none"/>
        </w:rPr>
        <w:t>年</w:t>
      </w:r>
      <w:r>
        <w:rPr>
          <w:rFonts w:hint="eastAsia" w:ascii="仿宋_GB2312" w:hAnsi="仿宋" w:eastAsia="仿宋_GB2312" w:cs="仿宋"/>
          <w:b/>
          <w:color w:val="auto"/>
          <w:sz w:val="32"/>
          <w:szCs w:val="32"/>
          <w:highlight w:val="none"/>
          <w:u w:val="none"/>
        </w:rPr>
        <w:t>单位</w:t>
      </w:r>
      <w:r>
        <w:rPr>
          <w:rFonts w:hint="eastAsia" w:ascii="仿宋_GB2312" w:hAnsi="仿宋" w:eastAsia="仿宋_GB2312" w:cs="仿宋"/>
          <w:b/>
          <w:color w:val="auto"/>
          <w:sz w:val="32"/>
          <w:szCs w:val="32"/>
          <w:highlight w:val="none"/>
        </w:rPr>
        <w:t>预算表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1.</w:t>
      </w:r>
      <w:r>
        <w:rPr>
          <w:rFonts w:hint="eastAsia" w:ascii="仿宋_GB2312" w:hAnsi="仿宋" w:eastAsia="仿宋_GB2312" w:cs="仿宋"/>
          <w:bCs/>
          <w:color w:val="auto"/>
          <w:sz w:val="32"/>
          <w:szCs w:val="32"/>
          <w:highlight w:val="none"/>
          <w:lang w:eastAsia="zh-CN"/>
        </w:rPr>
        <w:t>淮南市八公山区环境卫生管理处</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年收支总表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2.</w:t>
      </w:r>
      <w:r>
        <w:rPr>
          <w:rFonts w:hint="eastAsia" w:ascii="仿宋_GB2312" w:hAnsi="仿宋" w:eastAsia="仿宋_GB2312" w:cs="仿宋"/>
          <w:bCs/>
          <w:color w:val="auto"/>
          <w:sz w:val="32"/>
          <w:szCs w:val="32"/>
          <w:highlight w:val="none"/>
          <w:lang w:eastAsia="zh-CN"/>
        </w:rPr>
        <w:t>淮南市八公山区环境卫生管理处</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年收入总表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3.</w:t>
      </w:r>
      <w:r>
        <w:rPr>
          <w:rFonts w:hint="eastAsia" w:ascii="仿宋_GB2312" w:hAnsi="仿宋" w:eastAsia="仿宋_GB2312" w:cs="仿宋"/>
          <w:bCs/>
          <w:color w:val="auto"/>
          <w:sz w:val="32"/>
          <w:szCs w:val="32"/>
          <w:highlight w:val="none"/>
          <w:lang w:eastAsia="zh-CN"/>
        </w:rPr>
        <w:t>淮南市八公山区环境卫生管理处</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年支出总表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4.</w:t>
      </w:r>
      <w:r>
        <w:rPr>
          <w:rFonts w:hint="eastAsia" w:ascii="仿宋_GB2312" w:hAnsi="仿宋" w:eastAsia="仿宋_GB2312" w:cs="仿宋"/>
          <w:bCs/>
          <w:color w:val="auto"/>
          <w:sz w:val="32"/>
          <w:szCs w:val="32"/>
          <w:highlight w:val="none"/>
          <w:lang w:eastAsia="zh-CN"/>
        </w:rPr>
        <w:t>淮南市八公山区环境卫生管理处</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年财政拨款收支总表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5.</w:t>
      </w:r>
      <w:r>
        <w:rPr>
          <w:rFonts w:hint="eastAsia" w:ascii="仿宋_GB2312" w:hAnsi="仿宋" w:eastAsia="仿宋_GB2312" w:cs="仿宋"/>
          <w:bCs/>
          <w:color w:val="auto"/>
          <w:sz w:val="32"/>
          <w:szCs w:val="32"/>
          <w:highlight w:val="none"/>
          <w:lang w:eastAsia="zh-CN"/>
        </w:rPr>
        <w:t>淮南市八公山区环境卫生管理处</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年一般公共预算支出表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6.</w:t>
      </w:r>
      <w:r>
        <w:rPr>
          <w:rFonts w:hint="eastAsia" w:ascii="仿宋_GB2312" w:hAnsi="仿宋" w:eastAsia="仿宋_GB2312" w:cs="仿宋"/>
          <w:bCs/>
          <w:color w:val="auto"/>
          <w:sz w:val="32"/>
          <w:szCs w:val="32"/>
          <w:highlight w:val="none"/>
          <w:lang w:eastAsia="zh-CN"/>
        </w:rPr>
        <w:t>淮南市八公山区环境卫生管理处</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年一般公共预算基本支出表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7.</w:t>
      </w:r>
      <w:r>
        <w:rPr>
          <w:rFonts w:hint="eastAsia" w:ascii="仿宋_GB2312" w:hAnsi="仿宋" w:eastAsia="仿宋_GB2312" w:cs="仿宋"/>
          <w:bCs/>
          <w:color w:val="auto"/>
          <w:sz w:val="32"/>
          <w:szCs w:val="32"/>
          <w:highlight w:val="none"/>
          <w:lang w:eastAsia="zh-CN"/>
        </w:rPr>
        <w:t>淮南市八公山区环境卫生管理处</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年政府性基金预算支出表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8.</w:t>
      </w:r>
      <w:r>
        <w:rPr>
          <w:rFonts w:hint="eastAsia" w:ascii="仿宋_GB2312" w:hAnsi="仿宋" w:eastAsia="仿宋_GB2312" w:cs="仿宋"/>
          <w:bCs/>
          <w:color w:val="auto"/>
          <w:sz w:val="32"/>
          <w:szCs w:val="32"/>
          <w:highlight w:val="none"/>
          <w:lang w:eastAsia="zh-CN"/>
        </w:rPr>
        <w:t>淮南市八公山区环境卫生管理处</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年国有资本经营预算支出表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9.</w:t>
      </w:r>
      <w:r>
        <w:rPr>
          <w:rFonts w:hint="eastAsia" w:ascii="仿宋_GB2312" w:hAnsi="仿宋" w:eastAsia="仿宋_GB2312" w:cs="仿宋"/>
          <w:bCs/>
          <w:color w:val="auto"/>
          <w:sz w:val="32"/>
          <w:szCs w:val="32"/>
          <w:highlight w:val="none"/>
          <w:lang w:eastAsia="zh-CN"/>
        </w:rPr>
        <w:t>淮南市八公山区环境卫生管理处</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年项目支出表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10.</w:t>
      </w:r>
      <w:r>
        <w:rPr>
          <w:rFonts w:hint="eastAsia" w:ascii="仿宋_GB2312" w:hAnsi="仿宋" w:eastAsia="仿宋_GB2312" w:cs="仿宋"/>
          <w:bCs/>
          <w:color w:val="auto"/>
          <w:sz w:val="32"/>
          <w:szCs w:val="32"/>
          <w:highlight w:val="none"/>
          <w:lang w:eastAsia="zh-CN"/>
        </w:rPr>
        <w:t>淮南市八公山区环境卫生管理处</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年政府采购支出表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11.</w:t>
      </w:r>
      <w:r>
        <w:rPr>
          <w:rFonts w:hint="eastAsia" w:ascii="仿宋_GB2312" w:hAnsi="仿宋" w:eastAsia="仿宋_GB2312" w:cs="仿宋"/>
          <w:bCs/>
          <w:color w:val="auto"/>
          <w:sz w:val="32"/>
          <w:szCs w:val="32"/>
          <w:highlight w:val="none"/>
          <w:lang w:eastAsia="zh-CN"/>
        </w:rPr>
        <w:t>淮南市八公山区环境卫生管理处</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年政府购买服务支出表</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color w:val="auto"/>
          <w:sz w:val="32"/>
          <w:szCs w:val="32"/>
          <w:highlight w:val="none"/>
        </w:rPr>
      </w:pPr>
      <w:r>
        <w:rPr>
          <w:rFonts w:hint="eastAsia" w:ascii="仿宋_GB2312" w:hAnsi="仿宋" w:eastAsia="仿宋_GB2312" w:cs="仿宋"/>
          <w:b/>
          <w:color w:val="auto"/>
          <w:sz w:val="32"/>
          <w:szCs w:val="32"/>
          <w:highlight w:val="none"/>
        </w:rPr>
        <w:t>第三部分</w:t>
      </w:r>
      <w:r>
        <w:rPr>
          <w:rFonts w:ascii="仿宋_GB2312" w:hAnsi="仿宋" w:eastAsia="仿宋_GB2312" w:cs="仿宋"/>
          <w:b/>
          <w:color w:val="auto"/>
          <w:sz w:val="32"/>
          <w:szCs w:val="32"/>
          <w:highlight w:val="none"/>
        </w:rPr>
        <w:t xml:space="preserve"> 2022</w:t>
      </w:r>
      <w:r>
        <w:rPr>
          <w:rFonts w:hint="eastAsia" w:ascii="仿宋_GB2312" w:hAnsi="仿宋" w:eastAsia="仿宋_GB2312" w:cs="仿宋"/>
          <w:b/>
          <w:color w:val="auto"/>
          <w:sz w:val="32"/>
          <w:szCs w:val="32"/>
          <w:highlight w:val="none"/>
        </w:rPr>
        <w:t>年</w:t>
      </w:r>
      <w:r>
        <w:rPr>
          <w:rFonts w:hint="eastAsia" w:ascii="仿宋_GB2312" w:hAnsi="仿宋" w:eastAsia="仿宋_GB2312" w:cs="仿宋"/>
          <w:b/>
          <w:color w:val="auto"/>
          <w:sz w:val="32"/>
          <w:szCs w:val="32"/>
          <w:highlight w:val="none"/>
          <w:u w:val="none"/>
        </w:rPr>
        <w:t>单位</w:t>
      </w:r>
      <w:r>
        <w:rPr>
          <w:rFonts w:hint="eastAsia" w:ascii="仿宋_GB2312" w:hAnsi="仿宋" w:eastAsia="仿宋_GB2312" w:cs="仿宋"/>
          <w:b/>
          <w:color w:val="auto"/>
          <w:sz w:val="32"/>
          <w:szCs w:val="32"/>
          <w:highlight w:val="none"/>
        </w:rPr>
        <w:t>预算情况说明</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1.</w:t>
      </w:r>
      <w:r>
        <w:rPr>
          <w:rFonts w:hint="eastAsia" w:ascii="仿宋_GB2312" w:hAnsi="仿宋" w:eastAsia="仿宋_GB2312" w:cs="仿宋"/>
          <w:bCs/>
          <w:color w:val="auto"/>
          <w:sz w:val="32"/>
          <w:szCs w:val="32"/>
          <w:highlight w:val="none"/>
        </w:rPr>
        <w:t>关于</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2.</w:t>
      </w:r>
      <w:r>
        <w:rPr>
          <w:rFonts w:hint="eastAsia" w:ascii="仿宋_GB2312" w:hAnsi="仿宋" w:eastAsia="仿宋_GB2312" w:cs="仿宋"/>
          <w:bCs/>
          <w:color w:val="auto"/>
          <w:sz w:val="32"/>
          <w:szCs w:val="32"/>
          <w:highlight w:val="none"/>
        </w:rPr>
        <w:t>关于</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年收入总表的说明</w:t>
      </w:r>
    </w:p>
    <w:p>
      <w:pPr>
        <w:adjustRightInd w:val="0"/>
        <w:snapToGrid w:val="0"/>
        <w:spacing w:line="600" w:lineRule="exact"/>
        <w:ind w:firstLine="640" w:firstLineChars="200"/>
        <w:rPr>
          <w:rFonts w:ascii="仿宋_GB2312" w:hAnsi="仿宋" w:eastAsia="仿宋_GB2312" w:cs="仿宋"/>
          <w:bCs/>
          <w:color w:val="auto"/>
          <w:kern w:val="0"/>
          <w:sz w:val="32"/>
          <w:szCs w:val="32"/>
          <w:highlight w:val="none"/>
        </w:rPr>
      </w:pPr>
      <w:r>
        <w:rPr>
          <w:rFonts w:ascii="仿宋_GB2312" w:hAnsi="仿宋" w:eastAsia="仿宋_GB2312" w:cs="仿宋"/>
          <w:bCs/>
          <w:color w:val="auto"/>
          <w:kern w:val="0"/>
          <w:sz w:val="32"/>
          <w:szCs w:val="32"/>
          <w:highlight w:val="none"/>
        </w:rPr>
        <w:t>3.</w:t>
      </w:r>
      <w:r>
        <w:rPr>
          <w:rFonts w:hint="eastAsia" w:ascii="仿宋_GB2312" w:hAnsi="仿宋" w:eastAsia="仿宋_GB2312" w:cs="仿宋"/>
          <w:bCs/>
          <w:color w:val="auto"/>
          <w:kern w:val="0"/>
          <w:sz w:val="32"/>
          <w:szCs w:val="32"/>
          <w:highlight w:val="none"/>
        </w:rPr>
        <w:t>关于</w:t>
      </w:r>
      <w:r>
        <w:rPr>
          <w:rFonts w:ascii="仿宋_GB2312" w:hAnsi="仿宋" w:eastAsia="仿宋_GB2312" w:cs="仿宋"/>
          <w:bCs/>
          <w:color w:val="auto"/>
          <w:kern w:val="0"/>
          <w:sz w:val="32"/>
          <w:szCs w:val="32"/>
          <w:highlight w:val="none"/>
        </w:rPr>
        <w:t>2022</w:t>
      </w:r>
      <w:r>
        <w:rPr>
          <w:rFonts w:hint="eastAsia" w:ascii="仿宋_GB2312" w:hAnsi="仿宋" w:eastAsia="仿宋_GB2312" w:cs="仿宋"/>
          <w:bCs/>
          <w:color w:val="auto"/>
          <w:kern w:val="0"/>
          <w:sz w:val="32"/>
          <w:szCs w:val="32"/>
          <w:highlight w:val="none"/>
        </w:rPr>
        <w:t>年支出总表的说明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4.</w:t>
      </w:r>
      <w:r>
        <w:rPr>
          <w:rFonts w:hint="eastAsia" w:ascii="仿宋_GB2312" w:hAnsi="仿宋" w:eastAsia="仿宋_GB2312" w:cs="仿宋"/>
          <w:bCs/>
          <w:color w:val="auto"/>
          <w:sz w:val="32"/>
          <w:szCs w:val="32"/>
          <w:highlight w:val="none"/>
        </w:rPr>
        <w:t>关于</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年财政拨款收支总表的说明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5.</w:t>
      </w:r>
      <w:r>
        <w:rPr>
          <w:rFonts w:hint="eastAsia" w:ascii="仿宋_GB2312" w:hAnsi="仿宋" w:eastAsia="仿宋_GB2312" w:cs="仿宋"/>
          <w:bCs/>
          <w:color w:val="auto"/>
          <w:sz w:val="32"/>
          <w:szCs w:val="32"/>
          <w:highlight w:val="none"/>
        </w:rPr>
        <w:t>关于</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年一般公共预算支出表的说明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6.</w:t>
      </w:r>
      <w:r>
        <w:rPr>
          <w:rFonts w:hint="eastAsia" w:ascii="仿宋_GB2312" w:hAnsi="仿宋" w:eastAsia="仿宋_GB2312" w:cs="仿宋"/>
          <w:bCs/>
          <w:color w:val="auto"/>
          <w:sz w:val="32"/>
          <w:szCs w:val="32"/>
          <w:highlight w:val="none"/>
        </w:rPr>
        <w:t>关于</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年一般公共预算基本支出表的说明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7.</w:t>
      </w:r>
      <w:r>
        <w:rPr>
          <w:rFonts w:hint="eastAsia" w:ascii="仿宋_GB2312" w:hAnsi="仿宋" w:eastAsia="仿宋_GB2312" w:cs="仿宋"/>
          <w:bCs/>
          <w:color w:val="auto"/>
          <w:sz w:val="32"/>
          <w:szCs w:val="32"/>
          <w:highlight w:val="none"/>
        </w:rPr>
        <w:t>关于</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年政府性基金预算支出表的说明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8.</w:t>
      </w:r>
      <w:r>
        <w:rPr>
          <w:rFonts w:hint="eastAsia" w:ascii="仿宋_GB2312" w:hAnsi="仿宋" w:eastAsia="仿宋_GB2312" w:cs="仿宋"/>
          <w:bCs/>
          <w:color w:val="auto"/>
          <w:sz w:val="32"/>
          <w:szCs w:val="32"/>
          <w:highlight w:val="none"/>
        </w:rPr>
        <w:t>关于</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年国有资本经营预算支出表的说明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9.</w:t>
      </w:r>
      <w:r>
        <w:rPr>
          <w:rFonts w:hint="eastAsia" w:ascii="仿宋_GB2312" w:hAnsi="仿宋" w:eastAsia="仿宋_GB2312" w:cs="仿宋"/>
          <w:bCs/>
          <w:color w:val="auto"/>
          <w:sz w:val="32"/>
          <w:szCs w:val="32"/>
          <w:highlight w:val="none"/>
        </w:rPr>
        <w:t>关于</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年项目支出表的说明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10.</w:t>
      </w:r>
      <w:r>
        <w:rPr>
          <w:rFonts w:hint="eastAsia" w:ascii="仿宋_GB2312" w:hAnsi="仿宋" w:eastAsia="仿宋_GB2312" w:cs="仿宋"/>
          <w:bCs/>
          <w:color w:val="auto"/>
          <w:sz w:val="32"/>
          <w:szCs w:val="32"/>
          <w:highlight w:val="none"/>
        </w:rPr>
        <w:t>关于</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年政府采购支出表的说明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11.</w:t>
      </w:r>
      <w:r>
        <w:rPr>
          <w:rFonts w:hint="eastAsia" w:ascii="仿宋_GB2312" w:hAnsi="仿宋" w:eastAsia="仿宋_GB2312" w:cs="仿宋"/>
          <w:bCs/>
          <w:color w:val="auto"/>
          <w:sz w:val="32"/>
          <w:szCs w:val="32"/>
          <w:highlight w:val="none"/>
        </w:rPr>
        <w:t>关于</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年政府购买服务支出表的说明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color w:val="auto"/>
          <w:sz w:val="32"/>
          <w:szCs w:val="32"/>
          <w:highlight w:val="none"/>
        </w:rPr>
      </w:pPr>
      <w:r>
        <w:rPr>
          <w:rFonts w:ascii="仿宋_GB2312" w:hAnsi="仿宋" w:eastAsia="仿宋_GB2312" w:cs="仿宋"/>
          <w:bCs/>
          <w:color w:val="auto"/>
          <w:sz w:val="32"/>
          <w:szCs w:val="32"/>
          <w:highlight w:val="none"/>
        </w:rPr>
        <w:t>12.</w:t>
      </w:r>
      <w:r>
        <w:rPr>
          <w:rFonts w:hint="eastAsia" w:ascii="仿宋_GB2312" w:hAnsi="仿宋" w:eastAsia="仿宋_GB2312" w:cs="仿宋"/>
          <w:bCs/>
          <w:color w:val="auto"/>
          <w:sz w:val="32"/>
          <w:szCs w:val="32"/>
          <w:highlight w:val="none"/>
        </w:rPr>
        <w:t>其他重要事项情况说明</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color w:val="auto"/>
          <w:sz w:val="32"/>
          <w:szCs w:val="32"/>
          <w:highlight w:val="none"/>
        </w:rPr>
      </w:pPr>
      <w:r>
        <w:rPr>
          <w:rFonts w:hint="eastAsia" w:ascii="仿宋_GB2312" w:hAnsi="仿宋" w:eastAsia="仿宋_GB2312" w:cs="仿宋"/>
          <w:b/>
          <w:color w:val="auto"/>
          <w:sz w:val="32"/>
          <w:szCs w:val="32"/>
          <w:highlight w:val="none"/>
        </w:rPr>
        <w:t>第四部分</w:t>
      </w:r>
      <w:r>
        <w:rPr>
          <w:rFonts w:ascii="仿宋_GB2312" w:hAnsi="仿宋" w:eastAsia="仿宋_GB2312" w:cs="仿宋"/>
          <w:b/>
          <w:color w:val="auto"/>
          <w:sz w:val="32"/>
          <w:szCs w:val="32"/>
          <w:highlight w:val="none"/>
        </w:rPr>
        <w:t xml:space="preserve"> </w:t>
      </w:r>
      <w:r>
        <w:rPr>
          <w:rFonts w:hint="eastAsia" w:ascii="仿宋_GB2312" w:hAnsi="仿宋" w:eastAsia="仿宋_GB2312" w:cs="仿宋"/>
          <w:b/>
          <w:color w:val="auto"/>
          <w:sz w:val="32"/>
          <w:szCs w:val="32"/>
          <w:highlight w:val="none"/>
        </w:rPr>
        <w:t>名词解释</w:t>
      </w:r>
    </w:p>
    <w:p>
      <w:pPr>
        <w:pStyle w:val="4"/>
        <w:adjustRightInd w:val="0"/>
        <w:snapToGrid w:val="0"/>
        <w:spacing w:before="0" w:beforeAutospacing="0" w:after="0" w:afterAutospacing="0" w:line="500" w:lineRule="exact"/>
        <w:ind w:firstLine="643" w:firstLineChars="200"/>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ind w:firstLine="643" w:firstLineChars="200"/>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ind w:firstLine="643" w:firstLineChars="200"/>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500" w:lineRule="exact"/>
        <w:rPr>
          <w:rFonts w:ascii="仿宋_GB2312" w:hAnsi="仿宋" w:eastAsia="仿宋_GB2312" w:cs="仿宋"/>
          <w:b/>
          <w:color w:val="auto"/>
          <w:sz w:val="32"/>
          <w:szCs w:val="32"/>
          <w:highlight w:val="none"/>
        </w:rPr>
      </w:pPr>
    </w:p>
    <w:p>
      <w:pPr>
        <w:pStyle w:val="4"/>
        <w:adjustRightInd w:val="0"/>
        <w:snapToGrid w:val="0"/>
        <w:spacing w:before="0" w:beforeAutospacing="0" w:after="0" w:afterAutospacing="0" w:line="360" w:lineRule="auto"/>
        <w:jc w:val="center"/>
        <w:rPr>
          <w:rFonts w:ascii="黑体" w:hAnsi="黑体" w:eastAsia="黑体"/>
          <w:bCs/>
          <w:color w:val="auto"/>
          <w:sz w:val="36"/>
          <w:szCs w:val="36"/>
          <w:highlight w:val="none"/>
        </w:rPr>
      </w:pPr>
      <w:r>
        <w:rPr>
          <w:rFonts w:hint="eastAsia" w:ascii="黑体" w:hAnsi="黑体" w:eastAsia="黑体"/>
          <w:bCs/>
          <w:color w:val="auto"/>
          <w:sz w:val="36"/>
          <w:szCs w:val="36"/>
          <w:highlight w:val="none"/>
        </w:rPr>
        <w:t>第一部分</w:t>
      </w:r>
      <w:r>
        <w:rPr>
          <w:rFonts w:ascii="黑体" w:hAnsi="黑体" w:eastAsia="黑体"/>
          <w:bCs/>
          <w:color w:val="auto"/>
          <w:sz w:val="36"/>
          <w:szCs w:val="36"/>
          <w:highlight w:val="none"/>
        </w:rPr>
        <w:t xml:space="preserve"> </w:t>
      </w:r>
      <w:r>
        <w:rPr>
          <w:rFonts w:hint="eastAsia" w:ascii="黑体" w:hAnsi="黑体" w:eastAsia="黑体"/>
          <w:bCs/>
          <w:color w:val="auto"/>
          <w:sz w:val="36"/>
          <w:szCs w:val="36"/>
          <w:highlight w:val="none"/>
          <w:u w:val="none"/>
        </w:rPr>
        <w:t>单位</w:t>
      </w:r>
      <w:r>
        <w:rPr>
          <w:rFonts w:hint="eastAsia" w:ascii="黑体" w:hAnsi="黑体" w:eastAsia="黑体"/>
          <w:bCs/>
          <w:color w:val="auto"/>
          <w:sz w:val="36"/>
          <w:szCs w:val="36"/>
          <w:highlight w:val="none"/>
        </w:rPr>
        <w:t>概况</w:t>
      </w:r>
    </w:p>
    <w:p>
      <w:pPr>
        <w:pStyle w:val="4"/>
        <w:adjustRightInd w:val="0"/>
        <w:snapToGrid w:val="0"/>
        <w:spacing w:before="0" w:beforeAutospacing="0" w:after="0" w:afterAutospacing="0" w:line="360" w:lineRule="auto"/>
        <w:ind w:firstLine="627" w:firstLineChars="196"/>
        <w:jc w:val="both"/>
        <w:rPr>
          <w:color w:val="auto"/>
          <w:highlight w:val="none"/>
        </w:rPr>
      </w:pPr>
      <w:r>
        <w:rPr>
          <w:rFonts w:hint="eastAsia" w:ascii="黑体" w:hAnsi="黑体" w:eastAsia="黑体"/>
          <w:bCs/>
          <w:color w:val="auto"/>
          <w:sz w:val="32"/>
          <w:szCs w:val="32"/>
          <w:highlight w:val="none"/>
        </w:rPr>
        <w:t>一、主要职责</w:t>
      </w:r>
    </w:p>
    <w:p>
      <w:pPr>
        <w:ind w:firstLine="640" w:firstLineChars="200"/>
        <w:rPr>
          <w:rFonts w:hint="eastAsia" w:ascii="仿宋_GB2312" w:hAnsi="仿宋" w:eastAsia="仿宋_GB2312" w:cs="仿宋"/>
          <w:bCs/>
          <w:color w:val="auto"/>
          <w:kern w:val="0"/>
          <w:sz w:val="32"/>
          <w:szCs w:val="32"/>
          <w:highlight w:val="none"/>
          <w:lang w:val="en-US" w:eastAsia="zh-CN" w:bidi="ar-SA"/>
        </w:rPr>
      </w:pPr>
      <w:r>
        <w:rPr>
          <w:rFonts w:hint="eastAsia" w:ascii="仿宋_GB2312" w:hAnsi="仿宋" w:eastAsia="仿宋_GB2312" w:cs="仿宋"/>
          <w:bCs/>
          <w:color w:val="auto"/>
          <w:kern w:val="0"/>
          <w:sz w:val="32"/>
          <w:szCs w:val="32"/>
          <w:highlight w:val="none"/>
          <w:lang w:val="en-US" w:eastAsia="zh-CN" w:bidi="ar-SA"/>
        </w:rPr>
        <w:t>淮南市八公山区环境卫生管理处的主要任务是为维护城市环境卫生提供管理保障，城市环境卫生设施建设、设施运营与维护、监督、作业管理。</w:t>
      </w:r>
    </w:p>
    <w:p>
      <w:pPr>
        <w:pStyle w:val="4"/>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color w:val="auto"/>
          <w:sz w:val="32"/>
          <w:szCs w:val="32"/>
          <w:highlight w:val="none"/>
        </w:rPr>
      </w:pPr>
      <w:r>
        <w:rPr>
          <w:rFonts w:hint="eastAsia" w:ascii="黑体" w:hAnsi="黑体" w:eastAsia="黑体"/>
          <w:bCs/>
          <w:color w:val="auto"/>
          <w:sz w:val="32"/>
          <w:szCs w:val="32"/>
          <w:highlight w:val="none"/>
          <w:u w:val="none"/>
        </w:rPr>
        <w:t>单位</w:t>
      </w:r>
      <w:r>
        <w:rPr>
          <w:rFonts w:hint="eastAsia" w:ascii="黑体" w:hAnsi="黑体" w:eastAsia="黑体"/>
          <w:bCs/>
          <w:color w:val="auto"/>
          <w:sz w:val="32"/>
          <w:szCs w:val="32"/>
          <w:highlight w:val="none"/>
        </w:rPr>
        <w:t>预算构成</w:t>
      </w:r>
    </w:p>
    <w:p>
      <w:pPr>
        <w:pStyle w:val="4"/>
        <w:adjustRightInd w:val="0"/>
        <w:snapToGrid w:val="0"/>
        <w:spacing w:before="0" w:beforeAutospacing="0" w:after="0" w:afterAutospacing="0" w:line="600" w:lineRule="exact"/>
        <w:ind w:firstLine="480" w:firstLineChars="150"/>
        <w:outlineLvl w:val="0"/>
        <w:rPr>
          <w:rFonts w:ascii="仿宋_GB2312" w:hAnsi="仿宋" w:eastAsia="仿宋_GB2312" w:cs="仿宋"/>
          <w:bCs/>
          <w:color w:val="auto"/>
          <w:sz w:val="32"/>
          <w:szCs w:val="32"/>
          <w:highlight w:val="none"/>
        </w:rPr>
      </w:pPr>
      <w:r>
        <w:rPr>
          <w:rFonts w:hint="eastAsia" w:ascii="仿宋_GB2312" w:hAnsi="仿宋" w:eastAsia="仿宋_GB2312"/>
          <w:color w:val="auto"/>
          <w:sz w:val="32"/>
          <w:szCs w:val="32"/>
          <w:highlight w:val="none"/>
          <w:lang w:eastAsia="zh-CN"/>
        </w:rPr>
        <w:t>淮南市八公山区环境卫生管理处</w:t>
      </w:r>
      <w:r>
        <w:rPr>
          <w:rFonts w:ascii="仿宋_GB2312" w:hAnsi="仿宋" w:eastAsia="仿宋_GB2312" w:cs="仿宋"/>
          <w:bCs/>
          <w:color w:val="auto"/>
          <w:sz w:val="32"/>
          <w:szCs w:val="32"/>
          <w:highlight w:val="none"/>
        </w:rPr>
        <w:t>2022</w:t>
      </w:r>
      <w:r>
        <w:rPr>
          <w:rFonts w:hint="eastAsia" w:ascii="仿宋_GB2312" w:hAnsi="仿宋" w:eastAsia="仿宋_GB2312" w:cs="仿宋"/>
          <w:bCs/>
          <w:color w:val="auto"/>
          <w:sz w:val="32"/>
          <w:szCs w:val="32"/>
          <w:highlight w:val="none"/>
        </w:rPr>
        <w:t>年度单位预算仅包括单位本级预算，无其他下属单位预算。</w:t>
      </w:r>
    </w:p>
    <w:p>
      <w:pPr>
        <w:pStyle w:val="4"/>
        <w:adjustRightInd w:val="0"/>
        <w:snapToGrid w:val="0"/>
        <w:spacing w:before="0" w:beforeAutospacing="0" w:after="0" w:afterAutospacing="0" w:line="600" w:lineRule="exact"/>
        <w:ind w:firstLine="480" w:firstLineChars="150"/>
        <w:outlineLvl w:val="0"/>
        <w:rPr>
          <w:rFonts w:ascii="黑体" w:hAnsi="黑体" w:eastAsia="黑体"/>
          <w:bCs/>
          <w:color w:val="auto"/>
          <w:sz w:val="32"/>
          <w:szCs w:val="32"/>
          <w:highlight w:val="none"/>
        </w:rPr>
      </w:pPr>
      <w:r>
        <w:rPr>
          <w:rFonts w:hint="eastAsia" w:ascii="黑体" w:hAnsi="黑体" w:eastAsia="黑体"/>
          <w:bCs/>
          <w:color w:val="auto"/>
          <w:sz w:val="32"/>
          <w:szCs w:val="32"/>
          <w:highlight w:val="none"/>
        </w:rPr>
        <w:t>三、</w:t>
      </w:r>
      <w:r>
        <w:rPr>
          <w:rFonts w:ascii="黑体" w:hAnsi="黑体" w:eastAsia="黑体"/>
          <w:bCs/>
          <w:color w:val="auto"/>
          <w:sz w:val="32"/>
          <w:szCs w:val="32"/>
          <w:highlight w:val="none"/>
        </w:rPr>
        <w:t>2022</w:t>
      </w:r>
      <w:r>
        <w:rPr>
          <w:rFonts w:hint="eastAsia" w:ascii="黑体" w:hAnsi="黑体" w:eastAsia="黑体"/>
          <w:bCs/>
          <w:color w:val="auto"/>
          <w:sz w:val="32"/>
          <w:szCs w:val="32"/>
          <w:highlight w:val="none"/>
        </w:rPr>
        <w:t>年度主要工作任务</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（一）维护好2021年城市环境卫生提供管理保障。</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olor w:val="auto"/>
          <w:sz w:val="32"/>
          <w:szCs w:val="32"/>
          <w:highlight w:val="none"/>
          <w:lang w:eastAsia="zh-CN"/>
        </w:rPr>
      </w:pPr>
      <w:r>
        <w:rPr>
          <w:rFonts w:hint="eastAsia" w:ascii="仿宋_GB2312" w:hAnsi="仿宋" w:eastAsia="仿宋_GB2312"/>
          <w:color w:val="auto"/>
          <w:sz w:val="32"/>
          <w:szCs w:val="32"/>
          <w:highlight w:val="none"/>
          <w:lang w:eastAsia="zh-CN"/>
        </w:rPr>
        <w:t>（二）做好2021年城市环境卫生设施建设、设施运营与维护、监督、作业管理。</w:t>
      </w:r>
    </w:p>
    <w:p>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olor w:val="auto"/>
          <w:sz w:val="32"/>
          <w:szCs w:val="32"/>
          <w:highlight w:val="none"/>
          <w:lang w:eastAsia="zh-CN"/>
        </w:rPr>
      </w:pPr>
    </w:p>
    <w:p>
      <w:pPr>
        <w:pStyle w:val="4"/>
        <w:numPr>
          <w:ilvl w:val="0"/>
          <w:numId w:val="2"/>
        </w:numPr>
        <w:adjustRightInd w:val="0"/>
        <w:snapToGrid w:val="0"/>
        <w:spacing w:before="0" w:beforeAutospacing="0" w:after="0" w:afterAutospacing="0" w:line="360" w:lineRule="auto"/>
        <w:jc w:val="center"/>
        <w:rPr>
          <w:rFonts w:hint="eastAsia" w:ascii="黑体" w:hAnsi="黑体" w:eastAsia="黑体"/>
          <w:bCs/>
          <w:color w:val="auto"/>
          <w:sz w:val="36"/>
          <w:szCs w:val="36"/>
          <w:highlight w:val="none"/>
        </w:rPr>
      </w:pPr>
      <w:r>
        <w:rPr>
          <w:rFonts w:ascii="黑体" w:hAnsi="黑体" w:eastAsia="黑体"/>
          <w:bCs/>
          <w:color w:val="auto"/>
          <w:sz w:val="36"/>
          <w:szCs w:val="36"/>
          <w:highlight w:val="none"/>
        </w:rPr>
        <w:t>2022</w:t>
      </w:r>
      <w:r>
        <w:rPr>
          <w:rFonts w:hint="eastAsia" w:ascii="黑体" w:hAnsi="黑体" w:eastAsia="黑体"/>
          <w:bCs/>
          <w:color w:val="auto"/>
          <w:sz w:val="36"/>
          <w:szCs w:val="36"/>
          <w:highlight w:val="none"/>
        </w:rPr>
        <w:t>年</w:t>
      </w:r>
      <w:r>
        <w:rPr>
          <w:rFonts w:hint="eastAsia" w:ascii="黑体" w:hAnsi="黑体" w:eastAsia="黑体"/>
          <w:bCs/>
          <w:color w:val="auto"/>
          <w:sz w:val="36"/>
          <w:szCs w:val="36"/>
          <w:highlight w:val="none"/>
          <w:u w:val="none"/>
        </w:rPr>
        <w:t>单位</w:t>
      </w:r>
      <w:r>
        <w:rPr>
          <w:rFonts w:hint="eastAsia" w:ascii="黑体" w:hAnsi="黑体" w:eastAsia="黑体"/>
          <w:bCs/>
          <w:color w:val="auto"/>
          <w:sz w:val="36"/>
          <w:szCs w:val="36"/>
          <w:highlight w:val="none"/>
        </w:rPr>
        <w:t>预算表</w:t>
      </w:r>
    </w:p>
    <w:p>
      <w:pPr>
        <w:ind w:firstLine="5800" w:firstLineChars="2900"/>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u w:val="single"/>
        </w:rPr>
        <w:t>（单位）</w:t>
      </w:r>
      <w:r>
        <w:rPr>
          <w:rFonts w:hint="eastAsia" w:ascii="宋体" w:hAnsi="宋体" w:cs="宋体"/>
          <w:color w:val="auto"/>
          <w:kern w:val="0"/>
          <w:sz w:val="20"/>
          <w:szCs w:val="20"/>
          <w:highlight w:val="none"/>
        </w:rPr>
        <w:t>公开表</w:t>
      </w:r>
      <w:r>
        <w:rPr>
          <w:rFonts w:ascii="宋体" w:hAnsi="宋体" w:cs="宋体"/>
          <w:color w:val="auto"/>
          <w:kern w:val="0"/>
          <w:sz w:val="20"/>
          <w:szCs w:val="20"/>
          <w:highlight w:val="none"/>
        </w:rPr>
        <w:t>1</w:t>
      </w:r>
    </w:p>
    <w:p>
      <w:pPr>
        <w:rPr>
          <w:rFonts w:ascii="华文中宋" w:hAnsi="华文中宋" w:eastAsia="华文中宋" w:cs="宋体"/>
          <w:b/>
          <w:bCs/>
          <w:color w:val="auto"/>
          <w:kern w:val="0"/>
          <w:sz w:val="32"/>
          <w:szCs w:val="32"/>
          <w:highlight w:val="none"/>
        </w:rPr>
      </w:pPr>
      <w:r>
        <w:rPr>
          <w:rFonts w:ascii="华文中宋" w:hAnsi="华文中宋" w:eastAsia="华文中宋" w:cs="宋体"/>
          <w:b/>
          <w:bCs/>
          <w:color w:val="auto"/>
          <w:kern w:val="0"/>
          <w:sz w:val="32"/>
          <w:szCs w:val="32"/>
          <w:highlight w:val="none"/>
        </w:rPr>
        <w:t xml:space="preserve">    </w:t>
      </w:r>
      <w:r>
        <w:rPr>
          <w:rFonts w:hint="eastAsia" w:ascii="华文中宋" w:hAnsi="华文中宋" w:eastAsia="华文中宋" w:cs="宋体"/>
          <w:b/>
          <w:bCs/>
          <w:color w:val="auto"/>
          <w:kern w:val="0"/>
          <w:sz w:val="32"/>
          <w:szCs w:val="32"/>
          <w:highlight w:val="none"/>
          <w:lang w:eastAsia="zh-CN"/>
        </w:rPr>
        <w:t>淮南市八公山区环境卫生管理处</w:t>
      </w:r>
      <w:r>
        <w:rPr>
          <w:rFonts w:ascii="华文中宋" w:hAnsi="华文中宋" w:eastAsia="华文中宋" w:cs="宋体"/>
          <w:b/>
          <w:bCs/>
          <w:color w:val="auto"/>
          <w:kern w:val="0"/>
          <w:sz w:val="32"/>
          <w:szCs w:val="32"/>
          <w:highlight w:val="none"/>
        </w:rPr>
        <w:t>2022</w:t>
      </w:r>
      <w:r>
        <w:rPr>
          <w:rFonts w:hint="eastAsia" w:ascii="华文中宋" w:hAnsi="华文中宋" w:eastAsia="华文中宋" w:cs="宋体"/>
          <w:b/>
          <w:bCs/>
          <w:color w:val="auto"/>
          <w:kern w:val="0"/>
          <w:sz w:val="32"/>
          <w:szCs w:val="32"/>
          <w:highlight w:val="none"/>
        </w:rPr>
        <w:t>年收支总表</w:t>
      </w:r>
    </w:p>
    <w:p>
      <w:pPr>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单位：万元</w:t>
      </w:r>
    </w:p>
    <w:tbl>
      <w:tblPr>
        <w:tblStyle w:val="5"/>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 w:val="20"/>
                <w:szCs w:val="20"/>
                <w:highlight w:val="none"/>
              </w:rPr>
            </w:pPr>
            <w:r>
              <w:rPr>
                <w:rFonts w:ascii="宋体" w:hAnsi="宋体" w:cs="宋体"/>
                <w:b/>
                <w:color w:val="auto"/>
                <w:kern w:val="0"/>
                <w:sz w:val="20"/>
                <w:szCs w:val="20"/>
                <w:highlight w:val="none"/>
              </w:rPr>
              <w:t xml:space="preserve">          </w:t>
            </w:r>
            <w:r>
              <w:rPr>
                <w:rFonts w:hint="eastAsia" w:ascii="宋体" w:hAnsi="宋体" w:cs="宋体"/>
                <w:b/>
                <w:color w:val="auto"/>
                <w:kern w:val="0"/>
                <w:sz w:val="20"/>
                <w:szCs w:val="20"/>
                <w:highlight w:val="none"/>
              </w:rPr>
              <w:t>收</w:t>
            </w:r>
            <w:r>
              <w:rPr>
                <w:rFonts w:ascii="宋体" w:hAnsi="宋体" w:cs="宋体"/>
                <w:b/>
                <w:color w:val="auto"/>
                <w:kern w:val="0"/>
                <w:sz w:val="20"/>
                <w:szCs w:val="20"/>
                <w:highlight w:val="none"/>
              </w:rPr>
              <w:t xml:space="preserve">            </w:t>
            </w:r>
            <w:r>
              <w:rPr>
                <w:rFonts w:hint="eastAsia" w:ascii="宋体" w:hAnsi="宋体" w:cs="宋体"/>
                <w:b/>
                <w:color w:val="auto"/>
                <w:kern w:val="0"/>
                <w:sz w:val="20"/>
                <w:szCs w:val="20"/>
                <w:highlight w:val="none"/>
              </w:rPr>
              <w:t>入</w:t>
            </w:r>
            <w:r>
              <w:rPr>
                <w:rFonts w:ascii="宋体" w:hAnsi="宋体" w:cs="宋体"/>
                <w:b/>
                <w:color w:val="auto"/>
                <w:kern w:val="0"/>
                <w:sz w:val="20"/>
                <w:szCs w:val="20"/>
                <w:highlight w:val="none"/>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支</w:t>
            </w:r>
            <w:r>
              <w:rPr>
                <w:rFonts w:ascii="宋体" w:hAnsi="宋体" w:cs="宋体"/>
                <w:b/>
                <w:color w:val="auto"/>
                <w:kern w:val="0"/>
                <w:sz w:val="20"/>
                <w:szCs w:val="20"/>
                <w:highlight w:val="none"/>
              </w:rPr>
              <w:t xml:space="preserve">          </w:t>
            </w:r>
            <w:r>
              <w:rPr>
                <w:rFonts w:hint="eastAsia" w:ascii="宋体" w:hAnsi="宋体" w:cs="宋体"/>
                <w:b/>
                <w:color w:val="auto"/>
                <w:kern w:val="0"/>
                <w:sz w:val="20"/>
                <w:szCs w:val="20"/>
                <w:highlight w:val="none"/>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收</w:t>
            </w:r>
            <w:r>
              <w:rPr>
                <w:rFonts w:ascii="宋体" w:hAnsi="宋体" w:cs="宋体"/>
                <w:b/>
                <w:color w:val="auto"/>
                <w:kern w:val="0"/>
                <w:sz w:val="20"/>
                <w:szCs w:val="20"/>
                <w:highlight w:val="none"/>
              </w:rPr>
              <w:t xml:space="preserve"> </w:t>
            </w:r>
            <w:r>
              <w:rPr>
                <w:rFonts w:hint="eastAsia" w:ascii="宋体" w:hAnsi="宋体" w:cs="宋体"/>
                <w:b/>
                <w:color w:val="auto"/>
                <w:kern w:val="0"/>
                <w:sz w:val="20"/>
                <w:szCs w:val="20"/>
                <w:highlight w:val="none"/>
              </w:rPr>
              <w:t>入</w:t>
            </w:r>
            <w:r>
              <w:rPr>
                <w:rFonts w:ascii="宋体" w:hAnsi="宋体" w:cs="宋体"/>
                <w:b/>
                <w:color w:val="auto"/>
                <w:kern w:val="0"/>
                <w:sz w:val="20"/>
                <w:szCs w:val="20"/>
                <w:highlight w:val="none"/>
              </w:rPr>
              <w:t xml:space="preserve"> </w:t>
            </w:r>
            <w:r>
              <w:rPr>
                <w:rFonts w:hint="eastAsia" w:ascii="宋体" w:hAnsi="宋体" w:cs="宋体"/>
                <w:b/>
                <w:color w:val="auto"/>
                <w:kern w:val="0"/>
                <w:sz w:val="20"/>
                <w:szCs w:val="20"/>
                <w:highlight w:val="none"/>
              </w:rPr>
              <w:t>项</w:t>
            </w:r>
            <w:r>
              <w:rPr>
                <w:rFonts w:ascii="宋体" w:hAnsi="宋体" w:cs="宋体"/>
                <w:b/>
                <w:color w:val="auto"/>
                <w:kern w:val="0"/>
                <w:sz w:val="20"/>
                <w:szCs w:val="20"/>
                <w:highlight w:val="none"/>
              </w:rPr>
              <w:t xml:space="preserve"> </w:t>
            </w:r>
            <w:r>
              <w:rPr>
                <w:rFonts w:hint="eastAsia" w:ascii="宋体" w:hAnsi="宋体" w:cs="宋体"/>
                <w:b/>
                <w:color w:val="auto"/>
                <w:kern w:val="0"/>
                <w:sz w:val="20"/>
                <w:szCs w:val="20"/>
                <w:highlight w:val="none"/>
              </w:rPr>
              <w:t>目</w:t>
            </w:r>
          </w:p>
        </w:tc>
        <w:tc>
          <w:tcPr>
            <w:tcW w:w="998" w:type="dxa"/>
            <w:tcBorders>
              <w:top w:val="nil"/>
              <w:left w:val="nil"/>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2533.04 </w:t>
            </w: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一、一般公共服务支出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其中：中央转移支付收入</w:t>
            </w:r>
          </w:p>
        </w:tc>
        <w:tc>
          <w:tcPr>
            <w:tcW w:w="99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897.44 </w:t>
            </w: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二、外交支出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三、国防支出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二、政府性基金预算拨款收入</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四、公共安全支出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其中：中央转移支付收入</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五、教育支出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六、科学技术支出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auto"/>
                <w:kern w:val="0"/>
                <w:sz w:val="18"/>
                <w:szCs w:val="18"/>
                <w:highlight w:val="none"/>
              </w:rPr>
            </w:pPr>
            <w:r>
              <w:rPr>
                <w:rFonts w:hint="eastAsia" w:ascii="宋体" w:hAnsi="宋体" w:cs="宋体"/>
                <w:color w:val="auto"/>
                <w:kern w:val="0"/>
                <w:sz w:val="18"/>
                <w:szCs w:val="18"/>
                <w:highlight w:val="none"/>
              </w:rPr>
              <w:t>三、国有资本经营预算拨款收入</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其中：中央转移支付收入</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八、社会保障和就业支出</w:t>
            </w:r>
          </w:p>
        </w:tc>
        <w:tc>
          <w:tcPr>
            <w:tcW w:w="85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53.98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九、卫生健康支出</w:t>
            </w:r>
          </w:p>
        </w:tc>
        <w:tc>
          <w:tcPr>
            <w:tcW w:w="85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14.43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四、财政专户管理资金收入</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十、节能环保支出</w:t>
            </w:r>
          </w:p>
        </w:tc>
        <w:tc>
          <w:tcPr>
            <w:tcW w:w="85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十一、城乡社区支出</w:t>
            </w:r>
          </w:p>
        </w:tc>
        <w:tc>
          <w:tcPr>
            <w:tcW w:w="85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1437.93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五、单位资金收入</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十二、农林水支出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其中：事业收入</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十三、交通运输支出</w:t>
            </w:r>
          </w:p>
        </w:tc>
        <w:tc>
          <w:tcPr>
            <w:tcW w:w="856" w:type="dxa"/>
            <w:tcBorders>
              <w:top w:val="single" w:color="auto" w:sz="4" w:space="0"/>
              <w:left w:val="single" w:color="auto" w:sz="4" w:space="0"/>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事业单位经营收入</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十四、资源勘探工业信息等支出</w:t>
            </w:r>
          </w:p>
        </w:tc>
        <w:tc>
          <w:tcPr>
            <w:tcW w:w="856" w:type="dxa"/>
            <w:tcBorders>
              <w:top w:val="single" w:color="auto" w:sz="4" w:space="0"/>
              <w:left w:val="nil"/>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上级补助收入</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十五、商业服务业等支出</w:t>
            </w:r>
          </w:p>
        </w:tc>
        <w:tc>
          <w:tcPr>
            <w:tcW w:w="856" w:type="dxa"/>
            <w:tcBorders>
              <w:top w:val="single" w:color="auto" w:sz="4" w:space="0"/>
              <w:left w:val="nil"/>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附属单位上缴收入</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十六、金融支出</w:t>
            </w:r>
          </w:p>
        </w:tc>
        <w:tc>
          <w:tcPr>
            <w:tcW w:w="856" w:type="dxa"/>
            <w:tcBorders>
              <w:top w:val="single" w:color="auto" w:sz="4" w:space="0"/>
              <w:left w:val="nil"/>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其他收入</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十七、援助其他地区支出</w:t>
            </w:r>
          </w:p>
        </w:tc>
        <w:tc>
          <w:tcPr>
            <w:tcW w:w="856" w:type="dxa"/>
            <w:tcBorders>
              <w:top w:val="single" w:color="auto" w:sz="4" w:space="0"/>
              <w:left w:val="nil"/>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十八、自然资源海洋气象等支出</w:t>
            </w:r>
          </w:p>
        </w:tc>
        <w:tc>
          <w:tcPr>
            <w:tcW w:w="856" w:type="dxa"/>
            <w:tcBorders>
              <w:top w:val="single" w:color="auto" w:sz="4" w:space="0"/>
              <w:left w:val="nil"/>
              <w:bottom w:val="nil"/>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十九、住房保障支出</w:t>
            </w:r>
          </w:p>
        </w:tc>
        <w:tc>
          <w:tcPr>
            <w:tcW w:w="856" w:type="dxa"/>
            <w:tcBorders>
              <w:top w:val="single" w:color="auto" w:sz="4" w:space="0"/>
              <w:left w:val="nil"/>
              <w:bottom w:val="nil"/>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60.81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二十、粮油物资储备支出</w:t>
            </w:r>
          </w:p>
        </w:tc>
        <w:tc>
          <w:tcPr>
            <w:tcW w:w="856" w:type="dxa"/>
            <w:tcBorders>
              <w:top w:val="single" w:color="auto" w:sz="4" w:space="0"/>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二十一、灾害防治及应急管理支出</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　</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二十二、预备费</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　</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二十三、其他支出</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18"/>
                <w:szCs w:val="18"/>
                <w:highlight w:val="none"/>
              </w:rPr>
            </w:pPr>
            <w:r>
              <w:rPr>
                <w:rFonts w:hint="eastAsia" w:ascii="宋体" w:hAnsi="宋体" w:cs="宋体"/>
                <w:color w:val="auto"/>
                <w:kern w:val="0"/>
                <w:sz w:val="18"/>
                <w:szCs w:val="18"/>
                <w:highlight w:val="none"/>
              </w:rPr>
              <w:t>　</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二十四、转移性支出</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二十五、债务还本支出</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二十六、债务付息支出</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998" w:type="dxa"/>
            <w:tcBorders>
              <w:top w:val="nil"/>
              <w:left w:val="single" w:color="auto" w:sz="4" w:space="0"/>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二十七、债务发行费用支出</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auto"/>
                <w:kern w:val="0"/>
                <w:sz w:val="20"/>
                <w:szCs w:val="20"/>
                <w:highlight w:val="none"/>
              </w:rPr>
            </w:pPr>
            <w:r>
              <w:rPr>
                <w:rFonts w:hint="eastAsia" w:ascii="宋体" w:hAnsi="宋体" w:cs="宋体"/>
                <w:color w:val="auto"/>
                <w:kern w:val="0"/>
                <w:sz w:val="20"/>
                <w:szCs w:val="20"/>
                <w:highlight w:val="none"/>
              </w:rPr>
              <w:t>本</w:t>
            </w: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年</w:t>
            </w: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收</w:t>
            </w: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入</w:t>
            </w: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小</w:t>
            </w: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计</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2533.04 </w:t>
            </w:r>
          </w:p>
        </w:tc>
        <w:tc>
          <w:tcPr>
            <w:tcW w:w="3184" w:type="dxa"/>
            <w:tcBorders>
              <w:top w:val="nil"/>
              <w:left w:val="nil"/>
              <w:bottom w:val="single" w:color="auto" w:sz="4" w:space="0"/>
              <w:right w:val="single" w:color="auto" w:sz="4" w:space="0"/>
            </w:tcBorders>
            <w:vAlign w:val="center"/>
          </w:tcPr>
          <w:p>
            <w:pPr>
              <w:widowControl/>
              <w:jc w:val="center"/>
              <w:rPr>
                <w:rFonts w:ascii="宋体" w:cs="宋体"/>
                <w:color w:val="auto"/>
                <w:kern w:val="0"/>
                <w:sz w:val="20"/>
                <w:szCs w:val="20"/>
                <w:highlight w:val="none"/>
              </w:rPr>
            </w:pPr>
            <w:r>
              <w:rPr>
                <w:rFonts w:hint="eastAsia" w:ascii="宋体" w:hAnsi="宋体" w:cs="宋体"/>
                <w:color w:val="auto"/>
                <w:kern w:val="0"/>
                <w:sz w:val="20"/>
                <w:szCs w:val="20"/>
                <w:highlight w:val="none"/>
              </w:rPr>
              <w:t>本</w:t>
            </w: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年</w:t>
            </w: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支</w:t>
            </w: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出</w:t>
            </w: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小</w:t>
            </w: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计</w:t>
            </w:r>
          </w:p>
        </w:tc>
        <w:tc>
          <w:tcPr>
            <w:tcW w:w="8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2550.60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上年结转结余</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17.56 </w:t>
            </w: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结转下年</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一般公共预算</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17.56 </w:t>
            </w: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一般公共预算</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政府性基金预算</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政府性基金预算</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国有资本经营预算</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18"/>
                <w:szCs w:val="18"/>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国有资本经营预算</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财政专户管理资金</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18"/>
                <w:szCs w:val="18"/>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财政专户管理资金</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单位资金</w:t>
            </w:r>
          </w:p>
        </w:tc>
        <w:tc>
          <w:tcPr>
            <w:tcW w:w="998" w:type="dxa"/>
            <w:tcBorders>
              <w:top w:val="nil"/>
              <w:left w:val="nil"/>
              <w:bottom w:val="single" w:color="auto" w:sz="4" w:space="0"/>
              <w:right w:val="single" w:color="auto" w:sz="4" w:space="0"/>
            </w:tcBorders>
            <w:vAlign w:val="center"/>
          </w:tcPr>
          <w:p>
            <w:pPr>
              <w:jc w:val="right"/>
              <w:rPr>
                <w:rFonts w:ascii="宋体" w:cs="宋体"/>
                <w:color w:val="auto"/>
                <w:kern w:val="0"/>
                <w:sz w:val="18"/>
                <w:szCs w:val="18"/>
                <w:highlight w:val="none"/>
              </w:rPr>
            </w:pPr>
          </w:p>
        </w:tc>
        <w:tc>
          <w:tcPr>
            <w:tcW w:w="3184"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单位资金</w:t>
            </w:r>
          </w:p>
        </w:tc>
        <w:tc>
          <w:tcPr>
            <w:tcW w:w="856"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0"/>
                <w:szCs w:val="20"/>
                <w:highlight w:val="none"/>
              </w:rPr>
            </w:pPr>
            <w:r>
              <w:rPr>
                <w:rFonts w:hint="eastAsia" w:ascii="宋体" w:hAnsi="宋体" w:cs="宋体"/>
                <w:b/>
                <w:bCs/>
                <w:color w:val="auto"/>
                <w:kern w:val="0"/>
                <w:sz w:val="20"/>
                <w:szCs w:val="20"/>
                <w:highlight w:val="none"/>
              </w:rPr>
              <w:t>收</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入</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总</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计</w:t>
            </w:r>
          </w:p>
        </w:tc>
        <w:tc>
          <w:tcPr>
            <w:tcW w:w="99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2550.60 </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0"/>
                <w:szCs w:val="20"/>
                <w:highlight w:val="none"/>
              </w:rPr>
            </w:pPr>
            <w:r>
              <w:rPr>
                <w:rFonts w:hint="eastAsia" w:ascii="宋体" w:hAnsi="宋体" w:cs="宋体"/>
                <w:b/>
                <w:bCs/>
                <w:color w:val="auto"/>
                <w:kern w:val="0"/>
                <w:sz w:val="20"/>
                <w:szCs w:val="20"/>
                <w:highlight w:val="none"/>
              </w:rPr>
              <w:t>支　出</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总　计</w:t>
            </w:r>
          </w:p>
        </w:tc>
        <w:tc>
          <w:tcPr>
            <w:tcW w:w="85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2550.60 </w:t>
            </w:r>
          </w:p>
        </w:tc>
      </w:tr>
    </w:tbl>
    <w:p>
      <w:pPr>
        <w:rPr>
          <w:rFonts w:ascii="宋体" w:cs="宋体"/>
          <w:color w:val="auto"/>
          <w:kern w:val="0"/>
          <w:sz w:val="20"/>
          <w:szCs w:val="20"/>
          <w:highlight w:val="none"/>
        </w:rPr>
        <w:sectPr>
          <w:footerReference r:id="rId3" w:type="default"/>
          <w:pgSz w:w="11906" w:h="16838"/>
          <w:pgMar w:top="1440" w:right="1800" w:bottom="1440" w:left="1800" w:header="851" w:footer="992" w:gutter="0"/>
          <w:cols w:space="425" w:num="1"/>
          <w:docGrid w:type="lines" w:linePitch="312" w:charSpace="0"/>
        </w:sectPr>
      </w:pPr>
    </w:p>
    <w:p>
      <w:pPr>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u w:val="single"/>
        </w:rPr>
        <w:t>（单位）</w:t>
      </w:r>
      <w:r>
        <w:rPr>
          <w:rFonts w:hint="eastAsia" w:ascii="宋体" w:hAnsi="宋体" w:cs="宋体"/>
          <w:color w:val="auto"/>
          <w:kern w:val="0"/>
          <w:sz w:val="20"/>
          <w:szCs w:val="20"/>
          <w:highlight w:val="none"/>
        </w:rPr>
        <w:t>公开表</w:t>
      </w:r>
      <w:r>
        <w:rPr>
          <w:rFonts w:ascii="宋体" w:hAnsi="宋体" w:cs="宋体"/>
          <w:color w:val="auto"/>
          <w:kern w:val="0"/>
          <w:sz w:val="20"/>
          <w:szCs w:val="20"/>
          <w:highlight w:val="none"/>
        </w:rPr>
        <w:t>2</w:t>
      </w:r>
    </w:p>
    <w:p>
      <w:pPr>
        <w:rPr>
          <w:rFonts w:ascii="华文中宋" w:hAnsi="华文中宋" w:eastAsia="华文中宋" w:cs="宋体"/>
          <w:b/>
          <w:bCs/>
          <w:color w:val="auto"/>
          <w:kern w:val="0"/>
          <w:sz w:val="32"/>
          <w:szCs w:val="32"/>
          <w:highlight w:val="none"/>
        </w:rPr>
      </w:pPr>
      <w:r>
        <w:rPr>
          <w:rFonts w:ascii="华文中宋" w:hAnsi="华文中宋" w:eastAsia="华文中宋" w:cs="宋体"/>
          <w:b/>
          <w:bCs/>
          <w:color w:val="auto"/>
          <w:kern w:val="0"/>
          <w:sz w:val="32"/>
          <w:szCs w:val="32"/>
          <w:highlight w:val="none"/>
        </w:rPr>
        <w:t xml:space="preserve">                  </w:t>
      </w:r>
      <w:r>
        <w:rPr>
          <w:rFonts w:hint="eastAsia" w:ascii="华文中宋" w:hAnsi="华文中宋" w:eastAsia="华文中宋" w:cs="宋体"/>
          <w:b/>
          <w:bCs/>
          <w:color w:val="auto"/>
          <w:kern w:val="0"/>
          <w:sz w:val="32"/>
          <w:szCs w:val="32"/>
          <w:highlight w:val="none"/>
          <w:lang w:eastAsia="zh-CN"/>
        </w:rPr>
        <w:t>淮南市八公山区环境卫生管理处</w:t>
      </w:r>
      <w:r>
        <w:rPr>
          <w:rFonts w:ascii="华文中宋" w:hAnsi="华文中宋" w:eastAsia="华文中宋" w:cs="宋体"/>
          <w:b/>
          <w:bCs/>
          <w:color w:val="auto"/>
          <w:kern w:val="0"/>
          <w:sz w:val="32"/>
          <w:szCs w:val="32"/>
          <w:highlight w:val="none"/>
        </w:rPr>
        <w:t>2022</w:t>
      </w:r>
      <w:r>
        <w:rPr>
          <w:rFonts w:hint="eastAsia" w:ascii="华文中宋" w:hAnsi="华文中宋" w:eastAsia="华文中宋" w:cs="宋体"/>
          <w:b/>
          <w:bCs/>
          <w:color w:val="auto"/>
          <w:kern w:val="0"/>
          <w:sz w:val="32"/>
          <w:szCs w:val="32"/>
          <w:highlight w:val="none"/>
        </w:rPr>
        <w:t>年收入总表</w:t>
      </w:r>
    </w:p>
    <w:p>
      <w:pPr>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单位：万元</w:t>
      </w:r>
    </w:p>
    <w:tbl>
      <w:tblPr>
        <w:tblStyle w:val="5"/>
        <w:tblW w:w="14020" w:type="dxa"/>
        <w:tblInd w:w="100" w:type="dxa"/>
        <w:tblLayout w:type="fixed"/>
        <w:tblCellMar>
          <w:top w:w="0" w:type="dxa"/>
          <w:left w:w="108" w:type="dxa"/>
          <w:bottom w:w="0" w:type="dxa"/>
          <w:right w:w="108" w:type="dxa"/>
        </w:tblCellMar>
      </w:tblPr>
      <w:tblGrid>
        <w:gridCol w:w="1993"/>
        <w:gridCol w:w="567"/>
        <w:gridCol w:w="580"/>
        <w:gridCol w:w="680"/>
        <w:gridCol w:w="680"/>
        <w:gridCol w:w="680"/>
        <w:gridCol w:w="680"/>
        <w:gridCol w:w="680"/>
        <w:gridCol w:w="680"/>
        <w:gridCol w:w="680"/>
        <w:gridCol w:w="680"/>
        <w:gridCol w:w="680"/>
        <w:gridCol w:w="680"/>
        <w:gridCol w:w="680"/>
        <w:gridCol w:w="680"/>
        <w:gridCol w:w="680"/>
        <w:gridCol w:w="680"/>
        <w:gridCol w:w="680"/>
        <w:gridCol w:w="680"/>
      </w:tblGrid>
      <w:tr>
        <w:tblPrEx>
          <w:tblCellMar>
            <w:top w:w="0" w:type="dxa"/>
            <w:left w:w="108" w:type="dxa"/>
            <w:bottom w:w="0" w:type="dxa"/>
            <w:right w:w="108" w:type="dxa"/>
          </w:tblCellMar>
        </w:tblPrEx>
        <w:trPr>
          <w:trHeight w:val="420" w:hRule="atLeast"/>
        </w:trPr>
        <w:tc>
          <w:tcPr>
            <w:tcW w:w="19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部门（单位）名称</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合计</w:t>
            </w:r>
          </w:p>
        </w:tc>
        <w:tc>
          <w:tcPr>
            <w:tcW w:w="7380"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上年结转结余</w:t>
            </w:r>
          </w:p>
        </w:tc>
      </w:tr>
      <w:tr>
        <w:tblPrEx>
          <w:tblCellMar>
            <w:top w:w="0" w:type="dxa"/>
            <w:left w:w="108" w:type="dxa"/>
            <w:bottom w:w="0" w:type="dxa"/>
            <w:right w:w="108" w:type="dxa"/>
          </w:tblCellMar>
        </w:tblPrEx>
        <w:trPr>
          <w:trHeight w:val="420"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auto"/>
                <w:kern w:val="0"/>
                <w:sz w:val="20"/>
                <w:szCs w:val="20"/>
                <w:highlight w:val="none"/>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auto"/>
                <w:kern w:val="0"/>
                <w:sz w:val="20"/>
                <w:szCs w:val="20"/>
                <w:highlight w:val="none"/>
              </w:rPr>
            </w:pPr>
          </w:p>
        </w:tc>
        <w:tc>
          <w:tcPr>
            <w:tcW w:w="580" w:type="dxa"/>
            <w:vMerge w:val="restart"/>
            <w:tcBorders>
              <w:top w:val="nil"/>
              <w:left w:val="single" w:color="auto" w:sz="4" w:space="0"/>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政府性基金预算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单位资金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单位资金</w:t>
            </w:r>
          </w:p>
        </w:tc>
      </w:tr>
      <w:tr>
        <w:tblPrEx>
          <w:tblCellMar>
            <w:top w:w="0" w:type="dxa"/>
            <w:left w:w="108" w:type="dxa"/>
            <w:bottom w:w="0" w:type="dxa"/>
            <w:right w:w="108" w:type="dxa"/>
          </w:tblCellMar>
        </w:tblPrEx>
        <w:trPr>
          <w:trHeight w:val="825"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p>
        </w:tc>
        <w:tc>
          <w:tcPr>
            <w:tcW w:w="580" w:type="dxa"/>
            <w:vMerge w:val="continue"/>
            <w:tcBorders>
              <w:top w:val="nil"/>
              <w:left w:val="single" w:color="auto" w:sz="4" w:space="0"/>
              <w:bottom w:val="nil"/>
              <w:right w:val="single" w:color="auto" w:sz="4" w:space="0"/>
            </w:tcBorders>
            <w:vAlign w:val="center"/>
          </w:tcPr>
          <w:p>
            <w:pPr>
              <w:widowControl/>
              <w:jc w:val="left"/>
              <w:rPr>
                <w:rFonts w:ascii="宋体" w:cs="宋体"/>
                <w:color w:val="auto"/>
                <w:kern w:val="0"/>
                <w:sz w:val="20"/>
                <w:szCs w:val="20"/>
                <w:highlight w:val="none"/>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auto"/>
                <w:kern w:val="0"/>
                <w:sz w:val="20"/>
                <w:szCs w:val="20"/>
                <w:highlight w:val="none"/>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auto"/>
                <w:kern w:val="0"/>
                <w:sz w:val="20"/>
                <w:szCs w:val="20"/>
                <w:highlight w:val="none"/>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0"/>
                <w:szCs w:val="20"/>
                <w:highlight w:val="none"/>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auto"/>
                <w:kern w:val="0"/>
                <w:sz w:val="20"/>
                <w:szCs w:val="20"/>
                <w:highlight w:val="none"/>
              </w:rPr>
            </w:pP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小计</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事业</w:t>
            </w:r>
            <w:r>
              <w:rPr>
                <w:rFonts w:ascii="宋体" w:hAnsi="宋体" w:cs="宋体"/>
                <w:b/>
                <w:color w:val="auto"/>
                <w:kern w:val="0"/>
                <w:sz w:val="20"/>
                <w:szCs w:val="20"/>
                <w:highlight w:val="none"/>
              </w:rPr>
              <w:t xml:space="preserve">     </w:t>
            </w:r>
            <w:r>
              <w:rPr>
                <w:rFonts w:hint="eastAsia" w:ascii="宋体" w:hAnsi="宋体" w:cs="宋体"/>
                <w:b/>
                <w:color w:val="auto"/>
                <w:kern w:val="0"/>
                <w:sz w:val="20"/>
                <w:szCs w:val="20"/>
                <w:highlight w:val="none"/>
              </w:rPr>
              <w:t>收入</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事业单位经营收入</w:t>
            </w:r>
          </w:p>
        </w:tc>
        <w:tc>
          <w:tcPr>
            <w:tcW w:w="680" w:type="dxa"/>
            <w:tcBorders>
              <w:top w:val="nil"/>
              <w:left w:val="nil"/>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上级补助收入</w:t>
            </w:r>
          </w:p>
        </w:tc>
        <w:tc>
          <w:tcPr>
            <w:tcW w:w="680" w:type="dxa"/>
            <w:tcBorders>
              <w:top w:val="nil"/>
              <w:left w:val="nil"/>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附属单位上缴收入</w:t>
            </w:r>
          </w:p>
        </w:tc>
        <w:tc>
          <w:tcPr>
            <w:tcW w:w="680" w:type="dxa"/>
            <w:tcBorders>
              <w:top w:val="nil"/>
              <w:left w:val="nil"/>
              <w:bottom w:val="nil"/>
              <w:right w:val="single" w:color="auto" w:sz="4" w:space="0"/>
            </w:tcBorders>
            <w:vAlign w:val="center"/>
          </w:tcPr>
          <w:p>
            <w:pPr>
              <w:widowControl/>
              <w:jc w:val="center"/>
              <w:rPr>
                <w:rFonts w:ascii="宋体" w:cs="宋体"/>
                <w:b/>
                <w:color w:val="auto"/>
                <w:kern w:val="0"/>
                <w:sz w:val="20"/>
                <w:szCs w:val="20"/>
                <w:highlight w:val="none"/>
              </w:rPr>
            </w:pPr>
            <w:r>
              <w:rPr>
                <w:rFonts w:hint="eastAsia" w:ascii="宋体" w:hAnsi="宋体" w:cs="宋体"/>
                <w:b/>
                <w:color w:val="auto"/>
                <w:kern w:val="0"/>
                <w:sz w:val="20"/>
                <w:szCs w:val="20"/>
                <w:highlight w:val="none"/>
              </w:rPr>
              <w:t>其他</w:t>
            </w:r>
            <w:r>
              <w:rPr>
                <w:rFonts w:ascii="宋体" w:hAnsi="宋体" w:cs="宋体"/>
                <w:b/>
                <w:color w:val="auto"/>
                <w:kern w:val="0"/>
                <w:sz w:val="20"/>
                <w:szCs w:val="20"/>
                <w:highlight w:val="none"/>
              </w:rPr>
              <w:t xml:space="preserve">   </w:t>
            </w:r>
            <w:r>
              <w:rPr>
                <w:rFonts w:hint="eastAsia" w:ascii="宋体" w:hAnsi="宋体" w:cs="宋体"/>
                <w:b/>
                <w:color w:val="auto"/>
                <w:kern w:val="0"/>
                <w:sz w:val="20"/>
                <w:szCs w:val="20"/>
                <w:highlight w:val="none"/>
              </w:rPr>
              <w:t>收入</w:t>
            </w: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auto"/>
                <w:kern w:val="0"/>
                <w:sz w:val="20"/>
                <w:szCs w:val="20"/>
                <w:highlight w:val="none"/>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auto"/>
                <w:kern w:val="0"/>
                <w:sz w:val="20"/>
                <w:szCs w:val="20"/>
                <w:highlight w:val="none"/>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auto"/>
                <w:kern w:val="0"/>
                <w:sz w:val="20"/>
                <w:szCs w:val="20"/>
                <w:highlight w:val="none"/>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auto"/>
                <w:kern w:val="0"/>
                <w:sz w:val="20"/>
                <w:szCs w:val="20"/>
                <w:highlight w:val="none"/>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auto"/>
                <w:kern w:val="0"/>
                <w:sz w:val="20"/>
                <w:szCs w:val="20"/>
                <w:highlight w:val="none"/>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淮南市八公山区城市管理行政执法大队</w:t>
            </w:r>
          </w:p>
        </w:tc>
        <w:tc>
          <w:tcPr>
            <w:tcW w:w="5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2550.60 </w:t>
            </w:r>
          </w:p>
        </w:tc>
        <w:tc>
          <w:tcPr>
            <w:tcW w:w="5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2533.04 </w:t>
            </w:r>
          </w:p>
        </w:tc>
        <w:tc>
          <w:tcPr>
            <w:tcW w:w="6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2533.04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17.56 </w:t>
            </w:r>
          </w:p>
        </w:tc>
        <w:tc>
          <w:tcPr>
            <w:tcW w:w="6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17.56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56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2550.60 </w:t>
            </w:r>
          </w:p>
        </w:tc>
        <w:tc>
          <w:tcPr>
            <w:tcW w:w="5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2533.04 </w:t>
            </w:r>
          </w:p>
        </w:tc>
        <w:tc>
          <w:tcPr>
            <w:tcW w:w="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2533.04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17.56 </w:t>
            </w:r>
          </w:p>
        </w:tc>
        <w:tc>
          <w:tcPr>
            <w:tcW w:w="6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17.56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r>
    </w:tbl>
    <w:p>
      <w:pPr>
        <w:rPr>
          <w:rFonts w:ascii="宋体" w:cs="宋体"/>
          <w:color w:val="auto"/>
          <w:kern w:val="0"/>
          <w:sz w:val="20"/>
          <w:szCs w:val="20"/>
          <w:highlight w:val="none"/>
        </w:rPr>
      </w:pPr>
    </w:p>
    <w:p>
      <w:pPr>
        <w:rPr>
          <w:rFonts w:ascii="宋体" w:cs="宋体"/>
          <w:color w:val="auto"/>
          <w:kern w:val="0"/>
          <w:sz w:val="20"/>
          <w:szCs w:val="20"/>
          <w:highlight w:val="none"/>
        </w:rPr>
      </w:pPr>
    </w:p>
    <w:p>
      <w:pPr>
        <w:rPr>
          <w:rFonts w:ascii="宋体" w:cs="宋体"/>
          <w:color w:val="auto"/>
          <w:kern w:val="0"/>
          <w:sz w:val="20"/>
          <w:szCs w:val="20"/>
          <w:highlight w:val="none"/>
        </w:rPr>
      </w:pPr>
    </w:p>
    <w:p>
      <w:pPr>
        <w:rPr>
          <w:color w:val="auto"/>
          <w:highlight w:val="none"/>
        </w:rPr>
        <w:sectPr>
          <w:pgSz w:w="16838" w:h="11906" w:orient="landscape"/>
          <w:pgMar w:top="1797" w:right="1440" w:bottom="1797" w:left="1440" w:header="851" w:footer="992" w:gutter="0"/>
          <w:cols w:space="425" w:num="1"/>
          <w:docGrid w:type="linesAndChars" w:linePitch="312" w:charSpace="0"/>
        </w:sectPr>
      </w:pPr>
    </w:p>
    <w:p>
      <w:pPr>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u w:val="single"/>
        </w:rPr>
        <w:t>（单位）</w:t>
      </w:r>
      <w:r>
        <w:rPr>
          <w:rFonts w:hint="eastAsia" w:ascii="宋体" w:hAnsi="宋体" w:cs="宋体"/>
          <w:color w:val="auto"/>
          <w:kern w:val="0"/>
          <w:sz w:val="20"/>
          <w:szCs w:val="20"/>
          <w:highlight w:val="none"/>
        </w:rPr>
        <w:t>公开表</w:t>
      </w:r>
      <w:r>
        <w:rPr>
          <w:rFonts w:ascii="宋体" w:hAnsi="宋体" w:cs="宋体"/>
          <w:color w:val="auto"/>
          <w:kern w:val="0"/>
          <w:sz w:val="20"/>
          <w:szCs w:val="20"/>
          <w:highlight w:val="none"/>
        </w:rPr>
        <w:t>3</w:t>
      </w:r>
    </w:p>
    <w:p>
      <w:pPr>
        <w:rPr>
          <w:rFonts w:ascii="华文中宋" w:hAnsi="华文中宋" w:eastAsia="华文中宋" w:cs="宋体"/>
          <w:b/>
          <w:bCs/>
          <w:color w:val="auto"/>
          <w:kern w:val="0"/>
          <w:sz w:val="32"/>
          <w:szCs w:val="32"/>
          <w:highlight w:val="none"/>
        </w:rPr>
      </w:pPr>
      <w:r>
        <w:rPr>
          <w:rFonts w:ascii="华文中宋" w:hAnsi="华文中宋" w:eastAsia="华文中宋" w:cs="宋体"/>
          <w:b/>
          <w:bCs/>
          <w:color w:val="auto"/>
          <w:kern w:val="0"/>
          <w:sz w:val="32"/>
          <w:szCs w:val="32"/>
          <w:highlight w:val="none"/>
        </w:rPr>
        <w:t xml:space="preserve">    </w:t>
      </w:r>
      <w:r>
        <w:rPr>
          <w:rFonts w:hint="eastAsia" w:ascii="华文中宋" w:hAnsi="华文中宋" w:eastAsia="华文中宋" w:cs="宋体"/>
          <w:b/>
          <w:bCs/>
          <w:color w:val="auto"/>
          <w:kern w:val="0"/>
          <w:sz w:val="32"/>
          <w:szCs w:val="32"/>
          <w:highlight w:val="none"/>
          <w:lang w:eastAsia="zh-CN"/>
        </w:rPr>
        <w:t>淮南市八公山区环境卫生管理处</w:t>
      </w:r>
      <w:r>
        <w:rPr>
          <w:rFonts w:ascii="华文中宋" w:hAnsi="华文中宋" w:eastAsia="华文中宋" w:cs="宋体"/>
          <w:b/>
          <w:bCs/>
          <w:color w:val="auto"/>
          <w:kern w:val="0"/>
          <w:sz w:val="32"/>
          <w:szCs w:val="32"/>
          <w:highlight w:val="none"/>
        </w:rPr>
        <w:t>2022</w:t>
      </w:r>
      <w:r>
        <w:rPr>
          <w:rFonts w:hint="eastAsia" w:ascii="华文中宋" w:hAnsi="华文中宋" w:eastAsia="华文中宋" w:cs="宋体"/>
          <w:b/>
          <w:bCs/>
          <w:color w:val="auto"/>
          <w:kern w:val="0"/>
          <w:sz w:val="32"/>
          <w:szCs w:val="32"/>
          <w:highlight w:val="none"/>
        </w:rPr>
        <w:t>年支出总表</w:t>
      </w:r>
    </w:p>
    <w:p>
      <w:pPr>
        <w:ind w:left="7400" w:hanging="7400" w:hangingChars="3700"/>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单位：万元</w:t>
      </w:r>
    </w:p>
    <w:tbl>
      <w:tblPr>
        <w:tblStyle w:val="5"/>
        <w:tblW w:w="8931" w:type="dxa"/>
        <w:tblInd w:w="-34" w:type="dxa"/>
        <w:tblLayout w:type="fixed"/>
        <w:tblCellMar>
          <w:top w:w="0" w:type="dxa"/>
          <w:left w:w="108" w:type="dxa"/>
          <w:bottom w:w="0" w:type="dxa"/>
          <w:right w:w="108" w:type="dxa"/>
        </w:tblCellMar>
      </w:tblPr>
      <w:tblGrid>
        <w:gridCol w:w="1135"/>
        <w:gridCol w:w="1984"/>
        <w:gridCol w:w="992"/>
        <w:gridCol w:w="851"/>
        <w:gridCol w:w="850"/>
        <w:gridCol w:w="1134"/>
        <w:gridCol w:w="993"/>
        <w:gridCol w:w="992"/>
      </w:tblGrid>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科目编码</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科目名称</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合计</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基本支出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项目支出</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事业单位经营支出</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上缴上级支出</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对附属单位补助支出</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53.98 </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49.79 </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4.19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20805</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行政事业单位养老支出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53.98 </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49.79 </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4.19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2080502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事业单位离退休</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0.28 </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0.28 </w:t>
            </w:r>
          </w:p>
        </w:tc>
        <w:tc>
          <w:tcPr>
            <w:tcW w:w="85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2080505</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机关事业单位基本养老保险缴费支出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33.00 </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33.00 </w:t>
            </w:r>
          </w:p>
        </w:tc>
        <w:tc>
          <w:tcPr>
            <w:tcW w:w="85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2080506</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机关事业单位职业年金缴费支出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16.51 </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16.51 </w:t>
            </w:r>
          </w:p>
        </w:tc>
        <w:tc>
          <w:tcPr>
            <w:tcW w:w="85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2080507</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对机关事业单位基本养老保险基金的补助</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4.19 </w:t>
            </w:r>
          </w:p>
        </w:tc>
        <w:tc>
          <w:tcPr>
            <w:tcW w:w="851"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4.19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14.43 </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14.43 </w:t>
            </w:r>
          </w:p>
        </w:tc>
        <w:tc>
          <w:tcPr>
            <w:tcW w:w="85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21011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行政事业单位医疗</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14.43 </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14.43 </w:t>
            </w:r>
          </w:p>
        </w:tc>
        <w:tc>
          <w:tcPr>
            <w:tcW w:w="85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2101102</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事业单位医疗</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14.23 </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14.23 </w:t>
            </w:r>
          </w:p>
        </w:tc>
        <w:tc>
          <w:tcPr>
            <w:tcW w:w="85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2101103</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公务员医疗补助</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0.20 </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0.20 </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211</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节能环保支出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21101</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环境保护管理事务</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2110199</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其他环境保护管理事务支出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c>
          <w:tcPr>
            <w:tcW w:w="851"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城乡社区支出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1437.93 </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223.38 </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1214.55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21205</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城乡社区环境卫生</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1437.93 </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223.38 </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1214.55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2120501</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城乡社区环境卫生</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1437.93 </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223.38 </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1214.55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221</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住房保障支出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60.81 </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60.81 </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22102</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住房改革支出</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60.81 </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60.81 </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2210201</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住房公积金</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30.22 </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30.22 </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2210202</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提租补贴</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30.59 </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30.59 </w:t>
            </w:r>
          </w:p>
        </w:tc>
        <w:tc>
          <w:tcPr>
            <w:tcW w:w="85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13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bCs/>
                <w:color w:val="auto"/>
                <w:kern w:val="0"/>
                <w:sz w:val="22"/>
                <w:highlight w:val="none"/>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2550.60 </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348.42 </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2202.18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u w:val="single"/>
        </w:rPr>
        <w:t>（单位）</w:t>
      </w:r>
      <w:r>
        <w:rPr>
          <w:rFonts w:hint="eastAsia" w:ascii="宋体" w:hAnsi="宋体" w:cs="宋体"/>
          <w:color w:val="auto"/>
          <w:kern w:val="0"/>
          <w:sz w:val="20"/>
          <w:szCs w:val="20"/>
          <w:highlight w:val="none"/>
        </w:rPr>
        <w:t>公开表</w:t>
      </w:r>
      <w:r>
        <w:rPr>
          <w:rFonts w:ascii="宋体" w:hAnsi="宋体" w:cs="宋体"/>
          <w:color w:val="auto"/>
          <w:kern w:val="0"/>
          <w:sz w:val="20"/>
          <w:szCs w:val="20"/>
          <w:highlight w:val="none"/>
        </w:rPr>
        <w:t>4</w:t>
      </w:r>
    </w:p>
    <w:p>
      <w:pPr>
        <w:widowControl/>
        <w:ind w:firstLine="150" w:firstLineChars="50"/>
        <w:rPr>
          <w:rFonts w:ascii="华文中宋" w:hAnsi="华文中宋" w:eastAsia="华文中宋" w:cs="宋体"/>
          <w:b/>
          <w:bCs/>
          <w:color w:val="auto"/>
          <w:kern w:val="0"/>
          <w:sz w:val="30"/>
          <w:szCs w:val="30"/>
          <w:highlight w:val="none"/>
        </w:rPr>
      </w:pPr>
      <w:r>
        <w:rPr>
          <w:rFonts w:hint="eastAsia" w:ascii="华文中宋" w:hAnsi="华文中宋" w:eastAsia="华文中宋" w:cs="宋体"/>
          <w:b/>
          <w:bCs/>
          <w:color w:val="auto"/>
          <w:kern w:val="0"/>
          <w:sz w:val="30"/>
          <w:szCs w:val="30"/>
          <w:highlight w:val="none"/>
          <w:lang w:eastAsia="zh-CN"/>
        </w:rPr>
        <w:t>淮南市八公山区环境卫生管理处</w:t>
      </w:r>
      <w:r>
        <w:rPr>
          <w:rFonts w:ascii="华文中宋" w:hAnsi="华文中宋" w:eastAsia="华文中宋" w:cs="宋体"/>
          <w:b/>
          <w:bCs/>
          <w:color w:val="auto"/>
          <w:kern w:val="0"/>
          <w:sz w:val="30"/>
          <w:szCs w:val="30"/>
          <w:highlight w:val="none"/>
        </w:rPr>
        <w:t>2022</w:t>
      </w:r>
      <w:r>
        <w:rPr>
          <w:rFonts w:hint="eastAsia" w:ascii="华文中宋" w:hAnsi="华文中宋" w:eastAsia="华文中宋" w:cs="宋体"/>
          <w:b/>
          <w:bCs/>
          <w:color w:val="auto"/>
          <w:kern w:val="0"/>
          <w:sz w:val="30"/>
          <w:szCs w:val="30"/>
          <w:highlight w:val="none"/>
        </w:rPr>
        <w:t>年财政拨款收支总表</w:t>
      </w:r>
    </w:p>
    <w:p>
      <w:pPr>
        <w:ind w:left="7400" w:hanging="7400" w:hangingChars="3700"/>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单位：万元</w:t>
      </w:r>
    </w:p>
    <w:tbl>
      <w:tblPr>
        <w:tblStyle w:val="5"/>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0"/>
                <w:szCs w:val="20"/>
                <w:highlight w:val="none"/>
              </w:rPr>
            </w:pPr>
            <w:r>
              <w:rPr>
                <w:rFonts w:hint="eastAsia" w:ascii="宋体" w:hAnsi="宋体" w:cs="宋体"/>
                <w:b/>
                <w:bCs/>
                <w:color w:val="auto"/>
                <w:kern w:val="0"/>
                <w:sz w:val="20"/>
                <w:szCs w:val="20"/>
                <w:highlight w:val="none"/>
              </w:rPr>
              <w:t>收</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0"/>
                <w:szCs w:val="20"/>
                <w:highlight w:val="none"/>
              </w:rPr>
            </w:pPr>
            <w:r>
              <w:rPr>
                <w:rFonts w:hint="eastAsia" w:ascii="宋体" w:hAnsi="宋体" w:cs="宋体"/>
                <w:b/>
                <w:bCs/>
                <w:color w:val="auto"/>
                <w:kern w:val="0"/>
                <w:sz w:val="20"/>
                <w:szCs w:val="20"/>
                <w:highlight w:val="none"/>
              </w:rPr>
              <w:t>支</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0"/>
                <w:szCs w:val="20"/>
                <w:highlight w:val="none"/>
              </w:rPr>
            </w:pPr>
            <w:r>
              <w:rPr>
                <w:rFonts w:hint="eastAsia" w:ascii="宋体" w:hAnsi="宋体" w:cs="宋体"/>
                <w:b/>
                <w:bCs/>
                <w:color w:val="auto"/>
                <w:kern w:val="0"/>
                <w:sz w:val="20"/>
                <w:szCs w:val="20"/>
                <w:highlight w:val="none"/>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0"/>
                <w:szCs w:val="20"/>
                <w:highlight w:val="none"/>
              </w:rPr>
            </w:pPr>
            <w:r>
              <w:rPr>
                <w:rFonts w:hint="eastAsia" w:ascii="宋体" w:hAnsi="宋体" w:cs="宋体"/>
                <w:b/>
                <w:bCs/>
                <w:color w:val="auto"/>
                <w:kern w:val="0"/>
                <w:sz w:val="20"/>
                <w:szCs w:val="20"/>
                <w:highlight w:val="none"/>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0"/>
                <w:szCs w:val="20"/>
                <w:highlight w:val="none"/>
              </w:rPr>
            </w:pPr>
            <w:r>
              <w:rPr>
                <w:rFonts w:hint="eastAsia" w:ascii="宋体" w:hAnsi="宋体" w:cs="宋体"/>
                <w:b/>
                <w:bCs/>
                <w:color w:val="auto"/>
                <w:kern w:val="0"/>
                <w:sz w:val="20"/>
                <w:szCs w:val="20"/>
                <w:highlight w:val="none"/>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0"/>
                <w:szCs w:val="20"/>
                <w:highlight w:val="none"/>
              </w:rPr>
            </w:pPr>
            <w:r>
              <w:rPr>
                <w:rFonts w:hint="eastAsia" w:ascii="宋体" w:hAnsi="宋体" w:cs="宋体"/>
                <w:b/>
                <w:bCs/>
                <w:color w:val="auto"/>
                <w:kern w:val="0"/>
                <w:sz w:val="20"/>
                <w:szCs w:val="20"/>
                <w:highlight w:val="none"/>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一、本年收入</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2533.04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一、本年支出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2550.60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（一）一般公共预算拨款</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2533.04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（一）一般公共服务支出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（二）政府性基金预算拨款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（二）外交支出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（三）国有资本经营预算拨款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（三）国防支出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（四）公共安全支出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二、上年结转</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17.56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（五）教育支出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（一）一般公共预算拨款</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17.56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（六）科学技术支出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（二）政府性基金预算拨款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（三）国有资本经营预算拨款</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（八）社会保障和就业支出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53.98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（九）卫生健康支出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14.43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（十）节能环保支出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（十一）城乡社区支出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1437.93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（十二）农林水支出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（十三）交通运输支出</w:t>
            </w:r>
          </w:p>
        </w:tc>
        <w:tc>
          <w:tcPr>
            <w:tcW w:w="1171" w:type="dxa"/>
            <w:tcBorders>
              <w:top w:val="nil"/>
              <w:left w:val="single" w:color="auto" w:sz="4" w:space="0"/>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（十四）资源勘探工业信息等支出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（十五）商业服务业等支出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（十六）金融支出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（十七）援助其他地区支出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（十八）自然资源海洋气象等支出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（十九）住房保障支出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60.81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（二十）粮油物资储备支出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（二十一）灾害防治及应急管理支出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（二十二）预备费</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（二十三）其他支出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（二十四）转移性支出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（二十五）债务还本支出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（二十六）债务付息支出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（二十七）债务发行费用支出</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二、年终结转结余</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（一）一般公共预算结转结余</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（二）政府性基金预算结转结余</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（三）国有资本经营预算结转结余</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059" w:type="dxa"/>
            <w:tcBorders>
              <w:top w:val="nil"/>
              <w:left w:val="nil"/>
              <w:bottom w:val="single" w:color="auto" w:sz="4" w:space="0"/>
              <w:right w:val="single" w:color="auto" w:sz="4" w:space="0"/>
            </w:tcBorders>
            <w:vAlign w:val="bottom"/>
          </w:tcPr>
          <w:p>
            <w:pPr>
              <w:jc w:val="right"/>
              <w:rPr>
                <w:rFonts w:ascii="宋体" w:cs="宋体"/>
                <w:color w:val="auto"/>
                <w:kern w:val="0"/>
                <w:sz w:val="20"/>
                <w:szCs w:val="20"/>
                <w:highlight w:val="none"/>
              </w:rPr>
            </w:pP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171" w:type="dxa"/>
            <w:tcBorders>
              <w:top w:val="nil"/>
              <w:left w:val="nil"/>
              <w:bottom w:val="single" w:color="auto" w:sz="4" w:space="0"/>
              <w:right w:val="single" w:color="auto" w:sz="4" w:space="0"/>
            </w:tcBorders>
            <w:vAlign w:val="center"/>
          </w:tcPr>
          <w:p>
            <w:pPr>
              <w:jc w:val="right"/>
              <w:rPr>
                <w:rFonts w:ascii="宋体" w:cs="宋体"/>
                <w:color w:val="auto"/>
                <w:kern w:val="0"/>
                <w:sz w:val="20"/>
                <w:szCs w:val="20"/>
                <w:highlight w:val="none"/>
              </w:rPr>
            </w:pP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0"/>
                <w:szCs w:val="20"/>
                <w:highlight w:val="none"/>
              </w:rPr>
            </w:pPr>
            <w:r>
              <w:rPr>
                <w:rFonts w:hint="eastAsia" w:ascii="宋体" w:hAnsi="宋体" w:cs="宋体"/>
                <w:b/>
                <w:bCs/>
                <w:color w:val="auto"/>
                <w:kern w:val="0"/>
                <w:sz w:val="20"/>
                <w:szCs w:val="20"/>
                <w:highlight w:val="none"/>
              </w:rPr>
              <w:t>收</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入</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总</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计</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2550.60 </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0"/>
                <w:szCs w:val="20"/>
                <w:highlight w:val="none"/>
              </w:rPr>
            </w:pPr>
            <w:r>
              <w:rPr>
                <w:rFonts w:hint="eastAsia" w:ascii="宋体" w:hAnsi="宋体" w:cs="宋体"/>
                <w:b/>
                <w:bCs/>
                <w:color w:val="auto"/>
                <w:kern w:val="0"/>
                <w:sz w:val="20"/>
                <w:szCs w:val="20"/>
                <w:highlight w:val="none"/>
              </w:rPr>
              <w:t>支</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出</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总</w:t>
            </w:r>
            <w:r>
              <w:rPr>
                <w:rFonts w:ascii="宋体" w:hAnsi="宋体" w:cs="宋体"/>
                <w:b/>
                <w:bCs/>
                <w:color w:val="auto"/>
                <w:kern w:val="0"/>
                <w:sz w:val="20"/>
                <w:szCs w:val="20"/>
                <w:highlight w:val="none"/>
              </w:rPr>
              <w:t xml:space="preserve">    </w:t>
            </w:r>
            <w:r>
              <w:rPr>
                <w:rFonts w:hint="eastAsia" w:ascii="宋体" w:hAnsi="宋体" w:cs="宋体"/>
                <w:b/>
                <w:bCs/>
                <w:color w:val="auto"/>
                <w:kern w:val="0"/>
                <w:sz w:val="20"/>
                <w:szCs w:val="20"/>
                <w:highlight w:val="none"/>
              </w:rPr>
              <w:t>计</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2550.60 </w:t>
            </w:r>
          </w:p>
        </w:tc>
      </w:tr>
    </w:tbl>
    <w:p>
      <w:pPr>
        <w:ind w:firstLine="6300" w:firstLineChars="3150"/>
        <w:rPr>
          <w:rFonts w:ascii="宋体" w:cs="宋体"/>
          <w:color w:val="auto"/>
          <w:kern w:val="0"/>
          <w:sz w:val="20"/>
          <w:szCs w:val="20"/>
          <w:highlight w:val="none"/>
        </w:rPr>
      </w:pPr>
    </w:p>
    <w:p>
      <w:pPr>
        <w:rPr>
          <w:rFonts w:ascii="宋体" w:cs="宋体"/>
          <w:color w:val="auto"/>
          <w:kern w:val="0"/>
          <w:sz w:val="20"/>
          <w:szCs w:val="20"/>
          <w:highlight w:val="none"/>
        </w:rPr>
      </w:pPr>
    </w:p>
    <w:p>
      <w:pPr>
        <w:ind w:firstLine="6300" w:firstLineChars="3150"/>
        <w:rPr>
          <w:rFonts w:ascii="宋体" w:cs="宋体"/>
          <w:color w:val="auto"/>
          <w:kern w:val="0"/>
          <w:sz w:val="20"/>
          <w:szCs w:val="20"/>
          <w:highlight w:val="none"/>
        </w:rPr>
      </w:pP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u w:val="single"/>
        </w:rPr>
        <w:t>（单位）</w:t>
      </w:r>
      <w:r>
        <w:rPr>
          <w:rFonts w:hint="eastAsia" w:ascii="宋体" w:hAnsi="宋体" w:cs="宋体"/>
          <w:color w:val="auto"/>
          <w:kern w:val="0"/>
          <w:sz w:val="20"/>
          <w:szCs w:val="20"/>
          <w:highlight w:val="none"/>
        </w:rPr>
        <w:t>公开表</w:t>
      </w:r>
      <w:r>
        <w:rPr>
          <w:rFonts w:ascii="宋体" w:hAnsi="宋体" w:cs="宋体"/>
          <w:color w:val="auto"/>
          <w:kern w:val="0"/>
          <w:sz w:val="20"/>
          <w:szCs w:val="20"/>
          <w:highlight w:val="none"/>
        </w:rPr>
        <w:t>5</w:t>
      </w:r>
    </w:p>
    <w:p>
      <w:pPr>
        <w:widowControl/>
        <w:jc w:val="center"/>
        <w:rPr>
          <w:rFonts w:ascii="华文中宋" w:hAnsi="华文中宋" w:eastAsia="华文中宋" w:cs="宋体"/>
          <w:b/>
          <w:bCs/>
          <w:color w:val="auto"/>
          <w:kern w:val="0"/>
          <w:sz w:val="28"/>
          <w:szCs w:val="28"/>
          <w:highlight w:val="none"/>
        </w:rPr>
      </w:pPr>
      <w:r>
        <w:rPr>
          <w:rFonts w:hint="eastAsia" w:ascii="华文中宋" w:hAnsi="华文中宋" w:eastAsia="华文中宋" w:cs="宋体"/>
          <w:b/>
          <w:bCs/>
          <w:color w:val="auto"/>
          <w:kern w:val="0"/>
          <w:sz w:val="28"/>
          <w:szCs w:val="28"/>
          <w:highlight w:val="none"/>
          <w:lang w:eastAsia="zh-CN"/>
        </w:rPr>
        <w:t>淮南市八公山区环境卫生管理处</w:t>
      </w:r>
      <w:r>
        <w:rPr>
          <w:rFonts w:ascii="华文中宋" w:hAnsi="华文中宋" w:eastAsia="华文中宋" w:cs="宋体"/>
          <w:b/>
          <w:bCs/>
          <w:color w:val="auto"/>
          <w:kern w:val="0"/>
          <w:sz w:val="28"/>
          <w:szCs w:val="28"/>
          <w:highlight w:val="none"/>
        </w:rPr>
        <w:t>2022</w:t>
      </w:r>
      <w:r>
        <w:rPr>
          <w:rFonts w:hint="eastAsia" w:ascii="华文中宋" w:hAnsi="华文中宋" w:eastAsia="华文中宋" w:cs="宋体"/>
          <w:b/>
          <w:bCs/>
          <w:color w:val="auto"/>
          <w:kern w:val="0"/>
          <w:sz w:val="28"/>
          <w:szCs w:val="28"/>
          <w:highlight w:val="none"/>
        </w:rPr>
        <w:t>年一般公共预算支出表</w:t>
      </w:r>
    </w:p>
    <w:p>
      <w:pPr>
        <w:ind w:left="7400" w:hanging="7400" w:hangingChars="3700"/>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单位：万元</w:t>
      </w:r>
    </w:p>
    <w:tbl>
      <w:tblPr>
        <w:tblStyle w:val="5"/>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科目编码</w:t>
            </w:r>
          </w:p>
        </w:tc>
        <w:tc>
          <w:tcPr>
            <w:tcW w:w="22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合计</w:t>
            </w:r>
          </w:p>
        </w:tc>
        <w:tc>
          <w:tcPr>
            <w:tcW w:w="337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auto"/>
                <w:kern w:val="0"/>
                <w:sz w:val="22"/>
                <w:highlight w:val="none"/>
              </w:rPr>
            </w:pPr>
          </w:p>
        </w:tc>
        <w:tc>
          <w:tcPr>
            <w:tcW w:w="22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auto"/>
                <w:kern w:val="0"/>
                <w:sz w:val="22"/>
                <w:highlight w:val="none"/>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auto"/>
                <w:kern w:val="0"/>
                <w:sz w:val="22"/>
                <w:highlight w:val="none"/>
              </w:rPr>
            </w:pP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2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53.98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49.79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49.79 </w:t>
            </w: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4.19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20805</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行政事业单位养老支出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53.98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49.79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49.79 </w:t>
            </w: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4.19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2080502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事业单位离退休</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0.28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0.28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0.28 </w:t>
            </w: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2080505</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机关事业单位基本养老保险缴费支出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33.00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33.00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33.00 </w:t>
            </w: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2080506</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机关事业单位职业年金缴费支出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16.51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16.51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16.51 </w:t>
            </w: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2080507</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对机关事业单位基本养老保险基金的补助</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4.19 </w:t>
            </w: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4.19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14.43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14.43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14.43 </w:t>
            </w: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21011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行政事业单位医疗</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14.43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14.43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14.43 </w:t>
            </w: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2101102</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事业单位医疗</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14.23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14.23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14.23 </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2101103</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公务员医疗补助</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0.20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0.20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0.20 </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211</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节能环保支出</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21101</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环境保护管理事务</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2110199</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其他环境保护管理事务支出</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983.44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城乡社区支出</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1437.93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223.38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214.16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9.22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1214.55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21205</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城乡社区环境卫生</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1437.93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223.38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214.16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9.22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1214.55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2120501</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城乡社区环境卫生</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1437.93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223.38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214.16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9.22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1214.55 </w:t>
            </w: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221</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住房保障支出</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60.81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60.81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60.81 </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22102</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住房改革支出</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60.81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60.81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60.81 </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2210201</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住房公积金</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30.22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30.22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30.22 </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2210202</w:t>
            </w: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提租补贴</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30.59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30.59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30.59 </w:t>
            </w: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125"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s="宋体"/>
                <w:b/>
                <w:bCs/>
                <w:color w:val="auto"/>
                <w:kern w:val="0"/>
                <w:sz w:val="22"/>
                <w:highlight w:val="none"/>
              </w:rPr>
            </w:pPr>
          </w:p>
        </w:tc>
        <w:tc>
          <w:tcPr>
            <w:tcW w:w="22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1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2550.60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348.42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339.20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9.22 </w:t>
            </w:r>
          </w:p>
        </w:tc>
        <w:tc>
          <w:tcPr>
            <w:tcW w:w="11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2202.18 </w:t>
            </w:r>
          </w:p>
        </w:tc>
      </w:tr>
    </w:tbl>
    <w:p>
      <w:pPr>
        <w:ind w:left="7400" w:hanging="7400" w:hangingChars="3700"/>
        <w:rPr>
          <w:rFonts w:ascii="宋体" w:cs="宋体"/>
          <w:color w:val="auto"/>
          <w:kern w:val="0"/>
          <w:sz w:val="20"/>
          <w:szCs w:val="20"/>
          <w:highlight w:val="none"/>
        </w:rPr>
      </w:pPr>
    </w:p>
    <w:p>
      <w:pPr>
        <w:rPr>
          <w:color w:val="auto"/>
          <w:highlight w:val="none"/>
        </w:rPr>
      </w:pPr>
    </w:p>
    <w:p>
      <w:pPr>
        <w:ind w:left="903" w:leftChars="430" w:firstLine="5400" w:firstLineChars="2700"/>
        <w:rPr>
          <w:rFonts w:ascii="宋体" w:cs="宋体"/>
          <w:color w:val="auto"/>
          <w:kern w:val="0"/>
          <w:sz w:val="20"/>
          <w:szCs w:val="20"/>
          <w:highlight w:val="none"/>
        </w:rPr>
      </w:pPr>
    </w:p>
    <w:p>
      <w:pPr>
        <w:ind w:left="903" w:leftChars="430" w:firstLine="5400" w:firstLineChars="2700"/>
        <w:rPr>
          <w:rFonts w:ascii="宋体" w:cs="宋体"/>
          <w:color w:val="auto"/>
          <w:kern w:val="0"/>
          <w:sz w:val="20"/>
          <w:szCs w:val="20"/>
          <w:highlight w:val="none"/>
        </w:rPr>
      </w:pP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u w:val="single"/>
        </w:rPr>
        <w:t>（单位）</w:t>
      </w:r>
      <w:r>
        <w:rPr>
          <w:rFonts w:hint="eastAsia" w:ascii="宋体" w:hAnsi="宋体" w:cs="宋体"/>
          <w:color w:val="auto"/>
          <w:kern w:val="0"/>
          <w:sz w:val="20"/>
          <w:szCs w:val="20"/>
          <w:highlight w:val="none"/>
        </w:rPr>
        <w:t>公开表</w:t>
      </w:r>
      <w:r>
        <w:rPr>
          <w:rFonts w:ascii="宋体" w:hAnsi="宋体" w:cs="宋体"/>
          <w:color w:val="auto"/>
          <w:kern w:val="0"/>
          <w:sz w:val="20"/>
          <w:szCs w:val="20"/>
          <w:highlight w:val="none"/>
        </w:rPr>
        <w:t>6</w:t>
      </w:r>
      <w:r>
        <w:rPr>
          <w:rFonts w:hint="eastAsia" w:ascii="华文中宋" w:hAnsi="华文中宋" w:eastAsia="华文中宋" w:cs="宋体"/>
          <w:b/>
          <w:bCs/>
          <w:color w:val="auto"/>
          <w:kern w:val="0"/>
          <w:sz w:val="24"/>
          <w:szCs w:val="24"/>
          <w:highlight w:val="none"/>
          <w:lang w:eastAsia="zh-CN"/>
        </w:rPr>
        <w:t>淮南市八公山区环境卫生管理处</w:t>
      </w:r>
      <w:r>
        <w:rPr>
          <w:rFonts w:ascii="华文中宋" w:hAnsi="华文中宋" w:eastAsia="华文中宋" w:cs="宋体"/>
          <w:b/>
          <w:bCs/>
          <w:color w:val="auto"/>
          <w:kern w:val="0"/>
          <w:sz w:val="24"/>
          <w:szCs w:val="24"/>
          <w:highlight w:val="none"/>
        </w:rPr>
        <w:t>2022</w:t>
      </w:r>
      <w:r>
        <w:rPr>
          <w:rFonts w:hint="eastAsia" w:ascii="华文中宋" w:hAnsi="华文中宋" w:eastAsia="华文中宋" w:cs="宋体"/>
          <w:b/>
          <w:bCs/>
          <w:color w:val="auto"/>
          <w:kern w:val="0"/>
          <w:sz w:val="24"/>
          <w:szCs w:val="24"/>
          <w:highlight w:val="none"/>
        </w:rPr>
        <w:t>年一般公共预算基本支出表</w:t>
      </w:r>
    </w:p>
    <w:p>
      <w:pPr>
        <w:ind w:left="7400" w:hanging="7400" w:hangingChars="3700"/>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单位：万元</w:t>
      </w:r>
    </w:p>
    <w:tbl>
      <w:tblPr>
        <w:tblStyle w:val="5"/>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科目编码</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科目名称</w:t>
            </w:r>
          </w:p>
        </w:tc>
        <w:tc>
          <w:tcPr>
            <w:tcW w:w="925"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合计</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人员经费</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301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工资福利支出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323.34 </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323.34 </w:t>
            </w:r>
          </w:p>
        </w:tc>
        <w:tc>
          <w:tcPr>
            <w:tcW w:w="1818"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30101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基本工资</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124.67 </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124.67 </w:t>
            </w:r>
          </w:p>
        </w:tc>
        <w:tc>
          <w:tcPr>
            <w:tcW w:w="1818"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30102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津贴补贴</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22.37 </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22.37 </w:t>
            </w:r>
          </w:p>
        </w:tc>
        <w:tc>
          <w:tcPr>
            <w:tcW w:w="1818"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30103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奖金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0.31 </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0.31 </w:t>
            </w:r>
          </w:p>
        </w:tc>
        <w:tc>
          <w:tcPr>
            <w:tcW w:w="1818"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30107</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绩效工资</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80.59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80.59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30108</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机关事业单位基本养老保险缴费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33.00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33.00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30109</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职业年金缴费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16.51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16.51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30110</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职工基本医疗保险缴费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14.23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14.23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30111</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公务员医疗补助缴费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0.20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0.20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30112</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其他社会保障缴费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30113</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住房公积金</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30.22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30.22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30199</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其他工资福利支出</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0.04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0.04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302</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商品和服务支出</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9.22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Arial" w:hAnsi="Arial" w:cs="Arial"/>
                <w:color w:val="auto"/>
                <w:kern w:val="0"/>
                <w:sz w:val="22"/>
                <w:highlight w:val="none"/>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9.22 </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30216</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培训费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3.01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3.01 </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30228</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工会经费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2.42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2.42 </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30229</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福利费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3.29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3.29 </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30231</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公务用车运行维护费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0.50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0.50 </w:t>
            </w: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303</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对个人和家庭的补助</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15.86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15.86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30301</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离休费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0.28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0.28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30302</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退休费</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15.45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15.45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30309</w:t>
            </w: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奖励金</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0.13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0.13 </w:t>
            </w:r>
          </w:p>
        </w:tc>
        <w:tc>
          <w:tcPr>
            <w:tcW w:w="1818"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402" w:hRule="atLeast"/>
        </w:trPr>
        <w:tc>
          <w:tcPr>
            <w:tcW w:w="177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i w:val="0"/>
                <w:iCs w:val="0"/>
                <w:color w:val="auto"/>
                <w:kern w:val="0"/>
                <w:sz w:val="20"/>
                <w:szCs w:val="20"/>
                <w:highlight w:val="none"/>
                <w:u w:val="none"/>
                <w:lang w:val="en-US" w:eastAsia="zh-CN" w:bidi="ar"/>
              </w:rPr>
            </w:pPr>
          </w:p>
        </w:tc>
        <w:tc>
          <w:tcPr>
            <w:tcW w:w="26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348.42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339.20 </w:t>
            </w:r>
          </w:p>
        </w:tc>
        <w:tc>
          <w:tcPr>
            <w:tcW w:w="181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9.22 </w:t>
            </w:r>
          </w:p>
        </w:tc>
      </w:tr>
    </w:tbl>
    <w:p>
      <w:pPr>
        <w:rPr>
          <w:color w:val="auto"/>
          <w:highlight w:val="none"/>
        </w:rPr>
      </w:pPr>
    </w:p>
    <w:p>
      <w:pPr>
        <w:rPr>
          <w:color w:val="auto"/>
          <w:highlight w:val="none"/>
        </w:rPr>
      </w:pPr>
    </w:p>
    <w:p>
      <w:pPr>
        <w:rPr>
          <w:color w:val="auto"/>
          <w:highlight w:val="none"/>
        </w:rPr>
      </w:pPr>
    </w:p>
    <w:p>
      <w:pPr>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u w:val="single"/>
        </w:rPr>
        <w:t>（单位）</w:t>
      </w:r>
      <w:r>
        <w:rPr>
          <w:rFonts w:hint="eastAsia" w:ascii="宋体" w:hAnsi="宋体" w:cs="宋体"/>
          <w:color w:val="auto"/>
          <w:kern w:val="0"/>
          <w:sz w:val="20"/>
          <w:szCs w:val="20"/>
          <w:highlight w:val="none"/>
        </w:rPr>
        <w:t>公开表</w:t>
      </w:r>
      <w:r>
        <w:rPr>
          <w:rFonts w:ascii="宋体" w:hAnsi="宋体" w:cs="宋体"/>
          <w:color w:val="auto"/>
          <w:kern w:val="0"/>
          <w:sz w:val="20"/>
          <w:szCs w:val="20"/>
          <w:highlight w:val="none"/>
        </w:rPr>
        <w:t>7</w:t>
      </w:r>
    </w:p>
    <w:p>
      <w:pPr>
        <w:widowControl/>
        <w:ind w:firstLine="140" w:firstLineChars="50"/>
        <w:rPr>
          <w:rFonts w:ascii="华文中宋" w:hAnsi="华文中宋" w:eastAsia="华文中宋" w:cs="宋体"/>
          <w:b/>
          <w:bCs/>
          <w:color w:val="auto"/>
          <w:kern w:val="0"/>
          <w:sz w:val="28"/>
          <w:szCs w:val="28"/>
          <w:highlight w:val="none"/>
        </w:rPr>
      </w:pPr>
      <w:r>
        <w:rPr>
          <w:rFonts w:hint="eastAsia" w:ascii="华文中宋" w:hAnsi="华文中宋" w:eastAsia="华文中宋" w:cs="宋体"/>
          <w:b/>
          <w:bCs/>
          <w:color w:val="auto"/>
          <w:kern w:val="0"/>
          <w:sz w:val="28"/>
          <w:szCs w:val="28"/>
          <w:highlight w:val="none"/>
          <w:lang w:eastAsia="zh-CN"/>
        </w:rPr>
        <w:t>淮南市八公山区环境卫生管理处</w:t>
      </w:r>
      <w:r>
        <w:rPr>
          <w:rFonts w:ascii="华文中宋" w:hAnsi="华文中宋" w:eastAsia="华文中宋" w:cs="宋体"/>
          <w:b/>
          <w:bCs/>
          <w:color w:val="auto"/>
          <w:kern w:val="0"/>
          <w:sz w:val="28"/>
          <w:szCs w:val="28"/>
          <w:highlight w:val="none"/>
        </w:rPr>
        <w:t>2022</w:t>
      </w:r>
      <w:r>
        <w:rPr>
          <w:rFonts w:hint="eastAsia" w:ascii="华文中宋" w:hAnsi="华文中宋" w:eastAsia="华文中宋" w:cs="宋体"/>
          <w:b/>
          <w:bCs/>
          <w:color w:val="auto"/>
          <w:kern w:val="0"/>
          <w:sz w:val="28"/>
          <w:szCs w:val="28"/>
          <w:highlight w:val="none"/>
        </w:rPr>
        <w:t>年政府性基金预算支出表</w:t>
      </w:r>
    </w:p>
    <w:p>
      <w:pPr>
        <w:ind w:left="7400" w:hanging="7400" w:hangingChars="3700"/>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单位：万元</w:t>
      </w:r>
    </w:p>
    <w:tbl>
      <w:tblPr>
        <w:tblStyle w:val="5"/>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auto"/>
                <w:kern w:val="0"/>
                <w:sz w:val="22"/>
                <w:highlight w:val="none"/>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auto"/>
                <w:kern w:val="0"/>
                <w:sz w:val="22"/>
                <w:highlight w:val="none"/>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2"/>
                <w:highlight w:val="none"/>
              </w:rPr>
            </w:pPr>
            <w:r>
              <w:rPr>
                <w:rFonts w:hint="eastAsia" w:ascii="宋体" w:hAnsi="宋体" w:cs="宋体"/>
                <w:color w:val="auto"/>
                <w:kern w:val="0"/>
                <w:sz w:val="22"/>
                <w:highlight w:val="none"/>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auto"/>
                <w:kern w:val="0"/>
                <w:sz w:val="22"/>
                <w:highlight w:val="none"/>
              </w:rPr>
            </w:pPr>
            <w:r>
              <w:rPr>
                <w:rFonts w:hint="eastAsia" w:ascii="宋体" w:hAnsi="宋体" w:cs="宋体"/>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2"/>
                <w:highlight w:val="none"/>
              </w:rPr>
            </w:pPr>
            <w:r>
              <w:rPr>
                <w:rFonts w:hint="eastAsia" w:ascii="宋体" w:hAnsi="宋体" w:cs="宋体"/>
                <w:color w:val="auto"/>
                <w:kern w:val="0"/>
                <w:sz w:val="22"/>
                <w:highlight w:val="none"/>
              </w:rPr>
              <w:t>　</w:t>
            </w:r>
          </w:p>
        </w:tc>
        <w:tc>
          <w:tcPr>
            <w:tcW w:w="3340" w:type="dxa"/>
            <w:tcBorders>
              <w:top w:val="nil"/>
              <w:left w:val="nil"/>
              <w:bottom w:val="single" w:color="auto" w:sz="4" w:space="0"/>
              <w:right w:val="single" w:color="auto" w:sz="4" w:space="0"/>
            </w:tcBorders>
            <w:vAlign w:val="center"/>
          </w:tcPr>
          <w:p>
            <w:pPr>
              <w:widowControl/>
              <w:jc w:val="center"/>
              <w:rPr>
                <w:rFonts w:ascii="宋体" w:cs="宋体"/>
                <w:color w:val="auto"/>
                <w:kern w:val="0"/>
                <w:sz w:val="22"/>
                <w:highlight w:val="none"/>
              </w:rPr>
            </w:pPr>
            <w:r>
              <w:rPr>
                <w:rFonts w:hint="eastAsia" w:ascii="宋体" w:hAnsi="宋体" w:cs="宋体"/>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2"/>
                <w:highlight w:val="none"/>
              </w:rPr>
            </w:pPr>
            <w:r>
              <w:rPr>
                <w:rFonts w:hint="eastAsia" w:ascii="宋体" w:hAnsi="宋体" w:cs="宋体"/>
                <w:color w:val="auto"/>
                <w:kern w:val="0"/>
                <w:sz w:val="22"/>
                <w:highlight w:val="none"/>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auto"/>
                <w:kern w:val="0"/>
                <w:sz w:val="22"/>
                <w:highlight w:val="none"/>
              </w:rPr>
            </w:pPr>
            <w:r>
              <w:rPr>
                <w:rFonts w:hint="eastAsia" w:ascii="宋体" w:hAnsi="宋体" w:cs="宋体"/>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auto"/>
                <w:kern w:val="0"/>
                <w:sz w:val="22"/>
                <w:highlight w:val="none"/>
              </w:rPr>
            </w:pPr>
            <w:r>
              <w:rPr>
                <w:rFonts w:hint="eastAsia" w:ascii="宋体" w:hAnsi="宋体" w:cs="宋体"/>
                <w:color w:val="auto"/>
                <w:kern w:val="0"/>
                <w:sz w:val="22"/>
                <w:highlight w:val="none"/>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auto"/>
                <w:kern w:val="0"/>
                <w:sz w:val="22"/>
                <w:highlight w:val="none"/>
              </w:rPr>
            </w:pPr>
            <w:r>
              <w:rPr>
                <w:rFonts w:hint="eastAsia" w:ascii="宋体" w:hAnsi="宋体" w:cs="宋体"/>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b/>
                <w:bCs/>
                <w:color w:val="auto"/>
                <w:kern w:val="0"/>
                <w:sz w:val="22"/>
                <w:highlight w:val="none"/>
              </w:rPr>
            </w:pPr>
            <w:r>
              <w:rPr>
                <w:rFonts w:ascii="宋体" w:hAnsi="宋体" w:cs="宋体"/>
                <w:b/>
                <w:bCs/>
                <w:color w:val="auto"/>
                <w:kern w:val="0"/>
                <w:sz w:val="22"/>
                <w:highlight w:val="none"/>
              </w:rPr>
              <w:t xml:space="preserve">          </w:t>
            </w:r>
            <w:r>
              <w:rPr>
                <w:rFonts w:hint="eastAsia" w:ascii="宋体" w:hAnsi="宋体" w:cs="宋体"/>
                <w:b/>
                <w:bCs/>
                <w:color w:val="auto"/>
                <w:kern w:val="0"/>
                <w:sz w:val="22"/>
                <w:highlight w:val="none"/>
              </w:rPr>
              <w:t>合</w:t>
            </w:r>
            <w:r>
              <w:rPr>
                <w:rFonts w:ascii="宋体" w:hAnsi="宋体" w:cs="宋体"/>
                <w:b/>
                <w:bCs/>
                <w:color w:val="auto"/>
                <w:kern w:val="0"/>
                <w:sz w:val="22"/>
                <w:highlight w:val="none"/>
              </w:rPr>
              <w:t xml:space="preserve"> </w:t>
            </w:r>
            <w:r>
              <w:rPr>
                <w:rFonts w:hint="eastAsia" w:ascii="宋体" w:hAnsi="宋体" w:cs="宋体"/>
                <w:b/>
                <w:bCs/>
                <w:color w:val="auto"/>
                <w:kern w:val="0"/>
                <w:sz w:val="22"/>
                <w:highlight w:val="none"/>
              </w:rPr>
              <w:t>计</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r>
    </w:tbl>
    <w:p>
      <w:pPr>
        <w:pStyle w:val="4"/>
        <w:adjustRightInd w:val="0"/>
        <w:snapToGrid w:val="0"/>
        <w:spacing w:before="0" w:beforeAutospacing="0" w:after="0" w:afterAutospacing="0" w:line="360" w:lineRule="auto"/>
        <w:rPr>
          <w:color w:val="auto"/>
          <w:highlight w:val="none"/>
        </w:rPr>
      </w:pPr>
      <w:r>
        <w:rPr>
          <w:rFonts w:hint="eastAsia"/>
          <w:color w:val="auto"/>
          <w:highlight w:val="none"/>
        </w:rPr>
        <w:t>注：“</w:t>
      </w:r>
      <w:r>
        <w:rPr>
          <w:rFonts w:hint="eastAsia"/>
          <w:color w:val="auto"/>
          <w:highlight w:val="none"/>
          <w:lang w:eastAsia="zh-CN"/>
        </w:rPr>
        <w:t>淮南市八公山区环境卫生管理处</w:t>
      </w:r>
      <w:r>
        <w:rPr>
          <w:rFonts w:hint="eastAsia"/>
          <w:color w:val="auto"/>
          <w:highlight w:val="none"/>
        </w:rPr>
        <w:t>没有政府性基金预算拨款收入，也没有政府性基金预算拨款安排的支出，故本表无数据”。</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adjustRightInd w:val="0"/>
        <w:snapToGrid w:val="0"/>
        <w:spacing w:before="0" w:beforeAutospacing="0" w:after="0" w:afterAutospacing="0" w:line="360" w:lineRule="auto"/>
        <w:ind w:right="100"/>
        <w:jc w:val="right"/>
        <w:rPr>
          <w:rFonts w:ascii="黑体" w:hAnsi="黑体" w:eastAsia="黑体"/>
          <w:bCs/>
          <w:color w:val="auto"/>
          <w:sz w:val="36"/>
          <w:szCs w:val="36"/>
          <w:highlight w:val="none"/>
        </w:rPr>
      </w:pPr>
      <w:r>
        <w:rPr>
          <w:color w:val="auto"/>
          <w:sz w:val="20"/>
          <w:szCs w:val="20"/>
          <w:highlight w:val="none"/>
        </w:rPr>
        <w:t xml:space="preserve">  </w:t>
      </w:r>
      <w:r>
        <w:rPr>
          <w:rFonts w:hint="eastAsia"/>
          <w:color w:val="auto"/>
          <w:sz w:val="20"/>
          <w:szCs w:val="20"/>
          <w:highlight w:val="none"/>
        </w:rPr>
        <w:t>部门</w:t>
      </w:r>
      <w:r>
        <w:rPr>
          <w:rFonts w:hint="eastAsia"/>
          <w:color w:val="auto"/>
          <w:sz w:val="20"/>
          <w:szCs w:val="20"/>
          <w:highlight w:val="none"/>
          <w:u w:val="single"/>
        </w:rPr>
        <w:t>（单位）</w:t>
      </w:r>
      <w:r>
        <w:rPr>
          <w:rFonts w:hint="eastAsia"/>
          <w:color w:val="auto"/>
          <w:sz w:val="20"/>
          <w:szCs w:val="20"/>
          <w:highlight w:val="none"/>
        </w:rPr>
        <w:t>公开表</w:t>
      </w:r>
      <w:r>
        <w:rPr>
          <w:color w:val="auto"/>
          <w:sz w:val="20"/>
          <w:szCs w:val="20"/>
          <w:highlight w:val="none"/>
        </w:rPr>
        <w:t>8</w:t>
      </w:r>
    </w:p>
    <w:p>
      <w:pPr>
        <w:pStyle w:val="4"/>
        <w:adjustRightInd w:val="0"/>
        <w:snapToGrid w:val="0"/>
        <w:spacing w:before="0" w:beforeAutospacing="0" w:after="0" w:afterAutospacing="0" w:line="360" w:lineRule="auto"/>
        <w:jc w:val="center"/>
        <w:rPr>
          <w:rFonts w:ascii="黑体" w:hAnsi="黑体" w:eastAsia="黑体"/>
          <w:bCs/>
          <w:color w:val="auto"/>
          <w:sz w:val="18"/>
          <w:szCs w:val="18"/>
          <w:highlight w:val="none"/>
        </w:rPr>
      </w:pPr>
    </w:p>
    <w:tbl>
      <w:tblPr>
        <w:tblStyle w:val="5"/>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color w:val="auto"/>
                <w:kern w:val="0"/>
                <w:sz w:val="28"/>
                <w:szCs w:val="28"/>
                <w:highlight w:val="none"/>
                <w:u w:val="single"/>
              </w:rPr>
            </w:pPr>
            <w:r>
              <w:rPr>
                <w:rFonts w:hint="eastAsia" w:ascii="华文中宋" w:hAnsi="华文中宋" w:eastAsia="华文中宋" w:cs="宋体"/>
                <w:b/>
                <w:bCs/>
                <w:color w:val="auto"/>
                <w:kern w:val="0"/>
                <w:sz w:val="28"/>
                <w:szCs w:val="28"/>
                <w:highlight w:val="none"/>
                <w:lang w:eastAsia="zh-CN"/>
              </w:rPr>
              <w:t>淮南市八公山区环境卫生管理处</w:t>
            </w:r>
            <w:r>
              <w:rPr>
                <w:rFonts w:ascii="华文中宋" w:hAnsi="华文中宋" w:eastAsia="华文中宋" w:cs="宋体"/>
                <w:b/>
                <w:bCs/>
                <w:color w:val="auto"/>
                <w:kern w:val="0"/>
                <w:sz w:val="28"/>
                <w:szCs w:val="28"/>
                <w:highlight w:val="none"/>
              </w:rPr>
              <w:t>2022</w:t>
            </w:r>
            <w:r>
              <w:rPr>
                <w:rFonts w:hint="eastAsia" w:ascii="华文中宋" w:hAnsi="华文中宋" w:eastAsia="华文中宋" w:cs="宋体"/>
                <w:b/>
                <w:bCs/>
                <w:color w:val="auto"/>
                <w:kern w:val="0"/>
                <w:sz w:val="28"/>
                <w:szCs w:val="28"/>
                <w:highlight w:val="none"/>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color w:val="auto"/>
                <w:kern w:val="0"/>
                <w:sz w:val="18"/>
                <w:szCs w:val="18"/>
                <w:highlight w:val="none"/>
              </w:rPr>
            </w:pPr>
          </w:p>
        </w:tc>
        <w:tc>
          <w:tcPr>
            <w:tcW w:w="697"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p>
        </w:tc>
        <w:tc>
          <w:tcPr>
            <w:tcW w:w="3780" w:type="dxa"/>
            <w:tcBorders>
              <w:top w:val="nil"/>
              <w:left w:val="nil"/>
              <w:bottom w:val="single" w:color="auto" w:sz="4" w:space="0"/>
              <w:right w:val="nil"/>
            </w:tcBorders>
            <w:vAlign w:val="center"/>
          </w:tcPr>
          <w:p>
            <w:pPr>
              <w:widowControl/>
              <w:jc w:val="left"/>
              <w:rPr>
                <w:rFonts w:ascii="宋体" w:cs="宋体"/>
                <w:color w:val="auto"/>
                <w:kern w:val="0"/>
                <w:sz w:val="20"/>
                <w:szCs w:val="20"/>
                <w:highlight w:val="none"/>
              </w:rPr>
            </w:pPr>
          </w:p>
        </w:tc>
        <w:tc>
          <w:tcPr>
            <w:tcW w:w="236" w:type="dxa"/>
            <w:tcBorders>
              <w:top w:val="nil"/>
              <w:left w:val="nil"/>
              <w:bottom w:val="nil"/>
              <w:right w:val="nil"/>
            </w:tcBorders>
            <w:vAlign w:val="center"/>
          </w:tcPr>
          <w:p>
            <w:pPr>
              <w:widowControl/>
              <w:jc w:val="left"/>
              <w:rPr>
                <w:rFonts w:ascii="宋体" w:cs="宋体"/>
                <w:color w:val="auto"/>
                <w:kern w:val="0"/>
                <w:sz w:val="20"/>
                <w:szCs w:val="20"/>
                <w:highlight w:val="none"/>
              </w:rPr>
            </w:pPr>
          </w:p>
        </w:tc>
        <w:tc>
          <w:tcPr>
            <w:tcW w:w="2645" w:type="dxa"/>
            <w:gridSpan w:val="3"/>
            <w:tcBorders>
              <w:top w:val="nil"/>
              <w:left w:val="nil"/>
              <w:bottom w:val="nil"/>
              <w:right w:val="nil"/>
            </w:tcBorders>
            <w:vAlign w:val="center"/>
          </w:tcPr>
          <w:p>
            <w:pPr>
              <w:widowControl/>
              <w:jc w:val="left"/>
              <w:rPr>
                <w:rFonts w:ascii="宋体" w:cs="宋体"/>
                <w:color w:val="auto"/>
                <w:kern w:val="0"/>
                <w:sz w:val="20"/>
                <w:szCs w:val="20"/>
                <w:highlight w:val="none"/>
              </w:rPr>
            </w:pPr>
          </w:p>
        </w:tc>
        <w:tc>
          <w:tcPr>
            <w:tcW w:w="1315" w:type="dxa"/>
            <w:gridSpan w:val="2"/>
            <w:tcBorders>
              <w:top w:val="nil"/>
              <w:left w:val="nil"/>
              <w:bottom w:val="nil"/>
              <w:right w:val="nil"/>
            </w:tcBorders>
            <w:vAlign w:val="center"/>
          </w:tcPr>
          <w:p>
            <w:pPr>
              <w:widowControl/>
              <w:ind w:right="100"/>
              <w:jc w:val="right"/>
              <w:rPr>
                <w:rFonts w:ascii="宋体" w:cs="宋体"/>
                <w:color w:val="auto"/>
                <w:kern w:val="0"/>
                <w:sz w:val="20"/>
                <w:szCs w:val="20"/>
                <w:highlight w:val="none"/>
              </w:rPr>
            </w:pPr>
            <w:r>
              <w:rPr>
                <w:rFonts w:hint="eastAsia" w:ascii="宋体" w:hAnsi="宋体" w:cs="宋体"/>
                <w:color w:val="auto"/>
                <w:kern w:val="0"/>
                <w:sz w:val="20"/>
                <w:szCs w:val="20"/>
                <w:highlight w:val="none"/>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auto"/>
                <w:kern w:val="0"/>
                <w:sz w:val="24"/>
                <w:highlight w:val="none"/>
              </w:rPr>
            </w:pPr>
            <w:r>
              <w:rPr>
                <w:rFonts w:hint="eastAsia" w:ascii="宋体" w:hAnsi="宋体" w:cs="宋体"/>
                <w:b/>
                <w:color w:val="auto"/>
                <w:kern w:val="0"/>
                <w:sz w:val="22"/>
                <w:highlight w:val="none"/>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auto"/>
                <w:kern w:val="0"/>
                <w:sz w:val="24"/>
                <w:highlight w:val="none"/>
              </w:rPr>
            </w:pPr>
            <w:r>
              <w:rPr>
                <w:rFonts w:hint="eastAsia" w:ascii="宋体" w:hAnsi="宋体" w:cs="宋体"/>
                <w:b/>
                <w:bCs/>
                <w:color w:val="auto"/>
                <w:kern w:val="0"/>
                <w:sz w:val="22"/>
                <w:highlight w:val="none"/>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color w:val="auto"/>
                <w:kern w:val="0"/>
                <w:sz w:val="22"/>
                <w:highlight w:val="none"/>
              </w:rPr>
            </w:pPr>
            <w:r>
              <w:rPr>
                <w:rFonts w:hint="eastAsia" w:ascii="宋体" w:hAnsi="宋体" w:cs="宋体"/>
                <w:color w:val="auto"/>
                <w:kern w:val="0"/>
                <w:sz w:val="22"/>
                <w:highlight w:val="none"/>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color w:val="auto"/>
                <w:kern w:val="0"/>
                <w:sz w:val="22"/>
                <w:highlight w:val="none"/>
              </w:rPr>
            </w:pPr>
            <w:r>
              <w:rPr>
                <w:rFonts w:hint="eastAsia" w:ascii="宋体" w:hAnsi="宋体" w:cs="宋体"/>
                <w:color w:val="auto"/>
                <w:kern w:val="0"/>
                <w:sz w:val="22"/>
                <w:highlight w:val="none"/>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0"/>
                <w:szCs w:val="20"/>
                <w:highlight w:val="none"/>
              </w:rPr>
            </w:pPr>
            <w:r>
              <w:rPr>
                <w:rFonts w:hint="eastAsia" w:ascii="宋体" w:hAnsi="宋体" w:cs="宋体"/>
                <w:color w:val="auto"/>
                <w:kern w:val="0"/>
                <w:sz w:val="20"/>
                <w:szCs w:val="20"/>
                <w:highlight w:val="none"/>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auto"/>
                <w:kern w:val="0"/>
                <w:sz w:val="24"/>
                <w:highlight w:val="none"/>
              </w:rPr>
            </w:pPr>
            <w:r>
              <w:rPr>
                <w:rFonts w:hint="eastAsia" w:ascii="宋体" w:hAnsi="宋体" w:cs="宋体"/>
                <w:b/>
                <w:bCs/>
                <w:color w:val="auto"/>
                <w:kern w:val="0"/>
                <w:sz w:val="24"/>
                <w:highlight w:val="none"/>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color w:val="auto"/>
                <w:kern w:val="0"/>
                <w:sz w:val="24"/>
                <w:highlight w:val="none"/>
              </w:rPr>
            </w:pPr>
            <w:r>
              <w:rPr>
                <w:rFonts w:hint="eastAsia" w:ascii="宋体" w:hAnsi="宋体" w:cs="宋体"/>
                <w:color w:val="auto"/>
                <w:kern w:val="0"/>
                <w:sz w:val="24"/>
                <w:highlight w:val="none"/>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color w:val="auto"/>
                <w:kern w:val="0"/>
                <w:sz w:val="24"/>
                <w:highlight w:val="none"/>
              </w:rPr>
            </w:pPr>
            <w:r>
              <w:rPr>
                <w:rFonts w:hint="eastAsia" w:ascii="宋体" w:hAnsi="宋体" w:cs="宋体"/>
                <w:color w:val="auto"/>
                <w:kern w:val="0"/>
                <w:sz w:val="24"/>
                <w:highlight w:val="none"/>
              </w:rPr>
              <w:t>注：“</w:t>
            </w:r>
            <w:r>
              <w:rPr>
                <w:rFonts w:hint="eastAsia" w:ascii="宋体" w:hAnsi="宋体" w:cs="宋体"/>
                <w:color w:val="auto"/>
                <w:kern w:val="0"/>
                <w:sz w:val="24"/>
                <w:highlight w:val="none"/>
                <w:lang w:eastAsia="zh-CN"/>
              </w:rPr>
              <w:t>淮南市八公山区环境卫生管理处</w:t>
            </w:r>
            <w:r>
              <w:rPr>
                <w:rFonts w:hint="eastAsia" w:ascii="宋体" w:hAnsi="宋体" w:cs="宋体"/>
                <w:color w:val="auto"/>
                <w:kern w:val="0"/>
                <w:sz w:val="24"/>
                <w:highlight w:val="none"/>
              </w:rPr>
              <w:t>没有国有资本经营预算拨款收入，也没有国有资本经营预算拨款安排的支出，故本表无数据”。</w:t>
            </w:r>
          </w:p>
        </w:tc>
      </w:tr>
    </w:tbl>
    <w:p>
      <w:pPr>
        <w:pStyle w:val="4"/>
        <w:adjustRightInd w:val="0"/>
        <w:snapToGrid w:val="0"/>
        <w:spacing w:before="0" w:beforeAutospacing="0" w:after="0" w:afterAutospacing="0" w:line="360" w:lineRule="auto"/>
        <w:ind w:right="400"/>
        <w:rPr>
          <w:color w:val="auto"/>
          <w:sz w:val="20"/>
          <w:szCs w:val="20"/>
          <w:highlight w:val="none"/>
        </w:rPr>
      </w:pPr>
    </w:p>
    <w:p>
      <w:pPr>
        <w:rPr>
          <w:color w:val="auto"/>
          <w:highlight w:val="none"/>
        </w:rPr>
      </w:pPr>
    </w:p>
    <w:p>
      <w:pPr>
        <w:rPr>
          <w:color w:val="auto"/>
          <w:highlight w:val="none"/>
        </w:rPr>
        <w:sectPr>
          <w:pgSz w:w="11906" w:h="16838"/>
          <w:pgMar w:top="1440" w:right="1797" w:bottom="1440" w:left="1797" w:header="851" w:footer="992" w:gutter="0"/>
          <w:cols w:space="425" w:num="1"/>
          <w:docGrid w:type="lines" w:linePitch="312" w:charSpace="0"/>
        </w:sectPr>
      </w:pPr>
    </w:p>
    <w:p>
      <w:pPr>
        <w:ind w:firstLine="9500" w:firstLineChars="4750"/>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部门</w:t>
      </w:r>
      <w:r>
        <w:rPr>
          <w:rFonts w:hint="eastAsia" w:ascii="宋体" w:hAnsi="宋体" w:cs="宋体"/>
          <w:color w:val="auto"/>
          <w:kern w:val="0"/>
          <w:sz w:val="20"/>
          <w:szCs w:val="20"/>
          <w:highlight w:val="none"/>
          <w:u w:val="single"/>
        </w:rPr>
        <w:t>（单位）</w:t>
      </w:r>
      <w:r>
        <w:rPr>
          <w:rFonts w:hint="eastAsia" w:ascii="宋体" w:hAnsi="宋体" w:cs="宋体"/>
          <w:color w:val="auto"/>
          <w:kern w:val="0"/>
          <w:sz w:val="20"/>
          <w:szCs w:val="20"/>
          <w:highlight w:val="none"/>
        </w:rPr>
        <w:t>公开表</w:t>
      </w:r>
      <w:r>
        <w:rPr>
          <w:rFonts w:ascii="宋体" w:hAnsi="宋体" w:cs="宋体"/>
          <w:color w:val="auto"/>
          <w:kern w:val="0"/>
          <w:sz w:val="20"/>
          <w:szCs w:val="20"/>
          <w:highlight w:val="none"/>
        </w:rPr>
        <w:t>9</w:t>
      </w:r>
    </w:p>
    <w:p>
      <w:pPr>
        <w:widowControl/>
        <w:ind w:firstLine="3201" w:firstLineChars="1067"/>
        <w:rPr>
          <w:rFonts w:ascii="华文中宋" w:hAnsi="华文中宋" w:eastAsia="华文中宋" w:cs="宋体"/>
          <w:b/>
          <w:bCs/>
          <w:color w:val="auto"/>
          <w:kern w:val="0"/>
          <w:sz w:val="30"/>
          <w:szCs w:val="30"/>
          <w:highlight w:val="none"/>
        </w:rPr>
      </w:pPr>
      <w:r>
        <w:rPr>
          <w:rFonts w:hint="eastAsia" w:ascii="华文中宋" w:hAnsi="华文中宋" w:eastAsia="华文中宋" w:cs="宋体"/>
          <w:b/>
          <w:bCs/>
          <w:color w:val="auto"/>
          <w:kern w:val="0"/>
          <w:sz w:val="30"/>
          <w:szCs w:val="30"/>
          <w:highlight w:val="none"/>
          <w:lang w:eastAsia="zh-CN"/>
        </w:rPr>
        <w:t>淮南市八公山区环境卫生管理处</w:t>
      </w:r>
      <w:r>
        <w:rPr>
          <w:rFonts w:ascii="华文中宋" w:hAnsi="华文中宋" w:eastAsia="华文中宋" w:cs="宋体"/>
          <w:b/>
          <w:bCs/>
          <w:color w:val="auto"/>
          <w:kern w:val="0"/>
          <w:sz w:val="30"/>
          <w:szCs w:val="30"/>
          <w:highlight w:val="none"/>
        </w:rPr>
        <w:t>2022</w:t>
      </w:r>
      <w:r>
        <w:rPr>
          <w:rFonts w:hint="eastAsia" w:ascii="华文中宋" w:hAnsi="华文中宋" w:eastAsia="华文中宋" w:cs="宋体"/>
          <w:b/>
          <w:bCs/>
          <w:color w:val="auto"/>
          <w:kern w:val="0"/>
          <w:sz w:val="30"/>
          <w:szCs w:val="30"/>
          <w:highlight w:val="none"/>
        </w:rPr>
        <w:t>年项目支出表</w:t>
      </w:r>
    </w:p>
    <w:p>
      <w:pPr>
        <w:ind w:left="7400" w:hanging="7400" w:hangingChars="3700"/>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单位：万元</w:t>
      </w:r>
    </w:p>
    <w:tbl>
      <w:tblPr>
        <w:tblStyle w:val="5"/>
        <w:tblW w:w="14140" w:type="dxa"/>
        <w:tblInd w:w="100" w:type="dxa"/>
        <w:tblLayout w:type="fixed"/>
        <w:tblCellMar>
          <w:top w:w="0" w:type="dxa"/>
          <w:left w:w="108" w:type="dxa"/>
          <w:bottom w:w="0" w:type="dxa"/>
          <w:right w:w="108" w:type="dxa"/>
        </w:tblCellMar>
      </w:tblPr>
      <w:tblGrid>
        <w:gridCol w:w="1200"/>
        <w:gridCol w:w="1440"/>
        <w:gridCol w:w="1360"/>
        <w:gridCol w:w="920"/>
        <w:gridCol w:w="1220"/>
        <w:gridCol w:w="1220"/>
        <w:gridCol w:w="1220"/>
        <w:gridCol w:w="1220"/>
        <w:gridCol w:w="1220"/>
        <w:gridCol w:w="1220"/>
        <w:gridCol w:w="1020"/>
        <w:gridCol w:w="880"/>
      </w:tblGrid>
      <w:tr>
        <w:trPr>
          <w:trHeight w:val="762" w:hRule="atLeast"/>
        </w:trPr>
        <w:tc>
          <w:tcPr>
            <w:tcW w:w="12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类型</w:t>
            </w:r>
          </w:p>
        </w:tc>
        <w:tc>
          <w:tcPr>
            <w:tcW w:w="144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项目名称</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项目单位</w:t>
            </w:r>
          </w:p>
        </w:tc>
        <w:tc>
          <w:tcPr>
            <w:tcW w:w="9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合计</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本年财政拨款</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单位</w:t>
            </w:r>
          </w:p>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资金</w:t>
            </w:r>
          </w:p>
        </w:tc>
      </w:tr>
      <w:tr>
        <w:tblPrEx>
          <w:tblCellMar>
            <w:top w:w="0" w:type="dxa"/>
            <w:left w:w="108" w:type="dxa"/>
            <w:bottom w:w="0" w:type="dxa"/>
            <w:right w:w="108" w:type="dxa"/>
          </w:tblCellMar>
        </w:tblPrEx>
        <w:trPr>
          <w:trHeight w:val="76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auto"/>
                <w:kern w:val="0"/>
                <w:sz w:val="22"/>
                <w:highlight w:val="none"/>
              </w:rPr>
            </w:pPr>
          </w:p>
        </w:tc>
        <w:tc>
          <w:tcPr>
            <w:tcW w:w="14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auto"/>
                <w:kern w:val="0"/>
                <w:sz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auto"/>
                <w:kern w:val="0"/>
                <w:sz w:val="22"/>
                <w:highlight w:val="none"/>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auto"/>
                <w:kern w:val="0"/>
                <w:sz w:val="22"/>
                <w:highlight w:val="none"/>
              </w:rPr>
            </w:pPr>
          </w:p>
        </w:tc>
        <w:tc>
          <w:tcPr>
            <w:tcW w:w="1220" w:type="dxa"/>
            <w:tcBorders>
              <w:top w:val="nil"/>
              <w:left w:val="nil"/>
              <w:bottom w:val="nil"/>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国有资本经营预算</w:t>
            </w:r>
          </w:p>
        </w:tc>
        <w:tc>
          <w:tcPr>
            <w:tcW w:w="1220" w:type="dxa"/>
            <w:tcBorders>
              <w:top w:val="nil"/>
              <w:left w:val="nil"/>
              <w:bottom w:val="nil"/>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auto"/>
                <w:kern w:val="0"/>
                <w:sz w:val="22"/>
                <w:highlight w:val="none"/>
              </w:rPr>
            </w:pPr>
            <w:r>
              <w:rPr>
                <w:rFonts w:hint="eastAsia" w:ascii="宋体" w:hAnsi="宋体" w:cs="宋体"/>
                <w:b/>
                <w:bCs/>
                <w:color w:val="auto"/>
                <w:kern w:val="0"/>
                <w:sz w:val="22"/>
                <w:highlight w:val="none"/>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auto"/>
                <w:kern w:val="0"/>
                <w:sz w:val="22"/>
                <w:highlight w:val="none"/>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2021年公厕改造区级配套尾款</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50.00 </w:t>
            </w:r>
          </w:p>
        </w:tc>
        <w:tc>
          <w:tcPr>
            <w:tcW w:w="12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50.00 </w:t>
            </w:r>
          </w:p>
        </w:tc>
        <w:tc>
          <w:tcPr>
            <w:tcW w:w="1220" w:type="dxa"/>
            <w:tcBorders>
              <w:top w:val="single" w:color="auto" w:sz="4" w:space="0"/>
              <w:left w:val="nil"/>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1220" w:type="dxa"/>
            <w:tcBorders>
              <w:top w:val="single" w:color="auto" w:sz="4" w:space="0"/>
              <w:left w:val="nil"/>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1220" w:type="dxa"/>
            <w:tcBorders>
              <w:top w:val="single" w:color="auto" w:sz="4" w:space="0"/>
              <w:left w:val="nil"/>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2022城维费公厕管护作业经费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146.98 </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145.78 </w:t>
            </w:r>
          </w:p>
        </w:tc>
        <w:tc>
          <w:tcPr>
            <w:tcW w:w="1220" w:type="dxa"/>
            <w:tcBorders>
              <w:top w:val="nil"/>
              <w:left w:val="nil"/>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1220" w:type="dxa"/>
            <w:tcBorders>
              <w:top w:val="nil"/>
              <w:left w:val="nil"/>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r>
      <w:tr>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2022年八公山区环卫处保洁运转经费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84.00 </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84.00 </w:t>
            </w:r>
          </w:p>
        </w:tc>
        <w:tc>
          <w:tcPr>
            <w:tcW w:w="122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auto"/>
                <w:kern w:val="0"/>
                <w:sz w:val="22"/>
                <w:highlight w:val="none"/>
              </w:rPr>
            </w:pPr>
            <w:r>
              <w:rPr>
                <w:rFonts w:hint="eastAsia" w:ascii="宋体" w:hAnsi="宋体" w:cs="宋体"/>
                <w:color w:val="auto"/>
                <w:kern w:val="0"/>
                <w:sz w:val="22"/>
                <w:highlight w:val="none"/>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2022年城维费道路清扫保洁作业</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159.48 </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159.48 </w:t>
            </w:r>
          </w:p>
        </w:tc>
        <w:tc>
          <w:tcPr>
            <w:tcW w:w="1220" w:type="dxa"/>
            <w:tcBorders>
              <w:top w:val="nil"/>
              <w:left w:val="nil"/>
              <w:bottom w:val="single" w:color="auto" w:sz="4" w:space="0"/>
              <w:right w:val="single" w:color="auto" w:sz="4" w:space="0"/>
            </w:tcBorders>
            <w:vAlign w:val="center"/>
          </w:tcPr>
          <w:p>
            <w:pPr>
              <w:jc w:val="right"/>
              <w:rPr>
                <w:rFonts w:hint="eastAsia" w:ascii="宋体" w:eastAsia="宋体" w:cs="宋体"/>
                <w:color w:val="auto"/>
                <w:kern w:val="0"/>
                <w:sz w:val="22"/>
                <w:highlight w:val="none"/>
                <w:lang w:eastAsia="zh-CN"/>
              </w:rPr>
            </w:pPr>
          </w:p>
        </w:tc>
        <w:tc>
          <w:tcPr>
            <w:tcW w:w="122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2022年公厕项目改造维护费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145.78 </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145.78 </w:t>
            </w:r>
          </w:p>
        </w:tc>
        <w:tc>
          <w:tcPr>
            <w:tcW w:w="122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八公山区城区小街小巷、无物业管理小区环卫作业市场化服务采购项目</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360.00 </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360.00 </w:t>
            </w:r>
          </w:p>
        </w:tc>
        <w:tc>
          <w:tcPr>
            <w:tcW w:w="122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nil"/>
              <w:left w:val="nil"/>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rPr>
          <w:trHeight w:val="360" w:hRule="atLeast"/>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八公山镇乡镇环卫市场化公司</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158.67 </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158.67 </w:t>
            </w:r>
          </w:p>
        </w:tc>
        <w:tc>
          <w:tcPr>
            <w:tcW w:w="1220" w:type="dxa"/>
            <w:tcBorders>
              <w:top w:val="nil"/>
              <w:left w:val="nil"/>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1220" w:type="dxa"/>
            <w:tcBorders>
              <w:top w:val="nil"/>
              <w:left w:val="nil"/>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1220" w:type="dxa"/>
            <w:tcBorders>
              <w:top w:val="nil"/>
              <w:left w:val="nil"/>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r>
      <w:tr>
        <w:tblPrEx>
          <w:tblCellMar>
            <w:top w:w="0" w:type="dxa"/>
            <w:left w:w="108" w:type="dxa"/>
            <w:bottom w:w="0" w:type="dxa"/>
            <w:right w:w="108" w:type="dxa"/>
          </w:tblCellMar>
        </w:tblPrEx>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单位代理记账服务费</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0.20 </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0.20 </w:t>
            </w: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二通道道路清扫保洁作业经费</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宋体" w:eastAsia="宋体" w:cs="宋体"/>
                <w:color w:val="auto"/>
                <w:kern w:val="0"/>
                <w:sz w:val="22"/>
                <w:highlight w:val="none"/>
                <w:lang w:val="en-US" w:eastAsia="zh-CN"/>
              </w:rPr>
            </w:pPr>
            <w:r>
              <w:rPr>
                <w:rFonts w:hint="eastAsia" w:ascii="宋体" w:cs="宋体"/>
                <w:color w:val="auto"/>
                <w:kern w:val="0"/>
                <w:sz w:val="22"/>
                <w:highlight w:val="none"/>
                <w:lang w:val="en-US" w:eastAsia="zh-CN"/>
              </w:rPr>
              <w:t>294.30</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294.30</w:t>
            </w: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color w:val="auto"/>
                <w:kern w:val="0"/>
                <w:sz w:val="22"/>
                <w:highlight w:val="none"/>
              </w:rPr>
            </w:pPr>
            <w:r>
              <w:rPr>
                <w:rFonts w:hint="eastAsia" w:ascii="宋体" w:hAnsi="宋体" w:cs="宋体"/>
                <w:color w:val="auto"/>
                <w:kern w:val="0"/>
                <w:sz w:val="22"/>
                <w:highlight w:val="none"/>
              </w:rPr>
              <w:t>　</w:t>
            </w:r>
          </w:p>
        </w:tc>
      </w:tr>
      <w:tr>
        <w:tblPrEx>
          <w:tblCellMar>
            <w:top w:w="0" w:type="dxa"/>
            <w:left w:w="108" w:type="dxa"/>
            <w:bottom w:w="0" w:type="dxa"/>
            <w:right w:w="108" w:type="dxa"/>
          </w:tblCellMar>
        </w:tblPrEx>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非在编及临时工区级社保五险</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76.32 </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76.32 </w:t>
            </w: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asci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b/>
                <w:bCs/>
                <w:color w:val="auto"/>
                <w:kern w:val="0"/>
                <w:sz w:val="22"/>
                <w:highlight w:val="none"/>
              </w:rPr>
            </w:pPr>
            <w:r>
              <w:rPr>
                <w:rFonts w:hint="eastAsia" w:ascii="宋体" w:hAnsi="宋体" w:cs="宋体"/>
                <w:b/>
                <w:bCs/>
                <w:color w:val="auto"/>
                <w:kern w:val="0"/>
                <w:sz w:val="22"/>
                <w:highlight w:val="none"/>
              </w:rPr>
              <w:t>　</w:t>
            </w:r>
          </w:p>
        </w:tc>
      </w:tr>
      <w:tr>
        <w:tblPrEx>
          <w:tblCellMar>
            <w:top w:w="0" w:type="dxa"/>
            <w:left w:w="108" w:type="dxa"/>
            <w:bottom w:w="0" w:type="dxa"/>
            <w:right w:w="108" w:type="dxa"/>
          </w:tblCellMar>
        </w:tblPrEx>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非在编及临时工社保五险</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76.32 </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76.32 </w:t>
            </w: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非在编企业编制人员区财政配套资金</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35.47 </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35.47 </w:t>
            </w: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环卫处临时工工资（含退养工）</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494.42 </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494.42 </w:t>
            </w: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垃圾场青苗费</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5.77 </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5.77 </w:t>
            </w: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山王镇环卫市场环卫服务采购项目</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220.09 </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220.09 </w:t>
            </w: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慰问费及高温补贴</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25.00 </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25.00 </w:t>
            </w: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特定目标类</w:t>
            </w: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一次性抚恤金及死亡丧葬费-程东淮</w:t>
            </w:r>
          </w:p>
        </w:tc>
        <w:tc>
          <w:tcPr>
            <w:tcW w:w="13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淮南市八公山区环境卫生管理处</w:t>
            </w: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4.19 </w:t>
            </w: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eastAsia="宋体" w:cs="宋体"/>
                <w:i w:val="0"/>
                <w:iCs w:val="0"/>
                <w:color w:val="auto"/>
                <w:kern w:val="0"/>
                <w:sz w:val="20"/>
                <w:szCs w:val="20"/>
                <w:highlight w:val="none"/>
                <w:u w:val="none"/>
                <w:lang w:val="en-US" w:eastAsia="zh-CN" w:bidi="ar"/>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4.19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r>
        <w:tblPrEx>
          <w:tblCellMar>
            <w:top w:w="0" w:type="dxa"/>
            <w:left w:w="108" w:type="dxa"/>
            <w:bottom w:w="0" w:type="dxa"/>
            <w:right w:w="108" w:type="dxa"/>
          </w:tblCellMar>
        </w:tblPrEx>
        <w:trPr>
          <w:trHeight w:val="360" w:hRule="atLeast"/>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w:t>
            </w:r>
          </w:p>
        </w:tc>
        <w:tc>
          <w:tcPr>
            <w:tcW w:w="14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i w:val="0"/>
                <w:iCs w:val="0"/>
                <w:color w:val="auto"/>
                <w:kern w:val="0"/>
                <w:sz w:val="20"/>
                <w:szCs w:val="20"/>
                <w:highlight w:val="none"/>
                <w:u w:val="none"/>
                <w:lang w:val="en-US" w:eastAsia="zh-CN" w:bidi="ar"/>
              </w:rPr>
            </w:pPr>
          </w:p>
        </w:tc>
        <w:tc>
          <w:tcPr>
            <w:tcW w:w="136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i w:val="0"/>
                <w:iCs w:val="0"/>
                <w:color w:val="auto"/>
                <w:kern w:val="0"/>
                <w:sz w:val="20"/>
                <w:szCs w:val="20"/>
                <w:highlight w:val="none"/>
                <w:u w:val="none"/>
                <w:lang w:val="en-US" w:eastAsia="zh-CN" w:bidi="ar"/>
              </w:rPr>
            </w:pPr>
          </w:p>
        </w:tc>
        <w:tc>
          <w:tcPr>
            <w:tcW w:w="9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2202.18 </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2196.79 </w:t>
            </w: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b/>
                <w:bCs/>
                <w:color w:val="auto"/>
                <w:kern w:val="0"/>
                <w:sz w:val="22"/>
                <w:highlight w:val="none"/>
              </w:rPr>
            </w:pPr>
            <w:r>
              <w:rPr>
                <w:rFonts w:hint="eastAsia" w:ascii="宋体" w:hAnsi="宋体" w:eastAsia="宋体" w:cs="宋体"/>
                <w:i w:val="0"/>
                <w:iCs w:val="0"/>
                <w:color w:val="auto"/>
                <w:kern w:val="0"/>
                <w:sz w:val="20"/>
                <w:szCs w:val="20"/>
                <w:highlight w:val="none"/>
                <w:u w:val="none"/>
                <w:lang w:val="en-US" w:eastAsia="zh-CN" w:bidi="ar"/>
              </w:rPr>
              <w:t xml:space="preserve">5.39 </w:t>
            </w: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2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c>
          <w:tcPr>
            <w:tcW w:w="880"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cs="宋体"/>
                <w:b/>
                <w:bCs/>
                <w:color w:val="auto"/>
                <w:kern w:val="0"/>
                <w:sz w:val="22"/>
                <w:highlight w:val="none"/>
              </w:rPr>
            </w:pPr>
          </w:p>
        </w:tc>
      </w:tr>
    </w:tbl>
    <w:p>
      <w:pPr>
        <w:rPr>
          <w:rFonts w:ascii="宋体" w:cs="宋体"/>
          <w:color w:val="auto"/>
          <w:kern w:val="0"/>
          <w:sz w:val="22"/>
          <w:highlight w:val="none"/>
        </w:rPr>
      </w:pPr>
    </w:p>
    <w:p>
      <w:pPr>
        <w:rPr>
          <w:rFonts w:ascii="宋体" w:cs="宋体"/>
          <w:color w:val="auto"/>
          <w:kern w:val="0"/>
          <w:sz w:val="22"/>
          <w:highlight w:val="none"/>
        </w:rPr>
      </w:pPr>
    </w:p>
    <w:p>
      <w:pPr>
        <w:rPr>
          <w:rFonts w:ascii="宋体" w:cs="宋体"/>
          <w:color w:val="auto"/>
          <w:kern w:val="0"/>
          <w:sz w:val="22"/>
          <w:highlight w:val="none"/>
        </w:rPr>
        <w:sectPr>
          <w:pgSz w:w="16838" w:h="11906" w:orient="landscape"/>
          <w:pgMar w:top="1797" w:right="1440" w:bottom="1797" w:left="1440" w:header="851" w:footer="992" w:gutter="0"/>
          <w:cols w:space="425" w:num="1"/>
          <w:docGrid w:type="linesAndChars" w:linePitch="312" w:charSpace="0"/>
        </w:sectPr>
      </w:pPr>
    </w:p>
    <w:p>
      <w:pPr>
        <w:pStyle w:val="4"/>
        <w:wordWrap w:val="0"/>
        <w:adjustRightInd w:val="0"/>
        <w:snapToGrid w:val="0"/>
        <w:spacing w:before="0" w:beforeAutospacing="0" w:after="0" w:afterAutospacing="0" w:line="360" w:lineRule="auto"/>
        <w:jc w:val="right"/>
        <w:rPr>
          <w:color w:val="auto"/>
          <w:sz w:val="20"/>
          <w:szCs w:val="20"/>
          <w:highlight w:val="none"/>
        </w:rPr>
      </w:pPr>
      <w:r>
        <w:rPr>
          <w:color w:val="auto"/>
          <w:sz w:val="20"/>
          <w:szCs w:val="20"/>
          <w:highlight w:val="none"/>
        </w:rPr>
        <w:t xml:space="preserve">       </w:t>
      </w:r>
      <w:r>
        <w:rPr>
          <w:rFonts w:hint="eastAsia"/>
          <w:color w:val="auto"/>
          <w:sz w:val="20"/>
          <w:szCs w:val="20"/>
          <w:highlight w:val="none"/>
        </w:rPr>
        <w:t>部门</w:t>
      </w:r>
      <w:r>
        <w:rPr>
          <w:rFonts w:hint="eastAsia"/>
          <w:color w:val="auto"/>
          <w:sz w:val="20"/>
          <w:szCs w:val="20"/>
          <w:highlight w:val="none"/>
          <w:u w:val="single"/>
        </w:rPr>
        <w:t>（单位）</w:t>
      </w:r>
      <w:r>
        <w:rPr>
          <w:rFonts w:hint="eastAsia"/>
          <w:color w:val="auto"/>
          <w:sz w:val="20"/>
          <w:szCs w:val="20"/>
          <w:highlight w:val="none"/>
        </w:rPr>
        <w:t>公开表</w:t>
      </w:r>
      <w:r>
        <w:rPr>
          <w:color w:val="auto"/>
          <w:sz w:val="20"/>
          <w:szCs w:val="20"/>
          <w:highlight w:val="none"/>
        </w:rPr>
        <w:t>10</w:t>
      </w:r>
    </w:p>
    <w:tbl>
      <w:tblPr>
        <w:tblStyle w:val="5"/>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jc w:val="center"/>
              <w:rPr>
                <w:rFonts w:ascii="华文中宋" w:hAnsi="华文中宋" w:eastAsia="华文中宋" w:cs="宋体"/>
                <w:b/>
                <w:bCs/>
                <w:color w:val="auto"/>
                <w:kern w:val="0"/>
                <w:sz w:val="32"/>
                <w:szCs w:val="32"/>
                <w:highlight w:val="none"/>
              </w:rPr>
            </w:pPr>
            <w:r>
              <w:rPr>
                <w:rFonts w:hint="eastAsia" w:ascii="华文中宋" w:hAnsi="华文中宋" w:eastAsia="华文中宋" w:cs="宋体"/>
                <w:b/>
                <w:bCs/>
                <w:color w:val="auto"/>
                <w:kern w:val="0"/>
                <w:sz w:val="32"/>
                <w:szCs w:val="32"/>
                <w:highlight w:val="none"/>
                <w:lang w:eastAsia="zh-CN"/>
              </w:rPr>
              <w:t>淮南市八公山区环境卫生管理处</w:t>
            </w:r>
            <w:r>
              <w:rPr>
                <w:rFonts w:ascii="华文中宋" w:hAnsi="华文中宋" w:eastAsia="华文中宋" w:cs="宋体"/>
                <w:b/>
                <w:bCs/>
                <w:color w:val="auto"/>
                <w:kern w:val="0"/>
                <w:sz w:val="32"/>
                <w:szCs w:val="32"/>
                <w:highlight w:val="none"/>
              </w:rPr>
              <w:t>2022</w:t>
            </w:r>
            <w:r>
              <w:rPr>
                <w:rFonts w:hint="eastAsia" w:ascii="华文中宋" w:hAnsi="华文中宋" w:eastAsia="华文中宋" w:cs="宋体"/>
                <w:b/>
                <w:bCs/>
                <w:color w:val="auto"/>
                <w:kern w:val="0"/>
                <w:sz w:val="32"/>
                <w:szCs w:val="32"/>
                <w:highlight w:val="none"/>
              </w:rPr>
              <w:t>年政府采购支出表</w:t>
            </w:r>
          </w:p>
          <w:p>
            <w:pPr>
              <w:widowControl/>
              <w:jc w:val="center"/>
              <w:rPr>
                <w:rFonts w:ascii="宋体" w:cs="宋体"/>
                <w:b/>
                <w:bCs/>
                <w:color w:val="auto"/>
                <w:kern w:val="0"/>
                <w:sz w:val="32"/>
                <w:szCs w:val="32"/>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color w:val="auto"/>
                <w:kern w:val="0"/>
                <w:sz w:val="20"/>
                <w:szCs w:val="20"/>
                <w:highlight w:val="none"/>
              </w:rPr>
            </w:pPr>
            <w:r>
              <w:rPr>
                <w:rFonts w:hint="eastAsia" w:ascii="宋体" w:hAnsi="宋体" w:cs="Arial"/>
                <w:b/>
                <w:bCs/>
                <w:color w:val="auto"/>
                <w:kern w:val="0"/>
                <w:sz w:val="20"/>
                <w:szCs w:val="20"/>
                <w:highlight w:val="none"/>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color w:val="auto"/>
                <w:kern w:val="0"/>
                <w:sz w:val="20"/>
                <w:szCs w:val="20"/>
                <w:highlight w:val="none"/>
              </w:rPr>
            </w:pPr>
            <w:r>
              <w:rPr>
                <w:rFonts w:hint="eastAsia" w:ascii="宋体" w:hAnsi="宋体" w:cs="Arial"/>
                <w:b/>
                <w:bCs/>
                <w:color w:val="auto"/>
                <w:kern w:val="0"/>
                <w:sz w:val="20"/>
                <w:szCs w:val="20"/>
                <w:highlight w:val="none"/>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color w:val="auto"/>
                <w:kern w:val="0"/>
                <w:sz w:val="20"/>
                <w:szCs w:val="20"/>
                <w:highlight w:val="none"/>
              </w:rPr>
            </w:pPr>
            <w:r>
              <w:rPr>
                <w:rFonts w:hint="eastAsia" w:ascii="宋体" w:hAnsi="宋体" w:cs="Arial"/>
                <w:b/>
                <w:bCs/>
                <w:color w:val="auto"/>
                <w:kern w:val="0"/>
                <w:sz w:val="20"/>
                <w:szCs w:val="20"/>
                <w:highlight w:val="none"/>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color w:val="auto"/>
                <w:kern w:val="0"/>
                <w:sz w:val="20"/>
                <w:szCs w:val="20"/>
                <w:highlight w:val="none"/>
              </w:rPr>
            </w:pPr>
            <w:r>
              <w:rPr>
                <w:rFonts w:hint="eastAsia" w:ascii="宋体" w:hAnsi="宋体" w:cs="Arial"/>
                <w:b/>
                <w:bCs/>
                <w:color w:val="auto"/>
                <w:kern w:val="0"/>
                <w:sz w:val="20"/>
                <w:szCs w:val="20"/>
                <w:highlight w:val="none"/>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color w:val="auto"/>
                <w:kern w:val="0"/>
                <w:sz w:val="20"/>
                <w:szCs w:val="20"/>
                <w:highlight w:val="none"/>
              </w:rPr>
            </w:pPr>
            <w:r>
              <w:rPr>
                <w:rFonts w:hint="eastAsia" w:ascii="宋体" w:hAnsi="宋体" w:cs="Arial"/>
                <w:b/>
                <w:bCs/>
                <w:color w:val="auto"/>
                <w:kern w:val="0"/>
                <w:sz w:val="20"/>
                <w:szCs w:val="20"/>
                <w:highlight w:val="none"/>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color w:val="auto"/>
                <w:kern w:val="0"/>
                <w:sz w:val="20"/>
                <w:szCs w:val="20"/>
                <w:highlight w:val="none"/>
              </w:rPr>
            </w:pPr>
            <w:r>
              <w:rPr>
                <w:rFonts w:hint="eastAsia" w:ascii="宋体" w:hAnsi="宋体" w:cs="Arial"/>
                <w:b/>
                <w:bCs/>
                <w:color w:val="auto"/>
                <w:kern w:val="0"/>
                <w:sz w:val="20"/>
                <w:szCs w:val="20"/>
                <w:highlight w:val="none"/>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color w:val="auto"/>
                <w:kern w:val="0"/>
                <w:sz w:val="20"/>
                <w:szCs w:val="20"/>
                <w:highlight w:val="none"/>
              </w:rPr>
            </w:pPr>
            <w:r>
              <w:rPr>
                <w:rFonts w:hint="eastAsia" w:ascii="宋体" w:hAnsi="宋体" w:cs="Arial"/>
                <w:b/>
                <w:bCs/>
                <w:color w:val="auto"/>
                <w:kern w:val="0"/>
                <w:sz w:val="20"/>
                <w:szCs w:val="20"/>
                <w:highlight w:val="none"/>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color w:val="auto"/>
                <w:kern w:val="0"/>
                <w:sz w:val="20"/>
                <w:szCs w:val="20"/>
                <w:highlight w:val="none"/>
              </w:rPr>
            </w:pPr>
            <w:r>
              <w:rPr>
                <w:rFonts w:hint="eastAsia" w:ascii="宋体" w:hAnsi="宋体" w:cs="Arial"/>
                <w:b/>
                <w:bCs/>
                <w:color w:val="auto"/>
                <w:kern w:val="0"/>
                <w:sz w:val="20"/>
                <w:szCs w:val="20"/>
                <w:highlight w:val="none"/>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900" w:type="dxa"/>
            <w:tcBorders>
              <w:top w:val="single" w:color="auto" w:sz="4" w:space="0"/>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034" w:type="dxa"/>
            <w:tcBorders>
              <w:top w:val="single" w:color="auto" w:sz="4" w:space="0"/>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color w:val="auto"/>
                <w:kern w:val="0"/>
                <w:sz w:val="20"/>
                <w:szCs w:val="20"/>
                <w:highlight w:val="none"/>
              </w:rPr>
            </w:pPr>
          </w:p>
        </w:tc>
        <w:tc>
          <w:tcPr>
            <w:tcW w:w="1150" w:type="dxa"/>
            <w:tcBorders>
              <w:top w:val="nil"/>
              <w:left w:val="nil"/>
              <w:bottom w:val="single" w:color="auto" w:sz="4" w:space="0"/>
              <w:right w:val="single" w:color="auto" w:sz="4" w:space="0"/>
            </w:tcBorders>
            <w:vAlign w:val="center"/>
          </w:tcPr>
          <w:p>
            <w:pPr>
              <w:widowControl/>
              <w:jc w:val="left"/>
              <w:rPr>
                <w:rFonts w:ascii="宋体" w:cs="Arial"/>
                <w:color w:val="auto"/>
                <w:kern w:val="0"/>
                <w:sz w:val="20"/>
                <w:szCs w:val="20"/>
                <w:highlight w:val="none"/>
              </w:rPr>
            </w:pPr>
          </w:p>
        </w:tc>
        <w:tc>
          <w:tcPr>
            <w:tcW w:w="900"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color w:val="auto"/>
                <w:kern w:val="0"/>
                <w:sz w:val="20"/>
                <w:szCs w:val="20"/>
                <w:highlight w:val="none"/>
              </w:rPr>
            </w:pPr>
          </w:p>
        </w:tc>
        <w:tc>
          <w:tcPr>
            <w:tcW w:w="1150" w:type="dxa"/>
            <w:tcBorders>
              <w:top w:val="nil"/>
              <w:left w:val="nil"/>
              <w:bottom w:val="single" w:color="auto" w:sz="4" w:space="0"/>
              <w:right w:val="single" w:color="auto" w:sz="4" w:space="0"/>
            </w:tcBorders>
            <w:vAlign w:val="center"/>
          </w:tcPr>
          <w:p>
            <w:pPr>
              <w:widowControl/>
              <w:jc w:val="left"/>
              <w:rPr>
                <w:rFonts w:ascii="宋体" w:cs="Arial"/>
                <w:color w:val="auto"/>
                <w:kern w:val="0"/>
                <w:sz w:val="20"/>
                <w:szCs w:val="20"/>
                <w:highlight w:val="none"/>
              </w:rPr>
            </w:pPr>
          </w:p>
        </w:tc>
        <w:tc>
          <w:tcPr>
            <w:tcW w:w="900"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color w:val="auto"/>
                <w:kern w:val="0"/>
                <w:sz w:val="20"/>
                <w:szCs w:val="20"/>
                <w:highlight w:val="none"/>
              </w:rPr>
            </w:pPr>
            <w:r>
              <w:rPr>
                <w:rFonts w:hint="eastAsia" w:ascii="宋体" w:hAnsi="宋体" w:cs="Arial"/>
                <w:color w:val="auto"/>
                <w:kern w:val="0"/>
                <w:sz w:val="20"/>
                <w:szCs w:val="20"/>
                <w:highlight w:val="none"/>
              </w:rPr>
              <w:t>　</w:t>
            </w:r>
            <w:r>
              <w:rPr>
                <w:rFonts w:hint="eastAsia" w:ascii="宋体" w:hAnsi="宋体" w:cs="宋体"/>
                <w:b/>
                <w:color w:val="auto"/>
                <w:sz w:val="20"/>
                <w:szCs w:val="20"/>
                <w:highlight w:val="none"/>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color w:val="auto"/>
                <w:kern w:val="0"/>
                <w:sz w:val="20"/>
                <w:szCs w:val="20"/>
                <w:highlight w:val="none"/>
              </w:rPr>
            </w:pPr>
            <w:r>
              <w:rPr>
                <w:rFonts w:hint="eastAsia" w:ascii="宋体" w:hAnsi="宋体" w:cs="Arial"/>
                <w:color w:val="auto"/>
                <w:kern w:val="0"/>
                <w:sz w:val="20"/>
                <w:szCs w:val="20"/>
                <w:highlight w:val="none"/>
              </w:rPr>
              <w:t>　</w:t>
            </w:r>
          </w:p>
        </w:tc>
      </w:tr>
    </w:tbl>
    <w:p>
      <w:pPr>
        <w:pStyle w:val="4"/>
        <w:adjustRightInd w:val="0"/>
        <w:snapToGrid w:val="0"/>
        <w:spacing w:before="0" w:beforeAutospacing="0" w:after="0" w:afterAutospacing="0"/>
        <w:jc w:val="both"/>
        <w:rPr>
          <w:color w:val="auto"/>
          <w:highlight w:val="none"/>
        </w:rPr>
      </w:pPr>
      <w:r>
        <w:rPr>
          <w:rFonts w:hint="eastAsia"/>
          <w:color w:val="auto"/>
          <w:highlight w:val="none"/>
        </w:rPr>
        <w:t>注：“</w:t>
      </w:r>
      <w:r>
        <w:rPr>
          <w:rFonts w:hint="eastAsia"/>
          <w:color w:val="auto"/>
          <w:highlight w:val="none"/>
          <w:lang w:eastAsia="zh-CN"/>
        </w:rPr>
        <w:t>淮南市八公山区环境卫生管理处</w:t>
      </w:r>
      <w:r>
        <w:rPr>
          <w:rFonts w:hint="eastAsia"/>
          <w:color w:val="auto"/>
          <w:highlight w:val="none"/>
        </w:rPr>
        <w:t>没有使用一般公共预算拨款、政府性基金预算拨款、国有资本经营预算拨款、财政专户管理资金和单位资金安排的政府采购支出，故本表无数据”。</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sectPr>
          <w:pgSz w:w="11906" w:h="16838"/>
          <w:pgMar w:top="1440" w:right="1797" w:bottom="1440" w:left="1797" w:header="851" w:footer="992" w:gutter="0"/>
          <w:cols w:space="425" w:num="1"/>
          <w:docGrid w:type="lines" w:linePitch="312" w:charSpace="0"/>
        </w:sectPr>
      </w:pPr>
    </w:p>
    <w:p>
      <w:pPr>
        <w:rPr>
          <w:color w:val="auto"/>
          <w:highlight w:val="none"/>
        </w:rPr>
      </w:pPr>
    </w:p>
    <w:p>
      <w:pPr>
        <w:pStyle w:val="4"/>
        <w:wordWrap w:val="0"/>
        <w:adjustRightInd w:val="0"/>
        <w:snapToGrid w:val="0"/>
        <w:spacing w:before="0" w:beforeAutospacing="0" w:after="0" w:afterAutospacing="0" w:line="360" w:lineRule="auto"/>
        <w:ind w:firstLine="5200" w:firstLineChars="2600"/>
        <w:jc w:val="both"/>
        <w:rPr>
          <w:color w:val="auto"/>
          <w:sz w:val="20"/>
          <w:szCs w:val="20"/>
          <w:highlight w:val="none"/>
        </w:rPr>
      </w:pPr>
      <w:r>
        <w:rPr>
          <w:rFonts w:hint="eastAsia"/>
          <w:color w:val="auto"/>
          <w:sz w:val="20"/>
          <w:szCs w:val="20"/>
          <w:highlight w:val="none"/>
        </w:rPr>
        <w:t>部门</w:t>
      </w:r>
      <w:r>
        <w:rPr>
          <w:rFonts w:hint="eastAsia"/>
          <w:color w:val="auto"/>
          <w:sz w:val="20"/>
          <w:szCs w:val="20"/>
          <w:highlight w:val="none"/>
          <w:u w:val="single"/>
        </w:rPr>
        <w:t>（单位）</w:t>
      </w:r>
      <w:r>
        <w:rPr>
          <w:rFonts w:hint="eastAsia"/>
          <w:color w:val="auto"/>
          <w:sz w:val="20"/>
          <w:szCs w:val="20"/>
          <w:highlight w:val="none"/>
        </w:rPr>
        <w:t>公开表</w:t>
      </w:r>
      <w:r>
        <w:rPr>
          <w:color w:val="auto"/>
          <w:sz w:val="20"/>
          <w:szCs w:val="20"/>
          <w:highlight w:val="none"/>
        </w:rPr>
        <w:t>11</w:t>
      </w:r>
    </w:p>
    <w:tbl>
      <w:tblPr>
        <w:tblStyle w:val="5"/>
        <w:tblW w:w="4998" w:type="pct"/>
        <w:jc w:val="center"/>
        <w:tblLayout w:type="autofit"/>
        <w:tblCellMar>
          <w:top w:w="0" w:type="dxa"/>
          <w:left w:w="108" w:type="dxa"/>
          <w:bottom w:w="0" w:type="dxa"/>
          <w:right w:w="108" w:type="dxa"/>
        </w:tblCellMar>
      </w:tblPr>
      <w:tblGrid>
        <w:gridCol w:w="1284"/>
        <w:gridCol w:w="1210"/>
        <w:gridCol w:w="1106"/>
        <w:gridCol w:w="1198"/>
        <w:gridCol w:w="1539"/>
        <w:gridCol w:w="1043"/>
        <w:gridCol w:w="1132"/>
        <w:gridCol w:w="7"/>
      </w:tblGrid>
      <w:tr>
        <w:tblPrEx>
          <w:tblCellMar>
            <w:top w:w="0" w:type="dxa"/>
            <w:left w:w="108" w:type="dxa"/>
            <w:bottom w:w="0" w:type="dxa"/>
            <w:right w:w="108" w:type="dxa"/>
          </w:tblCellMar>
        </w:tblPrEx>
        <w:trPr>
          <w:gridAfter w:val="1"/>
          <w:wAfter w:w="4" w:type="pct"/>
          <w:trHeight w:val="525" w:hRule="atLeast"/>
          <w:jc w:val="center"/>
        </w:trPr>
        <w:tc>
          <w:tcPr>
            <w:tcW w:w="4995" w:type="pct"/>
            <w:gridSpan w:val="7"/>
            <w:tcBorders>
              <w:top w:val="nil"/>
              <w:left w:val="nil"/>
              <w:bottom w:val="nil"/>
              <w:right w:val="nil"/>
            </w:tcBorders>
            <w:vAlign w:val="center"/>
          </w:tcPr>
          <w:p>
            <w:pPr>
              <w:widowControl/>
              <w:jc w:val="center"/>
              <w:rPr>
                <w:rFonts w:ascii="华文中宋" w:hAnsi="华文中宋" w:eastAsia="华文中宋" w:cs="宋体"/>
                <w:b/>
                <w:bCs/>
                <w:color w:val="auto"/>
                <w:kern w:val="0"/>
                <w:sz w:val="32"/>
                <w:szCs w:val="32"/>
                <w:highlight w:val="none"/>
              </w:rPr>
            </w:pPr>
            <w:r>
              <w:rPr>
                <w:rFonts w:hint="eastAsia" w:ascii="华文中宋" w:hAnsi="华文中宋" w:eastAsia="华文中宋" w:cs="宋体"/>
                <w:b/>
                <w:bCs/>
                <w:color w:val="auto"/>
                <w:kern w:val="0"/>
                <w:sz w:val="32"/>
                <w:szCs w:val="32"/>
                <w:highlight w:val="none"/>
                <w:lang w:eastAsia="zh-CN"/>
              </w:rPr>
              <w:t>淮南市八公山区环境卫生管理处</w:t>
            </w:r>
            <w:r>
              <w:rPr>
                <w:rFonts w:ascii="华文中宋" w:hAnsi="华文中宋" w:eastAsia="华文中宋" w:cs="宋体"/>
                <w:b/>
                <w:bCs/>
                <w:color w:val="auto"/>
                <w:kern w:val="0"/>
                <w:sz w:val="32"/>
                <w:szCs w:val="32"/>
                <w:highlight w:val="none"/>
              </w:rPr>
              <w:t>2022</w:t>
            </w:r>
            <w:r>
              <w:rPr>
                <w:rFonts w:hint="eastAsia" w:ascii="华文中宋" w:hAnsi="华文中宋" w:eastAsia="华文中宋" w:cs="宋体"/>
                <w:b/>
                <w:bCs/>
                <w:color w:val="auto"/>
                <w:kern w:val="0"/>
                <w:sz w:val="32"/>
                <w:szCs w:val="32"/>
                <w:highlight w:val="none"/>
              </w:rPr>
              <w:t>年政府购买服务支出表</w:t>
            </w:r>
          </w:p>
          <w:p>
            <w:pPr>
              <w:widowControl/>
              <w:jc w:val="center"/>
              <w:rPr>
                <w:rFonts w:ascii="宋体" w:cs="宋体"/>
                <w:color w:val="auto"/>
                <w:kern w:val="0"/>
                <w:sz w:val="20"/>
                <w:szCs w:val="20"/>
                <w:highlight w:val="none"/>
              </w:rPr>
            </w:pPr>
            <w:r>
              <w:rPr>
                <w:rFonts w:ascii="宋体" w:hAnsi="宋体" w:cs="宋体"/>
                <w:color w:val="auto"/>
                <w:kern w:val="0"/>
                <w:sz w:val="20"/>
                <w:szCs w:val="20"/>
                <w:highlight w:val="none"/>
              </w:rPr>
              <w:t xml:space="preserve">                                                                                                                    </w:t>
            </w:r>
            <w:r>
              <w:rPr>
                <w:rFonts w:hint="eastAsia" w:ascii="宋体" w:hAnsi="宋体" w:cs="宋体"/>
                <w:color w:val="auto"/>
                <w:kern w:val="0"/>
                <w:sz w:val="20"/>
                <w:szCs w:val="20"/>
                <w:highlight w:val="none"/>
              </w:rPr>
              <w:t>单位：万元</w:t>
            </w:r>
          </w:p>
        </w:tc>
      </w:tr>
      <w:tr>
        <w:tblPrEx>
          <w:tblCellMar>
            <w:top w:w="15" w:type="dxa"/>
            <w:left w:w="15" w:type="dxa"/>
            <w:bottom w:w="15" w:type="dxa"/>
            <w:right w:w="15" w:type="dxa"/>
          </w:tblCellMar>
        </w:tblPrEx>
        <w:trPr>
          <w:trHeight w:val="720"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highlight w:val="none"/>
              </w:rPr>
            </w:pPr>
            <w:r>
              <w:rPr>
                <w:rFonts w:hint="eastAsia" w:ascii="宋体" w:hAnsi="宋体" w:cs="宋体"/>
                <w:b/>
                <w:color w:val="auto"/>
                <w:kern w:val="0"/>
                <w:sz w:val="20"/>
                <w:szCs w:val="20"/>
                <w:highlight w:val="none"/>
              </w:rPr>
              <w:t>项目名称</w:t>
            </w:r>
          </w:p>
        </w:tc>
        <w:tc>
          <w:tcPr>
            <w:tcW w:w="71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highlight w:val="none"/>
              </w:rPr>
            </w:pPr>
            <w:r>
              <w:rPr>
                <w:rFonts w:hint="eastAsia" w:ascii="宋体" w:hAnsi="宋体" w:cs="宋体"/>
                <w:b/>
                <w:color w:val="auto"/>
                <w:kern w:val="0"/>
                <w:sz w:val="20"/>
                <w:szCs w:val="20"/>
                <w:highlight w:val="none"/>
              </w:rPr>
              <w:t>一级目录名称</w:t>
            </w:r>
          </w:p>
        </w:tc>
        <w:tc>
          <w:tcPr>
            <w:tcW w:w="6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highlight w:val="none"/>
              </w:rPr>
            </w:pPr>
            <w:r>
              <w:rPr>
                <w:rFonts w:hint="eastAsia" w:ascii="宋体" w:hAnsi="宋体" w:cs="宋体"/>
                <w:b/>
                <w:color w:val="auto"/>
                <w:kern w:val="0"/>
                <w:sz w:val="20"/>
                <w:szCs w:val="20"/>
                <w:highlight w:val="none"/>
              </w:rPr>
              <w:t>二级目录名称</w:t>
            </w:r>
          </w:p>
        </w:tc>
        <w:tc>
          <w:tcPr>
            <w:tcW w:w="7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highlight w:val="none"/>
              </w:rPr>
            </w:pPr>
            <w:r>
              <w:rPr>
                <w:rFonts w:hint="eastAsia" w:ascii="宋体" w:hAnsi="宋体" w:cs="宋体"/>
                <w:b/>
                <w:color w:val="auto"/>
                <w:kern w:val="0"/>
                <w:sz w:val="20"/>
                <w:szCs w:val="20"/>
                <w:highlight w:val="none"/>
              </w:rPr>
              <w:t>三级目录名称</w:t>
            </w:r>
          </w:p>
        </w:tc>
        <w:tc>
          <w:tcPr>
            <w:tcW w:w="9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highlight w:val="none"/>
              </w:rPr>
            </w:pPr>
            <w:r>
              <w:rPr>
                <w:rFonts w:hint="eastAsia" w:ascii="宋体" w:hAnsi="宋体" w:cs="宋体"/>
                <w:b/>
                <w:color w:val="auto"/>
                <w:kern w:val="0"/>
                <w:sz w:val="20"/>
                <w:szCs w:val="20"/>
                <w:highlight w:val="none"/>
              </w:rPr>
              <w:t>政府购买服务内容</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highlight w:val="none"/>
              </w:rPr>
            </w:pPr>
            <w:r>
              <w:rPr>
                <w:rFonts w:hint="eastAsia" w:ascii="宋体" w:hAnsi="宋体" w:cs="宋体"/>
                <w:b/>
                <w:color w:val="auto"/>
                <w:kern w:val="0"/>
                <w:sz w:val="20"/>
                <w:szCs w:val="20"/>
                <w:highlight w:val="none"/>
              </w:rPr>
              <w:t>购买数量</w:t>
            </w:r>
          </w:p>
        </w:tc>
        <w:tc>
          <w:tcPr>
            <w:tcW w:w="666"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auto"/>
                <w:sz w:val="20"/>
                <w:szCs w:val="20"/>
                <w:highlight w:val="none"/>
              </w:rPr>
            </w:pPr>
            <w:r>
              <w:rPr>
                <w:rFonts w:hint="eastAsia" w:ascii="宋体" w:hAnsi="宋体" w:cs="宋体"/>
                <w:b/>
                <w:color w:val="auto"/>
                <w:kern w:val="0"/>
                <w:sz w:val="20"/>
                <w:szCs w:val="20"/>
                <w:highlight w:val="none"/>
              </w:rPr>
              <w:t>购买金额</w:t>
            </w:r>
          </w:p>
        </w:tc>
      </w:tr>
      <w:tr>
        <w:tblPrEx>
          <w:tblCellMar>
            <w:top w:w="15" w:type="dxa"/>
            <w:left w:w="15" w:type="dxa"/>
            <w:bottom w:w="15" w:type="dxa"/>
            <w:right w:w="15" w:type="dxa"/>
          </w:tblCellMar>
        </w:tblPrEx>
        <w:trPr>
          <w:trHeight w:val="555"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b/>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2022城维费公厕管护作业经费</w:t>
            </w:r>
          </w:p>
        </w:tc>
        <w:tc>
          <w:tcPr>
            <w:tcW w:w="7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公共服务</w:t>
            </w:r>
          </w:p>
        </w:tc>
        <w:tc>
          <w:tcPr>
            <w:tcW w:w="64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城乡维护服务</w:t>
            </w:r>
          </w:p>
        </w:tc>
        <w:tc>
          <w:tcPr>
            <w:tcW w:w="70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公共设施管理服务</w:t>
            </w:r>
          </w:p>
        </w:tc>
        <w:tc>
          <w:tcPr>
            <w:tcW w:w="90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2022城维费公厕管护作业经费</w:t>
            </w: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66"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 xml:space="preserve">145.78 </w:t>
            </w:r>
          </w:p>
        </w:tc>
      </w:tr>
      <w:tr>
        <w:tblPrEx>
          <w:tblCellMar>
            <w:top w:w="15" w:type="dxa"/>
            <w:left w:w="15" w:type="dxa"/>
            <w:bottom w:w="15" w:type="dxa"/>
            <w:right w:w="15" w:type="dxa"/>
          </w:tblCellMar>
        </w:tblPrEx>
        <w:trPr>
          <w:trHeight w:val="555"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b/>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2022年城维费道路清扫保洁作业</w:t>
            </w:r>
          </w:p>
        </w:tc>
        <w:tc>
          <w:tcPr>
            <w:tcW w:w="7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公共服务</w:t>
            </w:r>
          </w:p>
        </w:tc>
        <w:tc>
          <w:tcPr>
            <w:tcW w:w="64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城乡维护服务</w:t>
            </w:r>
          </w:p>
        </w:tc>
        <w:tc>
          <w:tcPr>
            <w:tcW w:w="70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公共设施管理服务</w:t>
            </w:r>
          </w:p>
        </w:tc>
        <w:tc>
          <w:tcPr>
            <w:tcW w:w="90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2022年城维费道路清扫保洁作业</w:t>
            </w: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66"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 xml:space="preserve">159.48 </w:t>
            </w:r>
          </w:p>
        </w:tc>
      </w:tr>
      <w:tr>
        <w:tblPrEx>
          <w:tblCellMar>
            <w:top w:w="15" w:type="dxa"/>
            <w:left w:w="15" w:type="dxa"/>
            <w:bottom w:w="15" w:type="dxa"/>
            <w:right w:w="15" w:type="dxa"/>
          </w:tblCellMar>
        </w:tblPrEx>
        <w:trPr>
          <w:trHeight w:val="555"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b/>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八公山区城区小街小巷、无物业管理小区环卫作业市场化服务采购项目</w:t>
            </w:r>
          </w:p>
        </w:tc>
        <w:tc>
          <w:tcPr>
            <w:tcW w:w="7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公共服务</w:t>
            </w:r>
          </w:p>
        </w:tc>
        <w:tc>
          <w:tcPr>
            <w:tcW w:w="64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城乡维护服务</w:t>
            </w:r>
          </w:p>
        </w:tc>
        <w:tc>
          <w:tcPr>
            <w:tcW w:w="70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公共设施管理服务</w:t>
            </w:r>
          </w:p>
        </w:tc>
        <w:tc>
          <w:tcPr>
            <w:tcW w:w="90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八公山区城区小街小巷、无物业管理小区环卫作业市场化服务采购项目</w:t>
            </w: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66"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 xml:space="preserve">360.00 </w:t>
            </w:r>
          </w:p>
        </w:tc>
      </w:tr>
      <w:tr>
        <w:tblPrEx>
          <w:tblCellMar>
            <w:top w:w="15" w:type="dxa"/>
            <w:left w:w="15" w:type="dxa"/>
            <w:bottom w:w="15" w:type="dxa"/>
            <w:right w:w="15" w:type="dxa"/>
          </w:tblCellMar>
        </w:tblPrEx>
        <w:trPr>
          <w:trHeight w:val="555"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b/>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八公山镇乡镇环卫市场化公司</w:t>
            </w:r>
          </w:p>
        </w:tc>
        <w:tc>
          <w:tcPr>
            <w:tcW w:w="7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公共服务</w:t>
            </w:r>
          </w:p>
        </w:tc>
        <w:tc>
          <w:tcPr>
            <w:tcW w:w="64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城乡维护服务</w:t>
            </w:r>
          </w:p>
        </w:tc>
        <w:tc>
          <w:tcPr>
            <w:tcW w:w="70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公共设施管理服务</w:t>
            </w:r>
          </w:p>
        </w:tc>
        <w:tc>
          <w:tcPr>
            <w:tcW w:w="90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八公山镇乡镇环卫市场化</w:t>
            </w: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66"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 xml:space="preserve">158.67 </w:t>
            </w:r>
          </w:p>
        </w:tc>
      </w:tr>
      <w:tr>
        <w:tblPrEx>
          <w:tblCellMar>
            <w:top w:w="15" w:type="dxa"/>
            <w:left w:w="15" w:type="dxa"/>
            <w:bottom w:w="15" w:type="dxa"/>
            <w:right w:w="15" w:type="dxa"/>
          </w:tblCellMar>
        </w:tblPrEx>
        <w:trPr>
          <w:trHeight w:val="555"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山王镇环卫市场环卫服务采购项目</w:t>
            </w:r>
          </w:p>
        </w:tc>
        <w:tc>
          <w:tcPr>
            <w:tcW w:w="710"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公共服务</w:t>
            </w:r>
          </w:p>
        </w:tc>
        <w:tc>
          <w:tcPr>
            <w:tcW w:w="649"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城乡维护服务</w:t>
            </w:r>
          </w:p>
        </w:tc>
        <w:tc>
          <w:tcPr>
            <w:tcW w:w="70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公共设施管理服务</w:t>
            </w:r>
          </w:p>
        </w:tc>
        <w:tc>
          <w:tcPr>
            <w:tcW w:w="903"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山王镇环卫市场环卫服务采购项目</w:t>
            </w:r>
          </w:p>
        </w:tc>
        <w:tc>
          <w:tcPr>
            <w:tcW w:w="612"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66"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 xml:space="preserve">220.09 </w:t>
            </w:r>
          </w:p>
        </w:tc>
      </w:tr>
      <w:tr>
        <w:tblPrEx>
          <w:tblCellMar>
            <w:top w:w="15" w:type="dxa"/>
            <w:left w:w="15" w:type="dxa"/>
            <w:bottom w:w="15" w:type="dxa"/>
            <w:right w:w="15" w:type="dxa"/>
          </w:tblCellMar>
        </w:tblPrEx>
        <w:trPr>
          <w:trHeight w:val="555" w:hRule="atLeast"/>
          <w:jc w:val="center"/>
        </w:trPr>
        <w:tc>
          <w:tcPr>
            <w:tcW w:w="754"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b/>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710" w:type="pct"/>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auto"/>
                <w:sz w:val="18"/>
                <w:szCs w:val="18"/>
                <w:highlight w:val="none"/>
              </w:rPr>
            </w:pPr>
          </w:p>
        </w:tc>
        <w:tc>
          <w:tcPr>
            <w:tcW w:w="649" w:type="pct"/>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auto"/>
                <w:sz w:val="18"/>
                <w:szCs w:val="18"/>
                <w:highlight w:val="none"/>
              </w:rPr>
            </w:pPr>
          </w:p>
        </w:tc>
        <w:tc>
          <w:tcPr>
            <w:tcW w:w="703" w:type="pct"/>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auto"/>
                <w:sz w:val="18"/>
                <w:szCs w:val="18"/>
                <w:highlight w:val="none"/>
              </w:rPr>
            </w:pPr>
          </w:p>
        </w:tc>
        <w:tc>
          <w:tcPr>
            <w:tcW w:w="903" w:type="pct"/>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auto"/>
                <w:sz w:val="18"/>
                <w:szCs w:val="18"/>
                <w:highlight w:val="none"/>
              </w:rPr>
            </w:pPr>
          </w:p>
        </w:tc>
        <w:tc>
          <w:tcPr>
            <w:tcW w:w="612"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auto"/>
                <w:sz w:val="18"/>
                <w:szCs w:val="18"/>
                <w:highlight w:val="none"/>
              </w:rPr>
            </w:pPr>
          </w:p>
        </w:tc>
        <w:tc>
          <w:tcPr>
            <w:tcW w:w="666" w:type="pct"/>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 xml:space="preserve">1044.02 </w:t>
            </w:r>
          </w:p>
        </w:tc>
      </w:tr>
    </w:tbl>
    <w:p>
      <w:pPr>
        <w:pStyle w:val="4"/>
        <w:adjustRightInd w:val="0"/>
        <w:snapToGrid w:val="0"/>
        <w:spacing w:before="0" w:beforeAutospacing="0" w:after="0" w:afterAutospacing="0" w:line="400" w:lineRule="exact"/>
        <w:jc w:val="both"/>
        <w:rPr>
          <w:color w:val="auto"/>
          <w:highlight w:val="none"/>
        </w:rPr>
      </w:pPr>
    </w:p>
    <w:p>
      <w:pPr>
        <w:pStyle w:val="4"/>
        <w:adjustRightInd w:val="0"/>
        <w:snapToGrid w:val="0"/>
        <w:spacing w:before="0" w:beforeAutospacing="0" w:after="0" w:afterAutospacing="0" w:line="400" w:lineRule="exact"/>
        <w:jc w:val="both"/>
        <w:rPr>
          <w:color w:val="auto"/>
          <w:highlight w:val="none"/>
        </w:rPr>
      </w:pPr>
    </w:p>
    <w:p>
      <w:pPr>
        <w:pStyle w:val="4"/>
        <w:adjustRightInd w:val="0"/>
        <w:snapToGrid w:val="0"/>
        <w:spacing w:before="0" w:beforeAutospacing="0" w:after="0" w:afterAutospacing="0" w:line="600" w:lineRule="exact"/>
        <w:jc w:val="both"/>
        <w:rPr>
          <w:rFonts w:ascii="黑体" w:hAnsi="黑体" w:eastAsia="黑体"/>
          <w:bCs/>
          <w:color w:val="auto"/>
          <w:sz w:val="36"/>
          <w:szCs w:val="36"/>
          <w:highlight w:val="none"/>
        </w:rPr>
      </w:pPr>
      <w:r>
        <w:rPr>
          <w:rFonts w:ascii="宋体" w:hAnsi="宋体" w:cs="宋体"/>
          <w:color w:val="auto"/>
          <w:kern w:val="0"/>
          <w:sz w:val="20"/>
          <w:szCs w:val="20"/>
          <w:highlight w:val="none"/>
        </w:rPr>
        <w:t xml:space="preserve">            </w:t>
      </w:r>
      <w:r>
        <w:rPr>
          <w:rFonts w:hint="eastAsia" w:ascii="黑体" w:hAnsi="黑体" w:eastAsia="黑体"/>
          <w:bCs/>
          <w:color w:val="auto"/>
          <w:sz w:val="36"/>
          <w:szCs w:val="36"/>
          <w:highlight w:val="none"/>
        </w:rPr>
        <w:t>第三部分</w:t>
      </w:r>
      <w:r>
        <w:rPr>
          <w:rFonts w:ascii="黑体" w:hAnsi="黑体" w:eastAsia="黑体"/>
          <w:bCs/>
          <w:color w:val="auto"/>
          <w:sz w:val="36"/>
          <w:szCs w:val="36"/>
          <w:highlight w:val="none"/>
        </w:rPr>
        <w:t xml:space="preserve"> 2022</w:t>
      </w:r>
      <w:r>
        <w:rPr>
          <w:rFonts w:hint="eastAsia" w:ascii="黑体" w:hAnsi="黑体" w:eastAsia="黑体"/>
          <w:bCs/>
          <w:color w:val="auto"/>
          <w:sz w:val="36"/>
          <w:szCs w:val="36"/>
          <w:highlight w:val="none"/>
        </w:rPr>
        <w:t>年部门</w:t>
      </w:r>
      <w:r>
        <w:rPr>
          <w:rFonts w:hint="eastAsia" w:ascii="黑体" w:hAnsi="黑体" w:eastAsia="黑体"/>
          <w:bCs/>
          <w:color w:val="auto"/>
          <w:sz w:val="36"/>
          <w:szCs w:val="36"/>
          <w:highlight w:val="none"/>
          <w:u w:val="none"/>
        </w:rPr>
        <w:t>单位</w:t>
      </w:r>
      <w:r>
        <w:rPr>
          <w:rFonts w:hint="eastAsia" w:ascii="黑体" w:hAnsi="黑体" w:eastAsia="黑体"/>
          <w:bCs/>
          <w:color w:val="auto"/>
          <w:sz w:val="36"/>
          <w:szCs w:val="36"/>
          <w:highlight w:val="none"/>
        </w:rPr>
        <w:t>预算情况说明</w:t>
      </w:r>
    </w:p>
    <w:p>
      <w:pPr>
        <w:pStyle w:val="4"/>
        <w:adjustRightInd w:val="0"/>
        <w:snapToGrid w:val="0"/>
        <w:spacing w:before="0" w:beforeAutospacing="0" w:after="0" w:afterAutospacing="0" w:line="600" w:lineRule="exact"/>
        <w:rPr>
          <w:rFonts w:ascii="黑体" w:hAnsi="黑体" w:eastAsia="黑体"/>
          <w:bCs/>
          <w:color w:val="auto"/>
          <w:sz w:val="32"/>
          <w:szCs w:val="32"/>
          <w:highlight w:val="none"/>
        </w:rPr>
      </w:pPr>
    </w:p>
    <w:p>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rPr>
        <w:t>一、关于</w:t>
      </w:r>
      <w:r>
        <w:rPr>
          <w:rFonts w:ascii="黑体" w:hAnsi="仿宋" w:eastAsia="黑体"/>
          <w:color w:val="auto"/>
          <w:sz w:val="32"/>
          <w:szCs w:val="32"/>
          <w:highlight w:val="none"/>
        </w:rPr>
        <w:t>2022</w:t>
      </w:r>
      <w:r>
        <w:rPr>
          <w:rFonts w:hint="eastAsia" w:ascii="黑体" w:hAnsi="仿宋" w:eastAsia="黑体"/>
          <w:color w:val="auto"/>
          <w:sz w:val="32"/>
          <w:szCs w:val="32"/>
          <w:highlight w:val="none"/>
        </w:rPr>
        <w:t>年收支总表的说明</w:t>
      </w:r>
    </w:p>
    <w:p>
      <w:pPr>
        <w:pStyle w:val="4"/>
        <w:adjustRightInd w:val="0"/>
        <w:snapToGrid w:val="0"/>
        <w:spacing w:before="0" w:beforeAutospacing="0" w:after="0" w:afterAutospacing="0" w:line="600" w:lineRule="exact"/>
        <w:ind w:firstLine="627" w:firstLineChars="196"/>
        <w:jc w:val="both"/>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按照综合预算的原则，</w:t>
      </w:r>
      <w:r>
        <w:rPr>
          <w:rFonts w:hint="eastAsia" w:ascii="仿宋_GB2312" w:hAnsi="仿宋" w:eastAsia="仿宋_GB2312"/>
          <w:color w:val="auto"/>
          <w:sz w:val="32"/>
          <w:szCs w:val="32"/>
          <w:highlight w:val="none"/>
          <w:lang w:eastAsia="zh-CN"/>
        </w:rPr>
        <w:t>淮南市八公山区环境卫生管理处</w:t>
      </w:r>
      <w:r>
        <w:rPr>
          <w:rFonts w:hint="eastAsia" w:ascii="仿宋_GB2312" w:hAnsi="仿宋" w:eastAsia="仿宋_GB2312"/>
          <w:color w:val="auto"/>
          <w:sz w:val="32"/>
          <w:szCs w:val="32"/>
          <w:highlight w:val="none"/>
        </w:rPr>
        <w:t>所有收入和支出均纳入</w:t>
      </w:r>
      <w:r>
        <w:rPr>
          <w:rFonts w:hint="eastAsia" w:ascii="仿宋_GB2312" w:hAnsi="仿宋" w:eastAsia="仿宋_GB2312"/>
          <w:color w:val="auto"/>
          <w:sz w:val="32"/>
          <w:szCs w:val="32"/>
          <w:highlight w:val="none"/>
          <w:u w:val="none"/>
        </w:rPr>
        <w:t>单位</w:t>
      </w:r>
      <w:r>
        <w:rPr>
          <w:rFonts w:hint="eastAsia" w:ascii="仿宋_GB2312" w:hAnsi="仿宋" w:eastAsia="仿宋_GB2312"/>
          <w:color w:val="auto"/>
          <w:sz w:val="32"/>
          <w:szCs w:val="32"/>
          <w:highlight w:val="none"/>
        </w:rPr>
        <w:t>预算管理。</w:t>
      </w:r>
      <w:r>
        <w:rPr>
          <w:rFonts w:hint="eastAsia" w:ascii="仿宋_GB2312" w:hAnsi="仿宋" w:eastAsia="仿宋_GB2312"/>
          <w:color w:val="auto"/>
          <w:sz w:val="32"/>
          <w:szCs w:val="32"/>
          <w:highlight w:val="none"/>
          <w:lang w:eastAsia="zh-CN"/>
        </w:rPr>
        <w:t>淮南市八公山区环境卫生管理处</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年收支总预算</w:t>
      </w:r>
      <w:r>
        <w:rPr>
          <w:rFonts w:hint="eastAsia" w:ascii="仿宋_GB2312" w:hAnsi="仿宋" w:eastAsia="仿宋_GB2312"/>
          <w:color w:val="auto"/>
          <w:sz w:val="32"/>
          <w:szCs w:val="32"/>
          <w:highlight w:val="none"/>
          <w:lang w:val="en-US" w:eastAsia="zh-CN"/>
        </w:rPr>
        <w:t>2550.6</w:t>
      </w:r>
      <w:r>
        <w:rPr>
          <w:rFonts w:hint="eastAsia" w:ascii="仿宋_GB2312" w:hAnsi="仿宋" w:eastAsia="仿宋_GB2312"/>
          <w:color w:val="auto"/>
          <w:sz w:val="32"/>
          <w:szCs w:val="32"/>
          <w:highlight w:val="none"/>
        </w:rPr>
        <w:t>万元，收入全部是一般公共预算拨款收入，支出包括：社会保障和就业支出、卫生健康支出、节能环保支</w:t>
      </w:r>
      <w:r>
        <w:rPr>
          <w:rFonts w:hint="eastAsia" w:ascii="仿宋_GB2312" w:hAnsi="仿宋" w:eastAsia="仿宋_GB2312"/>
          <w:color w:val="auto"/>
          <w:sz w:val="32"/>
          <w:szCs w:val="32"/>
          <w:highlight w:val="none"/>
          <w:lang w:eastAsia="zh-CN"/>
        </w:rPr>
        <w:t>出、城乡社区支出、</w:t>
      </w:r>
      <w:r>
        <w:rPr>
          <w:rFonts w:hint="eastAsia" w:ascii="仿宋_GB2312" w:hAnsi="仿宋" w:eastAsia="仿宋_GB2312"/>
          <w:color w:val="auto"/>
          <w:sz w:val="32"/>
          <w:szCs w:val="32"/>
          <w:highlight w:val="none"/>
        </w:rPr>
        <w:t>住房保障支出。</w:t>
      </w:r>
    </w:p>
    <w:p>
      <w:pPr>
        <w:pStyle w:val="4"/>
        <w:adjustRightInd w:val="0"/>
        <w:snapToGrid w:val="0"/>
        <w:spacing w:before="0" w:beforeAutospacing="0" w:after="0" w:afterAutospacing="0" w:line="600" w:lineRule="exact"/>
        <w:ind w:firstLine="640" w:firstLineChars="200"/>
        <w:rPr>
          <w:rFonts w:hint="eastAsia" w:ascii="黑体" w:hAnsi="仿宋" w:eastAsia="黑体"/>
          <w:color w:val="auto"/>
          <w:sz w:val="32"/>
          <w:szCs w:val="32"/>
          <w:highlight w:val="none"/>
        </w:rPr>
      </w:pPr>
      <w:r>
        <w:rPr>
          <w:rFonts w:hint="eastAsia" w:ascii="黑体" w:hAnsi="仿宋" w:eastAsia="黑体"/>
          <w:color w:val="auto"/>
          <w:sz w:val="32"/>
          <w:szCs w:val="32"/>
          <w:highlight w:val="none"/>
        </w:rPr>
        <w:t>二、关于2022年收入总表的说明</w:t>
      </w:r>
    </w:p>
    <w:p>
      <w:pPr>
        <w:adjustRightInd w:val="0"/>
        <w:snapToGrid w:val="0"/>
        <w:spacing w:line="60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s="宋体"/>
          <w:color w:val="auto"/>
          <w:kern w:val="0"/>
          <w:sz w:val="32"/>
          <w:szCs w:val="32"/>
          <w:highlight w:val="none"/>
          <w:lang w:eastAsia="zh-CN"/>
        </w:rPr>
        <w:t>淮南市八公山区环境卫生管理处</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年收入预算</w:t>
      </w:r>
      <w:r>
        <w:rPr>
          <w:rFonts w:hint="eastAsia" w:ascii="仿宋_GB2312" w:hAnsi="仿宋" w:eastAsia="仿宋_GB2312"/>
          <w:color w:val="auto"/>
          <w:sz w:val="32"/>
          <w:szCs w:val="32"/>
          <w:highlight w:val="none"/>
          <w:lang w:val="en-US" w:eastAsia="zh-CN"/>
        </w:rPr>
        <w:t>2550.6</w:t>
      </w:r>
      <w:r>
        <w:rPr>
          <w:rFonts w:hint="eastAsia" w:ascii="仿宋_GB2312" w:hAnsi="仿宋" w:eastAsia="仿宋_GB2312"/>
          <w:color w:val="auto"/>
          <w:sz w:val="32"/>
          <w:szCs w:val="32"/>
          <w:highlight w:val="none"/>
        </w:rPr>
        <w:t>万元，其中，本年收入</w:t>
      </w:r>
      <w:r>
        <w:rPr>
          <w:rFonts w:hint="eastAsia" w:ascii="仿宋_GB2312" w:hAnsi="仿宋" w:eastAsia="仿宋_GB2312"/>
          <w:color w:val="auto"/>
          <w:sz w:val="32"/>
          <w:szCs w:val="32"/>
          <w:highlight w:val="none"/>
          <w:lang w:val="en-US" w:eastAsia="zh-CN"/>
        </w:rPr>
        <w:t>2533.04</w:t>
      </w:r>
      <w:r>
        <w:rPr>
          <w:rFonts w:hint="eastAsia" w:ascii="仿宋_GB2312" w:hAnsi="仿宋" w:eastAsia="仿宋_GB2312"/>
          <w:color w:val="auto"/>
          <w:sz w:val="32"/>
          <w:szCs w:val="32"/>
          <w:highlight w:val="none"/>
        </w:rPr>
        <w:t>万元，上年结转结余</w:t>
      </w:r>
      <w:r>
        <w:rPr>
          <w:rFonts w:hint="eastAsia" w:ascii="仿宋_GB2312" w:hAnsi="仿宋" w:eastAsia="仿宋_GB2312"/>
          <w:color w:val="auto"/>
          <w:sz w:val="32"/>
          <w:szCs w:val="32"/>
          <w:highlight w:val="none"/>
          <w:lang w:val="en-US" w:eastAsia="zh-CN"/>
        </w:rPr>
        <w:t>17.56</w:t>
      </w:r>
      <w:r>
        <w:rPr>
          <w:rFonts w:hint="eastAsia" w:ascii="仿宋_GB2312" w:hAnsi="仿宋" w:eastAsia="仿宋_GB2312"/>
          <w:color w:val="auto"/>
          <w:sz w:val="32"/>
          <w:szCs w:val="32"/>
          <w:highlight w:val="none"/>
        </w:rPr>
        <w:t>万元。</w:t>
      </w:r>
    </w:p>
    <w:p>
      <w:pPr>
        <w:adjustRightInd w:val="0"/>
        <w:snapToGrid w:val="0"/>
        <w:spacing w:line="60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（一）本年收入</w:t>
      </w:r>
      <w:r>
        <w:rPr>
          <w:rFonts w:hint="eastAsia" w:ascii="仿宋_GB2312" w:hAnsi="仿宋" w:eastAsia="仿宋_GB2312"/>
          <w:color w:val="auto"/>
          <w:sz w:val="32"/>
          <w:szCs w:val="32"/>
          <w:highlight w:val="none"/>
          <w:lang w:val="en-US" w:eastAsia="zh-CN"/>
        </w:rPr>
        <w:t>2550.6</w:t>
      </w:r>
      <w:r>
        <w:rPr>
          <w:rFonts w:hint="eastAsia" w:ascii="仿宋_GB2312" w:hAnsi="仿宋" w:eastAsia="仿宋_GB2312"/>
          <w:color w:val="auto"/>
          <w:sz w:val="32"/>
          <w:szCs w:val="32"/>
          <w:highlight w:val="none"/>
        </w:rPr>
        <w:t>万元，</w:t>
      </w:r>
      <w:r>
        <w:rPr>
          <w:rFonts w:hint="eastAsia" w:ascii="楷体_GB2312" w:hAnsi="仿宋" w:eastAsia="楷体_GB2312"/>
          <w:color w:val="auto"/>
          <w:sz w:val="32"/>
          <w:szCs w:val="32"/>
          <w:highlight w:val="none"/>
        </w:rPr>
        <w:t>全部为一般公共预算拨款</w:t>
      </w:r>
      <w:r>
        <w:rPr>
          <w:rFonts w:hint="eastAsia" w:ascii="仿宋_GB2312" w:hAnsi="仿宋" w:eastAsia="仿宋_GB2312"/>
          <w:color w:val="auto"/>
          <w:sz w:val="32"/>
          <w:szCs w:val="32"/>
          <w:highlight w:val="none"/>
        </w:rPr>
        <w:t>收入</w:t>
      </w:r>
      <w:r>
        <w:rPr>
          <w:rFonts w:hint="eastAsia" w:ascii="仿宋_GB2312" w:hAnsi="仿宋" w:eastAsia="仿宋_GB2312"/>
          <w:color w:val="auto"/>
          <w:sz w:val="32"/>
          <w:szCs w:val="32"/>
          <w:highlight w:val="none"/>
          <w:lang w:val="en-US" w:eastAsia="zh-CN"/>
        </w:rPr>
        <w:t>2550.6</w:t>
      </w:r>
      <w:r>
        <w:rPr>
          <w:rFonts w:hint="eastAsia" w:ascii="仿宋_GB2312" w:hAnsi="仿宋" w:eastAsia="仿宋_GB2312"/>
          <w:color w:val="auto"/>
          <w:sz w:val="32"/>
          <w:szCs w:val="32"/>
          <w:highlight w:val="none"/>
        </w:rPr>
        <w:t>万元，占</w:t>
      </w:r>
      <w:r>
        <w:rPr>
          <w:rFonts w:hint="eastAsia" w:ascii="仿宋_GB2312" w:hAnsi="仿宋" w:eastAsia="仿宋_GB2312"/>
          <w:color w:val="auto"/>
          <w:sz w:val="32"/>
          <w:szCs w:val="32"/>
          <w:highlight w:val="none"/>
          <w:lang w:val="en-US" w:eastAsia="zh-CN"/>
        </w:rPr>
        <w:t>100</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年预算增加</w:t>
      </w:r>
      <w:r>
        <w:rPr>
          <w:rFonts w:hint="eastAsia" w:ascii="仿宋_GB2312" w:hAnsi="仿宋" w:eastAsia="仿宋_GB2312"/>
          <w:color w:val="auto"/>
          <w:sz w:val="32"/>
          <w:szCs w:val="32"/>
          <w:highlight w:val="none"/>
          <w:lang w:val="en-US" w:eastAsia="zh-CN"/>
        </w:rPr>
        <w:t>1052.92</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70.3</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项目支出增加</w:t>
      </w:r>
      <w:r>
        <w:rPr>
          <w:rFonts w:hint="eastAsia" w:ascii="仿宋_GB2312" w:hAnsi="仿宋" w:eastAsia="仿宋_GB2312"/>
          <w:color w:val="auto"/>
          <w:sz w:val="32"/>
          <w:szCs w:val="32"/>
          <w:highlight w:val="none"/>
        </w:rPr>
        <w:t>。</w:t>
      </w:r>
    </w:p>
    <w:p>
      <w:pPr>
        <w:adjustRightInd w:val="0"/>
        <w:snapToGrid w:val="0"/>
        <w:spacing w:line="60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（二）上年结转结余</w:t>
      </w:r>
      <w:r>
        <w:rPr>
          <w:rFonts w:hint="eastAsia" w:ascii="仿宋_GB2312" w:hAnsi="仿宋" w:eastAsia="仿宋_GB2312"/>
          <w:color w:val="auto"/>
          <w:sz w:val="32"/>
          <w:szCs w:val="32"/>
          <w:highlight w:val="none"/>
          <w:lang w:val="en-US" w:eastAsia="zh-CN"/>
        </w:rPr>
        <w:t>17.56</w:t>
      </w:r>
      <w:r>
        <w:rPr>
          <w:rFonts w:hint="eastAsia" w:ascii="仿宋_GB2312" w:hAnsi="仿宋" w:eastAsia="仿宋_GB2312"/>
          <w:color w:val="auto"/>
          <w:sz w:val="32"/>
          <w:szCs w:val="32"/>
          <w:highlight w:val="none"/>
        </w:rPr>
        <w:t>万元，</w:t>
      </w:r>
      <w:r>
        <w:rPr>
          <w:rFonts w:hint="eastAsia" w:ascii="楷体_GB2312" w:hAnsi="仿宋" w:eastAsia="楷体_GB2312"/>
          <w:color w:val="auto"/>
          <w:sz w:val="32"/>
          <w:szCs w:val="32"/>
          <w:highlight w:val="none"/>
        </w:rPr>
        <w:t>全部为一般公共预算拨款收入</w:t>
      </w:r>
      <w:r>
        <w:rPr>
          <w:rFonts w:hint="eastAsia" w:ascii="仿宋_GB2312" w:hAnsi="仿宋" w:eastAsia="仿宋_GB2312"/>
          <w:color w:val="auto"/>
          <w:sz w:val="32"/>
          <w:szCs w:val="32"/>
          <w:highlight w:val="none"/>
          <w:lang w:val="en-US" w:eastAsia="zh-CN"/>
        </w:rPr>
        <w:t>17.56</w:t>
      </w:r>
      <w:r>
        <w:rPr>
          <w:rFonts w:hint="eastAsia" w:ascii="仿宋_GB2312" w:hAnsi="仿宋" w:eastAsia="仿宋_GB2312"/>
          <w:color w:val="auto"/>
          <w:sz w:val="32"/>
          <w:szCs w:val="32"/>
          <w:highlight w:val="none"/>
        </w:rPr>
        <w:t>万元，占</w:t>
      </w:r>
      <w:r>
        <w:rPr>
          <w:rFonts w:hint="eastAsia" w:ascii="仿宋_GB2312" w:hAnsi="仿宋" w:eastAsia="仿宋_GB2312"/>
          <w:color w:val="auto"/>
          <w:sz w:val="32"/>
          <w:szCs w:val="32"/>
          <w:highlight w:val="none"/>
          <w:lang w:val="en-US" w:eastAsia="zh-CN"/>
        </w:rPr>
        <w:t>100</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年预算增加</w:t>
      </w:r>
      <w:r>
        <w:rPr>
          <w:rFonts w:hint="eastAsia" w:ascii="仿宋_GB2312" w:hAnsi="仿宋" w:eastAsia="仿宋_GB2312"/>
          <w:color w:val="auto"/>
          <w:sz w:val="32"/>
          <w:szCs w:val="32"/>
          <w:highlight w:val="none"/>
          <w:lang w:val="en-US" w:eastAsia="zh-CN"/>
        </w:rPr>
        <w:t>17.56</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100</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上年有部分结转资金</w:t>
      </w:r>
      <w:r>
        <w:rPr>
          <w:rFonts w:hint="eastAsia" w:ascii="仿宋_GB2312" w:hAnsi="仿宋" w:eastAsia="仿宋_GB2312"/>
          <w:color w:val="auto"/>
          <w:sz w:val="32"/>
          <w:szCs w:val="32"/>
          <w:highlight w:val="none"/>
        </w:rPr>
        <w:t>。</w:t>
      </w:r>
    </w:p>
    <w:p>
      <w:pPr>
        <w:adjustRightInd w:val="0"/>
        <w:snapToGrid w:val="0"/>
        <w:spacing w:line="600" w:lineRule="exact"/>
        <w:ind w:firstLine="640" w:firstLineChars="200"/>
        <w:rPr>
          <w:rFonts w:ascii="黑体" w:hAnsi="仿宋" w:eastAsia="黑体" w:cs="宋体"/>
          <w:color w:val="auto"/>
          <w:kern w:val="0"/>
          <w:sz w:val="32"/>
          <w:szCs w:val="32"/>
          <w:highlight w:val="none"/>
        </w:rPr>
      </w:pPr>
      <w:r>
        <w:rPr>
          <w:rFonts w:hint="eastAsia" w:ascii="黑体" w:hAnsi="仿宋" w:eastAsia="黑体" w:cs="宋体"/>
          <w:color w:val="auto"/>
          <w:kern w:val="0"/>
          <w:sz w:val="32"/>
          <w:szCs w:val="32"/>
          <w:highlight w:val="none"/>
        </w:rPr>
        <w:t>三、关于</w:t>
      </w:r>
      <w:r>
        <w:rPr>
          <w:rFonts w:ascii="黑体" w:hAnsi="仿宋" w:eastAsia="黑体" w:cs="宋体"/>
          <w:color w:val="auto"/>
          <w:kern w:val="0"/>
          <w:sz w:val="32"/>
          <w:szCs w:val="32"/>
          <w:highlight w:val="none"/>
        </w:rPr>
        <w:t>2022</w:t>
      </w:r>
      <w:r>
        <w:rPr>
          <w:rFonts w:hint="eastAsia" w:ascii="黑体" w:hAnsi="仿宋" w:eastAsia="黑体" w:cs="宋体"/>
          <w:color w:val="auto"/>
          <w:kern w:val="0"/>
          <w:sz w:val="32"/>
          <w:szCs w:val="32"/>
          <w:highlight w:val="none"/>
        </w:rPr>
        <w:t>年支出总表的说明</w:t>
      </w:r>
    </w:p>
    <w:p>
      <w:pPr>
        <w:adjustRightInd w:val="0"/>
        <w:snapToGrid w:val="0"/>
        <w:spacing w:line="60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淮南市八公山区环境卫生管理处</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年支出预算</w:t>
      </w:r>
      <w:r>
        <w:rPr>
          <w:rFonts w:hint="eastAsia" w:ascii="仿宋_GB2312" w:hAnsi="仿宋" w:eastAsia="仿宋_GB2312"/>
          <w:color w:val="auto"/>
          <w:sz w:val="32"/>
          <w:szCs w:val="32"/>
          <w:highlight w:val="none"/>
          <w:lang w:val="en-US" w:eastAsia="zh-CN"/>
        </w:rPr>
        <w:t>2550.6</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年预算增加</w:t>
      </w:r>
      <w:r>
        <w:rPr>
          <w:rFonts w:hint="eastAsia" w:ascii="仿宋_GB2312" w:hAnsi="仿宋" w:eastAsia="仿宋_GB2312"/>
          <w:color w:val="auto"/>
          <w:sz w:val="32"/>
          <w:szCs w:val="32"/>
          <w:highlight w:val="none"/>
          <w:lang w:val="en-US" w:eastAsia="zh-CN"/>
        </w:rPr>
        <w:t>1052.92</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70.3</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项目支出增加</w:t>
      </w:r>
      <w:r>
        <w:rPr>
          <w:rFonts w:hint="eastAsia" w:ascii="仿宋_GB2312" w:hAnsi="仿宋" w:eastAsia="仿宋_GB2312"/>
          <w:color w:val="auto"/>
          <w:sz w:val="32"/>
          <w:szCs w:val="32"/>
          <w:highlight w:val="none"/>
        </w:rPr>
        <w:t>。其中，基本支出</w:t>
      </w:r>
      <w:r>
        <w:rPr>
          <w:rFonts w:hint="eastAsia" w:ascii="仿宋_GB2312" w:hAnsi="仿宋" w:eastAsia="仿宋_GB2312"/>
          <w:color w:val="auto"/>
          <w:sz w:val="32"/>
          <w:szCs w:val="32"/>
          <w:highlight w:val="none"/>
          <w:lang w:val="en-US" w:eastAsia="zh-CN"/>
        </w:rPr>
        <w:t>348.42</w:t>
      </w:r>
      <w:r>
        <w:rPr>
          <w:rFonts w:hint="eastAsia" w:ascii="仿宋_GB2312" w:hAnsi="仿宋" w:eastAsia="仿宋_GB2312"/>
          <w:color w:val="auto"/>
          <w:sz w:val="32"/>
          <w:szCs w:val="32"/>
          <w:highlight w:val="none"/>
        </w:rPr>
        <w:t>万元，占</w:t>
      </w:r>
      <w:r>
        <w:rPr>
          <w:rFonts w:hint="eastAsia" w:ascii="仿宋_GB2312" w:hAnsi="仿宋" w:eastAsia="仿宋_GB2312"/>
          <w:color w:val="auto"/>
          <w:sz w:val="32"/>
          <w:szCs w:val="32"/>
          <w:highlight w:val="none"/>
          <w:lang w:val="en-US" w:eastAsia="zh-CN"/>
        </w:rPr>
        <w:t>13.66</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，主要用于保障机构日常运转、完成日常工作任务</w:t>
      </w:r>
      <w:r>
        <w:rPr>
          <w:rFonts w:hint="eastAsia" w:ascii="仿宋_GB2312" w:hAnsi="仿宋" w:eastAsia="仿宋_GB2312"/>
          <w:color w:val="auto"/>
          <w:sz w:val="32"/>
          <w:szCs w:val="32"/>
          <w:highlight w:val="none"/>
          <w:lang w:eastAsia="zh-CN"/>
        </w:rPr>
        <w:t>等</w:t>
      </w:r>
      <w:r>
        <w:rPr>
          <w:rFonts w:hint="eastAsia" w:ascii="仿宋_GB2312" w:hAnsi="仿宋" w:eastAsia="仿宋_GB2312"/>
          <w:color w:val="auto"/>
          <w:sz w:val="32"/>
          <w:szCs w:val="32"/>
          <w:highlight w:val="none"/>
        </w:rPr>
        <w:t>；项目支出</w:t>
      </w:r>
      <w:r>
        <w:rPr>
          <w:rFonts w:hint="eastAsia" w:ascii="仿宋_GB2312" w:hAnsi="仿宋" w:eastAsia="仿宋_GB2312"/>
          <w:color w:val="auto"/>
          <w:sz w:val="32"/>
          <w:szCs w:val="32"/>
          <w:highlight w:val="none"/>
          <w:lang w:val="en-US" w:eastAsia="zh-CN"/>
        </w:rPr>
        <w:t>2202.18</w:t>
      </w:r>
      <w:r>
        <w:rPr>
          <w:rFonts w:hint="eastAsia" w:ascii="仿宋_GB2312" w:hAnsi="仿宋" w:eastAsia="仿宋_GB2312"/>
          <w:color w:val="auto"/>
          <w:sz w:val="32"/>
          <w:szCs w:val="32"/>
          <w:highlight w:val="none"/>
        </w:rPr>
        <w:t>万元，占</w:t>
      </w:r>
      <w:r>
        <w:rPr>
          <w:rFonts w:hint="eastAsia" w:ascii="仿宋_GB2312" w:hAnsi="仿宋" w:eastAsia="仿宋_GB2312"/>
          <w:color w:val="auto"/>
          <w:sz w:val="32"/>
          <w:szCs w:val="32"/>
          <w:highlight w:val="none"/>
          <w:lang w:val="en-US" w:eastAsia="zh-CN"/>
        </w:rPr>
        <w:t>86.34</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，主要用于</w:t>
      </w:r>
      <w:r>
        <w:rPr>
          <w:rFonts w:hint="eastAsia" w:ascii="仿宋_GB2312" w:hAnsi="仿宋" w:eastAsia="仿宋_GB2312"/>
          <w:color w:val="auto"/>
          <w:sz w:val="32"/>
          <w:szCs w:val="32"/>
          <w:highlight w:val="none"/>
          <w:lang w:eastAsia="zh-CN"/>
        </w:rPr>
        <w:t>单位项目支出</w:t>
      </w:r>
      <w:r>
        <w:rPr>
          <w:rFonts w:hint="eastAsia" w:ascii="仿宋_GB2312" w:hAnsi="仿宋" w:eastAsia="仿宋_GB2312"/>
          <w:color w:val="auto"/>
          <w:sz w:val="32"/>
          <w:szCs w:val="32"/>
          <w:highlight w:val="none"/>
        </w:rPr>
        <w:t>。</w:t>
      </w:r>
    </w:p>
    <w:p>
      <w:pPr>
        <w:adjustRightInd w:val="0"/>
        <w:snapToGrid w:val="0"/>
        <w:spacing w:line="600" w:lineRule="exact"/>
        <w:ind w:firstLine="640" w:firstLineChars="200"/>
        <w:rPr>
          <w:rFonts w:ascii="黑体" w:hAnsi="仿宋" w:eastAsia="黑体" w:cs="宋体"/>
          <w:color w:val="auto"/>
          <w:kern w:val="0"/>
          <w:sz w:val="32"/>
          <w:szCs w:val="32"/>
          <w:highlight w:val="none"/>
        </w:rPr>
      </w:pPr>
      <w:r>
        <w:rPr>
          <w:rFonts w:hint="eastAsia" w:ascii="黑体" w:hAnsi="仿宋" w:eastAsia="黑体" w:cs="宋体"/>
          <w:color w:val="auto"/>
          <w:kern w:val="0"/>
          <w:sz w:val="32"/>
          <w:szCs w:val="32"/>
          <w:highlight w:val="none"/>
        </w:rPr>
        <w:t>四、关于</w:t>
      </w:r>
      <w:r>
        <w:rPr>
          <w:rFonts w:ascii="黑体" w:hAnsi="仿宋" w:eastAsia="黑体" w:cs="宋体"/>
          <w:color w:val="auto"/>
          <w:kern w:val="0"/>
          <w:sz w:val="32"/>
          <w:szCs w:val="32"/>
          <w:highlight w:val="none"/>
        </w:rPr>
        <w:t>2022</w:t>
      </w:r>
      <w:r>
        <w:rPr>
          <w:rFonts w:hint="eastAsia" w:ascii="黑体" w:hAnsi="仿宋" w:eastAsia="黑体" w:cs="宋体"/>
          <w:color w:val="auto"/>
          <w:kern w:val="0"/>
          <w:sz w:val="32"/>
          <w:szCs w:val="32"/>
          <w:highlight w:val="none"/>
        </w:rPr>
        <w:t>年财政拨款收支总表的说明</w:t>
      </w:r>
    </w:p>
    <w:p>
      <w:pPr>
        <w:pStyle w:val="4"/>
        <w:adjustRightInd w:val="0"/>
        <w:snapToGrid w:val="0"/>
        <w:spacing w:before="0" w:beforeAutospacing="0" w:after="0" w:afterAutospacing="0" w:line="600" w:lineRule="exact"/>
        <w:ind w:firstLine="640" w:firstLineChars="200"/>
        <w:rPr>
          <w:rFonts w:hint="eastAsia" w:ascii="仿宋_GB2312" w:hAnsi="仿宋" w:eastAsia="仿宋_GB2312" w:cs="Times New Roman"/>
          <w:color w:val="auto"/>
          <w:kern w:val="2"/>
          <w:sz w:val="32"/>
          <w:szCs w:val="32"/>
          <w:highlight w:val="none"/>
          <w:lang w:eastAsia="zh-CN"/>
        </w:rPr>
      </w:pPr>
      <w:r>
        <w:rPr>
          <w:rFonts w:hint="eastAsia" w:ascii="仿宋_GB2312" w:hAnsi="仿宋" w:eastAsia="仿宋_GB2312" w:cs="Times New Roman"/>
          <w:color w:val="auto"/>
          <w:kern w:val="2"/>
          <w:sz w:val="32"/>
          <w:szCs w:val="32"/>
          <w:highlight w:val="none"/>
          <w:lang w:eastAsia="zh-CN"/>
        </w:rPr>
        <w:t>淮南市八公山区环境卫生管理处</w:t>
      </w:r>
      <w:r>
        <w:rPr>
          <w:rFonts w:ascii="仿宋_GB2312" w:hAnsi="仿宋" w:eastAsia="仿宋_GB2312" w:cs="Times New Roman"/>
          <w:color w:val="auto"/>
          <w:kern w:val="2"/>
          <w:sz w:val="32"/>
          <w:szCs w:val="32"/>
          <w:highlight w:val="none"/>
        </w:rPr>
        <w:t>2022</w:t>
      </w:r>
      <w:r>
        <w:rPr>
          <w:rFonts w:hint="eastAsia" w:ascii="仿宋_GB2312" w:hAnsi="仿宋" w:eastAsia="仿宋_GB2312" w:cs="Times New Roman"/>
          <w:color w:val="auto"/>
          <w:kern w:val="2"/>
          <w:sz w:val="32"/>
          <w:szCs w:val="32"/>
          <w:highlight w:val="none"/>
        </w:rPr>
        <w:t>年财政拨款收支预算</w:t>
      </w:r>
      <w:r>
        <w:rPr>
          <w:rFonts w:hint="eastAsia" w:ascii="仿宋_GB2312" w:hAnsi="仿宋" w:eastAsia="仿宋_GB2312" w:cs="Times New Roman"/>
          <w:color w:val="auto"/>
          <w:kern w:val="2"/>
          <w:sz w:val="32"/>
          <w:szCs w:val="32"/>
          <w:highlight w:val="none"/>
          <w:lang w:val="en-US" w:eastAsia="zh-CN"/>
        </w:rPr>
        <w:t>2550.6</w:t>
      </w:r>
      <w:r>
        <w:rPr>
          <w:rFonts w:hint="eastAsia" w:ascii="仿宋_GB2312" w:hAnsi="仿宋" w:eastAsia="仿宋_GB2312" w:cs="Times New Roman"/>
          <w:color w:val="auto"/>
          <w:kern w:val="2"/>
          <w:sz w:val="32"/>
          <w:szCs w:val="32"/>
          <w:highlight w:val="none"/>
        </w:rPr>
        <w:t>万元。收入按资金来源分为：</w:t>
      </w:r>
      <w:r>
        <w:rPr>
          <w:rFonts w:hint="eastAsia" w:ascii="仿宋_GB2312" w:hAnsi="仿宋" w:eastAsia="仿宋_GB2312" w:cs="Times New Roman"/>
          <w:color w:val="auto"/>
          <w:kern w:val="2"/>
          <w:sz w:val="32"/>
          <w:szCs w:val="32"/>
          <w:highlight w:val="none"/>
          <w:lang w:eastAsia="zh-CN"/>
        </w:rPr>
        <w:t>全部为</w:t>
      </w:r>
      <w:r>
        <w:rPr>
          <w:rFonts w:hint="eastAsia" w:ascii="仿宋_GB2312" w:hAnsi="仿宋" w:eastAsia="仿宋_GB2312" w:cs="Times New Roman"/>
          <w:color w:val="auto"/>
          <w:kern w:val="2"/>
          <w:sz w:val="32"/>
          <w:szCs w:val="32"/>
          <w:highlight w:val="none"/>
        </w:rPr>
        <w:t>一般公共预算拨款</w:t>
      </w:r>
      <w:r>
        <w:rPr>
          <w:rFonts w:hint="eastAsia" w:ascii="仿宋_GB2312" w:hAnsi="仿宋" w:eastAsia="仿宋_GB2312" w:cs="Times New Roman"/>
          <w:color w:val="auto"/>
          <w:kern w:val="2"/>
          <w:sz w:val="32"/>
          <w:szCs w:val="32"/>
          <w:highlight w:val="none"/>
          <w:lang w:val="en-US" w:eastAsia="zh-CN"/>
        </w:rPr>
        <w:t>2550.6</w:t>
      </w:r>
      <w:r>
        <w:rPr>
          <w:rFonts w:hint="eastAsia" w:ascii="仿宋_GB2312" w:hAnsi="仿宋" w:eastAsia="仿宋_GB2312" w:cs="Times New Roman"/>
          <w:color w:val="auto"/>
          <w:kern w:val="2"/>
          <w:sz w:val="32"/>
          <w:szCs w:val="32"/>
          <w:highlight w:val="none"/>
        </w:rPr>
        <w:t>万元；按资金年度分为：本年财政拨款收入</w:t>
      </w:r>
      <w:r>
        <w:rPr>
          <w:rFonts w:hint="eastAsia" w:ascii="仿宋_GB2312" w:hAnsi="仿宋" w:eastAsia="仿宋_GB2312" w:cs="Times New Roman"/>
          <w:color w:val="auto"/>
          <w:kern w:val="2"/>
          <w:sz w:val="32"/>
          <w:szCs w:val="32"/>
          <w:highlight w:val="none"/>
          <w:lang w:val="en-US" w:eastAsia="zh-CN"/>
        </w:rPr>
        <w:t>2533.04</w:t>
      </w:r>
      <w:r>
        <w:rPr>
          <w:rFonts w:hint="eastAsia" w:ascii="仿宋_GB2312" w:hAnsi="仿宋" w:eastAsia="仿宋_GB2312" w:cs="Times New Roman"/>
          <w:color w:val="auto"/>
          <w:kern w:val="2"/>
          <w:sz w:val="32"/>
          <w:szCs w:val="32"/>
          <w:highlight w:val="none"/>
        </w:rPr>
        <w:t>万元，上年结转收入</w:t>
      </w:r>
      <w:r>
        <w:rPr>
          <w:rFonts w:hint="eastAsia" w:ascii="仿宋_GB2312" w:hAnsi="仿宋" w:eastAsia="仿宋_GB2312" w:cs="Times New Roman"/>
          <w:color w:val="auto"/>
          <w:kern w:val="2"/>
          <w:sz w:val="32"/>
          <w:szCs w:val="32"/>
          <w:highlight w:val="none"/>
          <w:lang w:val="en-US" w:eastAsia="zh-CN"/>
        </w:rPr>
        <w:t>17.56</w:t>
      </w:r>
      <w:r>
        <w:rPr>
          <w:rFonts w:hint="eastAsia" w:ascii="仿宋_GB2312" w:hAnsi="仿宋" w:eastAsia="仿宋_GB2312" w:cs="Times New Roman"/>
          <w:color w:val="auto"/>
          <w:kern w:val="2"/>
          <w:sz w:val="32"/>
          <w:szCs w:val="32"/>
          <w:highlight w:val="none"/>
        </w:rPr>
        <w:t>万元。支出按功能分类分为：</w:t>
      </w:r>
      <w:r>
        <w:rPr>
          <w:rFonts w:hint="eastAsia" w:ascii="仿宋_GB2312" w:hAnsi="仿宋" w:eastAsia="仿宋_GB2312"/>
          <w:color w:val="auto"/>
          <w:sz w:val="32"/>
          <w:szCs w:val="32"/>
          <w:highlight w:val="none"/>
        </w:rPr>
        <w:t>社会保障和就业支出</w:t>
      </w:r>
      <w:r>
        <w:rPr>
          <w:rFonts w:hint="eastAsia" w:ascii="仿宋_GB2312" w:hAnsi="仿宋" w:eastAsia="仿宋_GB2312" w:cs="Times New Roman"/>
          <w:color w:val="auto"/>
          <w:kern w:val="2"/>
          <w:sz w:val="32"/>
          <w:szCs w:val="32"/>
          <w:highlight w:val="none"/>
          <w:lang w:val="en-US" w:eastAsia="zh-CN"/>
        </w:rPr>
        <w:t>53.98</w:t>
      </w:r>
      <w:r>
        <w:rPr>
          <w:rFonts w:hint="eastAsia" w:ascii="仿宋_GB2312" w:hAnsi="仿宋" w:eastAsia="仿宋_GB2312" w:cs="Times New Roman"/>
          <w:color w:val="auto"/>
          <w:kern w:val="2"/>
          <w:sz w:val="32"/>
          <w:szCs w:val="32"/>
          <w:highlight w:val="none"/>
        </w:rPr>
        <w:t>万元，占</w:t>
      </w:r>
      <w:r>
        <w:rPr>
          <w:rFonts w:hint="eastAsia" w:ascii="仿宋_GB2312" w:hAnsi="仿宋" w:eastAsia="仿宋_GB2312" w:cs="Times New Roman"/>
          <w:color w:val="auto"/>
          <w:kern w:val="2"/>
          <w:sz w:val="32"/>
          <w:szCs w:val="32"/>
          <w:highlight w:val="none"/>
          <w:lang w:val="en-US" w:eastAsia="zh-CN"/>
        </w:rPr>
        <w:t>2.12</w:t>
      </w:r>
      <w:r>
        <w:rPr>
          <w:rFonts w:ascii="仿宋_GB2312" w:hAnsi="仿宋" w:eastAsia="仿宋_GB2312" w:cs="Times New Roman"/>
          <w:color w:val="auto"/>
          <w:kern w:val="2"/>
          <w:sz w:val="32"/>
          <w:szCs w:val="32"/>
          <w:highlight w:val="none"/>
        </w:rPr>
        <w:t>%</w:t>
      </w:r>
      <w:r>
        <w:rPr>
          <w:rFonts w:hint="eastAsia" w:ascii="仿宋_GB2312" w:hAnsi="仿宋" w:eastAsia="仿宋_GB2312"/>
          <w:color w:val="auto"/>
          <w:sz w:val="32"/>
          <w:szCs w:val="32"/>
          <w:highlight w:val="none"/>
        </w:rPr>
        <w:t>、卫生健康支出</w:t>
      </w:r>
      <w:r>
        <w:rPr>
          <w:rFonts w:hint="eastAsia" w:ascii="仿宋_GB2312" w:hAnsi="仿宋" w:eastAsia="仿宋_GB2312" w:cs="Times New Roman"/>
          <w:color w:val="auto"/>
          <w:kern w:val="2"/>
          <w:sz w:val="32"/>
          <w:szCs w:val="32"/>
          <w:highlight w:val="none"/>
          <w:lang w:val="en-US" w:eastAsia="zh-CN"/>
        </w:rPr>
        <w:t>14.43</w:t>
      </w:r>
      <w:r>
        <w:rPr>
          <w:rFonts w:hint="eastAsia" w:ascii="仿宋_GB2312" w:hAnsi="仿宋" w:eastAsia="仿宋_GB2312" w:cs="Times New Roman"/>
          <w:color w:val="auto"/>
          <w:kern w:val="2"/>
          <w:sz w:val="32"/>
          <w:szCs w:val="32"/>
          <w:highlight w:val="none"/>
        </w:rPr>
        <w:t>万元，占</w:t>
      </w:r>
      <w:r>
        <w:rPr>
          <w:rFonts w:hint="eastAsia" w:ascii="仿宋_GB2312" w:hAnsi="仿宋" w:eastAsia="仿宋_GB2312" w:cs="Times New Roman"/>
          <w:color w:val="auto"/>
          <w:kern w:val="2"/>
          <w:sz w:val="32"/>
          <w:szCs w:val="32"/>
          <w:highlight w:val="none"/>
          <w:lang w:val="en-US" w:eastAsia="zh-CN"/>
        </w:rPr>
        <w:t>0.57</w:t>
      </w:r>
      <w:r>
        <w:rPr>
          <w:rFonts w:ascii="仿宋_GB2312" w:hAnsi="仿宋" w:eastAsia="仿宋_GB2312" w:cs="Times New Roman"/>
          <w:color w:val="auto"/>
          <w:kern w:val="2"/>
          <w:sz w:val="32"/>
          <w:szCs w:val="32"/>
          <w:highlight w:val="none"/>
        </w:rPr>
        <w:t>%</w:t>
      </w:r>
      <w:r>
        <w:rPr>
          <w:rFonts w:hint="eastAsia" w:ascii="仿宋_GB2312" w:hAnsi="仿宋" w:eastAsia="仿宋_GB2312"/>
          <w:color w:val="auto"/>
          <w:sz w:val="32"/>
          <w:szCs w:val="32"/>
          <w:highlight w:val="none"/>
        </w:rPr>
        <w:t>、节能环保支</w:t>
      </w:r>
      <w:r>
        <w:rPr>
          <w:rFonts w:hint="eastAsia" w:ascii="仿宋_GB2312" w:hAnsi="仿宋" w:eastAsia="仿宋_GB2312"/>
          <w:color w:val="auto"/>
          <w:sz w:val="32"/>
          <w:szCs w:val="32"/>
          <w:highlight w:val="none"/>
          <w:lang w:eastAsia="zh-CN"/>
        </w:rPr>
        <w:t>出</w:t>
      </w:r>
      <w:r>
        <w:rPr>
          <w:rFonts w:hint="eastAsia" w:ascii="仿宋_GB2312" w:hAnsi="仿宋" w:eastAsia="仿宋_GB2312" w:cs="Times New Roman"/>
          <w:color w:val="auto"/>
          <w:kern w:val="2"/>
          <w:sz w:val="32"/>
          <w:szCs w:val="32"/>
          <w:highlight w:val="none"/>
          <w:lang w:val="en-US" w:eastAsia="zh-CN"/>
        </w:rPr>
        <w:t>983.44</w:t>
      </w:r>
      <w:r>
        <w:rPr>
          <w:rFonts w:hint="eastAsia" w:ascii="仿宋_GB2312" w:hAnsi="仿宋" w:eastAsia="仿宋_GB2312" w:cs="Times New Roman"/>
          <w:color w:val="auto"/>
          <w:kern w:val="2"/>
          <w:sz w:val="32"/>
          <w:szCs w:val="32"/>
          <w:highlight w:val="none"/>
        </w:rPr>
        <w:t>万元，占</w:t>
      </w:r>
      <w:r>
        <w:rPr>
          <w:rFonts w:hint="eastAsia" w:ascii="仿宋_GB2312" w:hAnsi="仿宋" w:eastAsia="仿宋_GB2312" w:cs="Times New Roman"/>
          <w:color w:val="auto"/>
          <w:kern w:val="2"/>
          <w:sz w:val="32"/>
          <w:szCs w:val="32"/>
          <w:highlight w:val="none"/>
          <w:lang w:val="en-US" w:eastAsia="zh-CN"/>
        </w:rPr>
        <w:t>38.56</w:t>
      </w:r>
      <w:r>
        <w:rPr>
          <w:rFonts w:ascii="仿宋_GB2312" w:hAnsi="仿宋" w:eastAsia="仿宋_GB2312" w:cs="Times New Roman"/>
          <w:color w:val="auto"/>
          <w:kern w:val="2"/>
          <w:sz w:val="32"/>
          <w:szCs w:val="32"/>
          <w:highlight w:val="none"/>
        </w:rPr>
        <w:t>%</w:t>
      </w:r>
      <w:r>
        <w:rPr>
          <w:rFonts w:hint="eastAsia" w:ascii="仿宋_GB2312" w:hAnsi="仿宋" w:eastAsia="仿宋_GB2312"/>
          <w:color w:val="auto"/>
          <w:sz w:val="32"/>
          <w:szCs w:val="32"/>
          <w:highlight w:val="none"/>
          <w:lang w:eastAsia="zh-CN"/>
        </w:rPr>
        <w:t>、城乡社区支出</w:t>
      </w:r>
      <w:r>
        <w:rPr>
          <w:rFonts w:hint="eastAsia" w:ascii="仿宋_GB2312" w:hAnsi="仿宋" w:eastAsia="仿宋_GB2312" w:cs="Times New Roman"/>
          <w:color w:val="auto"/>
          <w:kern w:val="2"/>
          <w:sz w:val="32"/>
          <w:szCs w:val="32"/>
          <w:highlight w:val="none"/>
          <w:lang w:val="en-US" w:eastAsia="zh-CN"/>
        </w:rPr>
        <w:t>1437.93</w:t>
      </w:r>
      <w:r>
        <w:rPr>
          <w:rFonts w:hint="eastAsia" w:ascii="仿宋_GB2312" w:hAnsi="仿宋" w:eastAsia="仿宋_GB2312" w:cs="Times New Roman"/>
          <w:color w:val="auto"/>
          <w:kern w:val="2"/>
          <w:sz w:val="32"/>
          <w:szCs w:val="32"/>
          <w:highlight w:val="none"/>
        </w:rPr>
        <w:t>万元，占</w:t>
      </w:r>
      <w:r>
        <w:rPr>
          <w:rFonts w:hint="eastAsia" w:ascii="仿宋_GB2312" w:hAnsi="仿宋" w:eastAsia="仿宋_GB2312" w:cs="Times New Roman"/>
          <w:color w:val="auto"/>
          <w:kern w:val="2"/>
          <w:sz w:val="32"/>
          <w:szCs w:val="32"/>
          <w:highlight w:val="none"/>
          <w:lang w:val="en-US" w:eastAsia="zh-CN"/>
        </w:rPr>
        <w:t>56.38</w:t>
      </w:r>
      <w:r>
        <w:rPr>
          <w:rFonts w:ascii="仿宋_GB2312" w:hAnsi="仿宋" w:eastAsia="仿宋_GB2312" w:cs="Times New Roman"/>
          <w:color w:val="auto"/>
          <w:kern w:val="2"/>
          <w:sz w:val="32"/>
          <w:szCs w:val="32"/>
          <w:highlight w:val="none"/>
        </w:rPr>
        <w:t>%</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住房保障支出</w:t>
      </w:r>
      <w:r>
        <w:rPr>
          <w:rFonts w:hint="eastAsia" w:ascii="仿宋_GB2312" w:hAnsi="仿宋" w:eastAsia="仿宋_GB2312" w:cs="Times New Roman"/>
          <w:color w:val="auto"/>
          <w:kern w:val="2"/>
          <w:sz w:val="32"/>
          <w:szCs w:val="32"/>
          <w:highlight w:val="none"/>
          <w:lang w:val="en-US" w:eastAsia="zh-CN"/>
        </w:rPr>
        <w:t>60.81</w:t>
      </w:r>
      <w:r>
        <w:rPr>
          <w:rFonts w:hint="eastAsia" w:ascii="仿宋_GB2312" w:hAnsi="仿宋" w:eastAsia="仿宋_GB2312" w:cs="Times New Roman"/>
          <w:color w:val="auto"/>
          <w:kern w:val="2"/>
          <w:sz w:val="32"/>
          <w:szCs w:val="32"/>
          <w:highlight w:val="none"/>
        </w:rPr>
        <w:t>万元，占</w:t>
      </w:r>
      <w:r>
        <w:rPr>
          <w:rFonts w:hint="eastAsia" w:ascii="仿宋_GB2312" w:hAnsi="仿宋" w:eastAsia="仿宋_GB2312" w:cs="Times New Roman"/>
          <w:color w:val="auto"/>
          <w:kern w:val="2"/>
          <w:sz w:val="32"/>
          <w:szCs w:val="32"/>
          <w:highlight w:val="none"/>
          <w:lang w:val="en-US" w:eastAsia="zh-CN"/>
        </w:rPr>
        <w:t>2.38</w:t>
      </w:r>
      <w:r>
        <w:rPr>
          <w:rFonts w:ascii="仿宋_GB2312" w:hAnsi="仿宋" w:eastAsia="仿宋_GB2312" w:cs="Times New Roman"/>
          <w:color w:val="auto"/>
          <w:kern w:val="2"/>
          <w:sz w:val="32"/>
          <w:szCs w:val="32"/>
          <w:highlight w:val="none"/>
        </w:rPr>
        <w:t>%</w:t>
      </w:r>
      <w:r>
        <w:rPr>
          <w:rFonts w:hint="eastAsia" w:ascii="仿宋_GB2312" w:hAnsi="仿宋" w:eastAsia="仿宋_GB2312" w:cs="Times New Roman"/>
          <w:color w:val="auto"/>
          <w:kern w:val="2"/>
          <w:sz w:val="32"/>
          <w:szCs w:val="32"/>
          <w:highlight w:val="none"/>
          <w:lang w:eastAsia="zh-CN"/>
        </w:rPr>
        <w:t>。</w:t>
      </w:r>
    </w:p>
    <w:p>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rPr>
        <w:t>五、关于</w:t>
      </w:r>
      <w:r>
        <w:rPr>
          <w:rFonts w:ascii="黑体" w:hAnsi="仿宋" w:eastAsia="黑体"/>
          <w:color w:val="auto"/>
          <w:sz w:val="32"/>
          <w:szCs w:val="32"/>
          <w:highlight w:val="none"/>
        </w:rPr>
        <w:t>2022</w:t>
      </w:r>
      <w:r>
        <w:rPr>
          <w:rFonts w:hint="eastAsia" w:ascii="黑体" w:hAnsi="仿宋" w:eastAsia="黑体"/>
          <w:color w:val="auto"/>
          <w:sz w:val="32"/>
          <w:szCs w:val="32"/>
          <w:highlight w:val="none"/>
        </w:rPr>
        <w:t>年一般公共预算支出表的说明</w:t>
      </w:r>
    </w:p>
    <w:p>
      <w:pPr>
        <w:pStyle w:val="4"/>
        <w:adjustRightInd w:val="0"/>
        <w:snapToGrid w:val="0"/>
        <w:spacing w:before="0" w:beforeAutospacing="0" w:after="0" w:afterAutospacing="0" w:line="600" w:lineRule="exact"/>
        <w:ind w:firstLine="630" w:firstLineChars="196"/>
        <w:rPr>
          <w:rFonts w:ascii="楷体_GB2312" w:hAnsi="仿宋" w:eastAsia="楷体_GB2312" w:cs="Times New Roman"/>
          <w:b/>
          <w:color w:val="auto"/>
          <w:kern w:val="2"/>
          <w:sz w:val="32"/>
          <w:szCs w:val="32"/>
          <w:highlight w:val="none"/>
        </w:rPr>
      </w:pPr>
      <w:r>
        <w:rPr>
          <w:rFonts w:hint="eastAsia" w:ascii="楷体_GB2312" w:hAnsi="仿宋" w:eastAsia="楷体_GB2312" w:cs="Times New Roman"/>
          <w:b/>
          <w:color w:val="auto"/>
          <w:kern w:val="2"/>
          <w:sz w:val="32"/>
          <w:szCs w:val="32"/>
          <w:highlight w:val="none"/>
        </w:rPr>
        <w:t>（一）一般公共预算支出规模变化情况。</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color w:val="auto"/>
          <w:kern w:val="2"/>
          <w:sz w:val="32"/>
          <w:szCs w:val="32"/>
          <w:highlight w:val="none"/>
        </w:rPr>
      </w:pPr>
      <w:r>
        <w:rPr>
          <w:rFonts w:hint="eastAsia" w:ascii="仿宋_GB2312" w:hAnsi="仿宋" w:eastAsia="仿宋_GB2312" w:cs="Times New Roman"/>
          <w:color w:val="auto"/>
          <w:kern w:val="2"/>
          <w:sz w:val="32"/>
          <w:szCs w:val="32"/>
          <w:highlight w:val="none"/>
          <w:lang w:eastAsia="zh-CN"/>
        </w:rPr>
        <w:t>淮南市八公山区环境卫生管理处</w:t>
      </w:r>
      <w:r>
        <w:rPr>
          <w:rFonts w:ascii="仿宋_GB2312" w:hAnsi="仿宋" w:eastAsia="仿宋_GB2312" w:cs="Times New Roman"/>
          <w:color w:val="auto"/>
          <w:kern w:val="2"/>
          <w:sz w:val="32"/>
          <w:szCs w:val="32"/>
          <w:highlight w:val="none"/>
        </w:rPr>
        <w:t>2022</w:t>
      </w:r>
      <w:r>
        <w:rPr>
          <w:rFonts w:hint="eastAsia" w:ascii="仿宋_GB2312" w:hAnsi="仿宋" w:eastAsia="仿宋_GB2312" w:cs="Times New Roman"/>
          <w:color w:val="auto"/>
          <w:kern w:val="2"/>
          <w:sz w:val="32"/>
          <w:szCs w:val="32"/>
          <w:highlight w:val="none"/>
        </w:rPr>
        <w:t>年一般公共预算支出</w:t>
      </w:r>
      <w:r>
        <w:rPr>
          <w:rFonts w:hint="eastAsia" w:ascii="仿宋_GB2312" w:hAnsi="仿宋" w:eastAsia="仿宋_GB2312"/>
          <w:color w:val="auto"/>
          <w:sz w:val="32"/>
          <w:szCs w:val="32"/>
          <w:highlight w:val="none"/>
          <w:lang w:val="en-US" w:eastAsia="zh-CN"/>
        </w:rPr>
        <w:t>2550.6</w:t>
      </w:r>
      <w:r>
        <w:rPr>
          <w:rFonts w:hint="eastAsia" w:ascii="仿宋_GB2312" w:hAnsi="仿宋" w:eastAsia="仿宋_GB2312" w:cs="Times New Roman"/>
          <w:color w:val="auto"/>
          <w:kern w:val="2"/>
          <w:sz w:val="32"/>
          <w:szCs w:val="32"/>
          <w:highlight w:val="none"/>
        </w:rPr>
        <w:t>万元，</w:t>
      </w:r>
      <w:r>
        <w:rPr>
          <w:rFonts w:hint="eastAsia" w:ascii="仿宋_GB2312" w:hAnsi="仿宋" w:eastAsia="仿宋_GB2312"/>
          <w:color w:val="auto"/>
          <w:sz w:val="32"/>
          <w:szCs w:val="32"/>
          <w:highlight w:val="none"/>
        </w:rPr>
        <w:t>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年预算增加</w:t>
      </w:r>
      <w:r>
        <w:rPr>
          <w:rFonts w:hint="eastAsia" w:ascii="仿宋_GB2312" w:hAnsi="仿宋" w:eastAsia="仿宋_GB2312"/>
          <w:color w:val="auto"/>
          <w:sz w:val="32"/>
          <w:szCs w:val="32"/>
          <w:highlight w:val="none"/>
          <w:lang w:val="en-US" w:eastAsia="zh-CN"/>
        </w:rPr>
        <w:t>1052.92</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70.3</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项目支出增加</w:t>
      </w:r>
      <w:r>
        <w:rPr>
          <w:rFonts w:hint="eastAsia" w:ascii="仿宋_GB2312" w:hAnsi="仿宋" w:eastAsia="仿宋_GB2312"/>
          <w:color w:val="auto"/>
          <w:sz w:val="32"/>
          <w:szCs w:val="32"/>
          <w:highlight w:val="none"/>
        </w:rPr>
        <w:t>。</w:t>
      </w:r>
    </w:p>
    <w:p>
      <w:pPr>
        <w:pStyle w:val="4"/>
        <w:adjustRightInd w:val="0"/>
        <w:snapToGrid w:val="0"/>
        <w:spacing w:before="0" w:beforeAutospacing="0" w:after="0" w:afterAutospacing="0" w:line="600" w:lineRule="exact"/>
        <w:ind w:firstLine="630" w:firstLineChars="196"/>
        <w:rPr>
          <w:rFonts w:ascii="楷体_GB2312" w:hAnsi="仿宋" w:eastAsia="楷体_GB2312" w:cs="Times New Roman"/>
          <w:b/>
          <w:color w:val="auto"/>
          <w:kern w:val="2"/>
          <w:sz w:val="32"/>
          <w:szCs w:val="32"/>
          <w:highlight w:val="none"/>
        </w:rPr>
      </w:pPr>
      <w:r>
        <w:rPr>
          <w:rFonts w:hint="eastAsia" w:ascii="楷体_GB2312" w:hAnsi="仿宋" w:eastAsia="楷体_GB2312" w:cs="Times New Roman"/>
          <w:b/>
          <w:color w:val="auto"/>
          <w:kern w:val="2"/>
          <w:sz w:val="32"/>
          <w:szCs w:val="32"/>
          <w:highlight w:val="none"/>
        </w:rPr>
        <w:t>（二）一般公共预算支出结构情况。</w:t>
      </w:r>
    </w:p>
    <w:p>
      <w:pPr>
        <w:pStyle w:val="4"/>
        <w:adjustRightInd w:val="0"/>
        <w:snapToGrid w:val="0"/>
        <w:spacing w:before="0" w:beforeAutospacing="0" w:after="0" w:afterAutospacing="0" w:line="600" w:lineRule="exact"/>
        <w:ind w:firstLine="640" w:firstLineChars="200"/>
        <w:rPr>
          <w:rFonts w:ascii="仿宋_GB2312" w:hAnsi="仿宋" w:eastAsia="仿宋_GB2312" w:cs="Times New Roman"/>
          <w:color w:val="auto"/>
          <w:kern w:val="2"/>
          <w:sz w:val="32"/>
          <w:szCs w:val="32"/>
          <w:highlight w:val="none"/>
        </w:rPr>
      </w:pPr>
      <w:r>
        <w:rPr>
          <w:rFonts w:hint="eastAsia" w:ascii="仿宋_GB2312" w:hAnsi="仿宋" w:eastAsia="仿宋_GB2312"/>
          <w:color w:val="auto"/>
          <w:sz w:val="32"/>
          <w:szCs w:val="32"/>
          <w:highlight w:val="none"/>
        </w:rPr>
        <w:t>社会保障和就业支出</w:t>
      </w:r>
      <w:r>
        <w:rPr>
          <w:rFonts w:hint="eastAsia" w:ascii="仿宋_GB2312" w:hAnsi="仿宋" w:eastAsia="仿宋_GB2312" w:cs="Times New Roman"/>
          <w:color w:val="auto"/>
          <w:kern w:val="2"/>
          <w:sz w:val="32"/>
          <w:szCs w:val="32"/>
          <w:highlight w:val="none"/>
          <w:lang w:val="en-US" w:eastAsia="zh-CN"/>
        </w:rPr>
        <w:t>53.98</w:t>
      </w:r>
      <w:r>
        <w:rPr>
          <w:rFonts w:hint="eastAsia" w:ascii="仿宋_GB2312" w:hAnsi="仿宋" w:eastAsia="仿宋_GB2312" w:cs="Times New Roman"/>
          <w:color w:val="auto"/>
          <w:kern w:val="2"/>
          <w:sz w:val="32"/>
          <w:szCs w:val="32"/>
          <w:highlight w:val="none"/>
        </w:rPr>
        <w:t>万元，占</w:t>
      </w:r>
      <w:r>
        <w:rPr>
          <w:rFonts w:hint="eastAsia" w:ascii="仿宋_GB2312" w:hAnsi="仿宋" w:eastAsia="仿宋_GB2312" w:cs="Times New Roman"/>
          <w:color w:val="auto"/>
          <w:kern w:val="2"/>
          <w:sz w:val="32"/>
          <w:szCs w:val="32"/>
          <w:highlight w:val="none"/>
          <w:lang w:val="en-US" w:eastAsia="zh-CN"/>
        </w:rPr>
        <w:t>2.12</w:t>
      </w:r>
      <w:r>
        <w:rPr>
          <w:rFonts w:ascii="仿宋_GB2312" w:hAnsi="仿宋" w:eastAsia="仿宋_GB2312" w:cs="Times New Roman"/>
          <w:color w:val="auto"/>
          <w:kern w:val="2"/>
          <w:sz w:val="32"/>
          <w:szCs w:val="32"/>
          <w:highlight w:val="none"/>
        </w:rPr>
        <w:t>%</w:t>
      </w:r>
      <w:r>
        <w:rPr>
          <w:rFonts w:hint="eastAsia" w:ascii="仿宋_GB2312" w:hAnsi="仿宋" w:eastAsia="仿宋_GB2312"/>
          <w:color w:val="auto"/>
          <w:sz w:val="32"/>
          <w:szCs w:val="32"/>
          <w:highlight w:val="none"/>
        </w:rPr>
        <w:t>、卫生健康支出</w:t>
      </w:r>
      <w:r>
        <w:rPr>
          <w:rFonts w:hint="eastAsia" w:ascii="仿宋_GB2312" w:hAnsi="仿宋" w:eastAsia="仿宋_GB2312" w:cs="Times New Roman"/>
          <w:color w:val="auto"/>
          <w:kern w:val="2"/>
          <w:sz w:val="32"/>
          <w:szCs w:val="32"/>
          <w:highlight w:val="none"/>
          <w:lang w:val="en-US" w:eastAsia="zh-CN"/>
        </w:rPr>
        <w:t>14.43</w:t>
      </w:r>
      <w:r>
        <w:rPr>
          <w:rFonts w:hint="eastAsia" w:ascii="仿宋_GB2312" w:hAnsi="仿宋" w:eastAsia="仿宋_GB2312" w:cs="Times New Roman"/>
          <w:color w:val="auto"/>
          <w:kern w:val="2"/>
          <w:sz w:val="32"/>
          <w:szCs w:val="32"/>
          <w:highlight w:val="none"/>
        </w:rPr>
        <w:t>万元，占</w:t>
      </w:r>
      <w:r>
        <w:rPr>
          <w:rFonts w:hint="eastAsia" w:ascii="仿宋_GB2312" w:hAnsi="仿宋" w:eastAsia="仿宋_GB2312" w:cs="Times New Roman"/>
          <w:color w:val="auto"/>
          <w:kern w:val="2"/>
          <w:sz w:val="32"/>
          <w:szCs w:val="32"/>
          <w:highlight w:val="none"/>
          <w:lang w:val="en-US" w:eastAsia="zh-CN"/>
        </w:rPr>
        <w:t>0.57</w:t>
      </w:r>
      <w:r>
        <w:rPr>
          <w:rFonts w:ascii="仿宋_GB2312" w:hAnsi="仿宋" w:eastAsia="仿宋_GB2312" w:cs="Times New Roman"/>
          <w:color w:val="auto"/>
          <w:kern w:val="2"/>
          <w:sz w:val="32"/>
          <w:szCs w:val="32"/>
          <w:highlight w:val="none"/>
        </w:rPr>
        <w:t>%</w:t>
      </w:r>
      <w:r>
        <w:rPr>
          <w:rFonts w:hint="eastAsia" w:ascii="仿宋_GB2312" w:hAnsi="仿宋" w:eastAsia="仿宋_GB2312"/>
          <w:color w:val="auto"/>
          <w:sz w:val="32"/>
          <w:szCs w:val="32"/>
          <w:highlight w:val="none"/>
        </w:rPr>
        <w:t>、节能环保支</w:t>
      </w:r>
      <w:r>
        <w:rPr>
          <w:rFonts w:hint="eastAsia" w:ascii="仿宋_GB2312" w:hAnsi="仿宋" w:eastAsia="仿宋_GB2312"/>
          <w:color w:val="auto"/>
          <w:sz w:val="32"/>
          <w:szCs w:val="32"/>
          <w:highlight w:val="none"/>
          <w:lang w:eastAsia="zh-CN"/>
        </w:rPr>
        <w:t>出</w:t>
      </w:r>
      <w:r>
        <w:rPr>
          <w:rFonts w:hint="eastAsia" w:ascii="仿宋_GB2312" w:hAnsi="仿宋" w:eastAsia="仿宋_GB2312" w:cs="Times New Roman"/>
          <w:color w:val="auto"/>
          <w:kern w:val="2"/>
          <w:sz w:val="32"/>
          <w:szCs w:val="32"/>
          <w:highlight w:val="none"/>
          <w:lang w:val="en-US" w:eastAsia="zh-CN"/>
        </w:rPr>
        <w:t>983.44</w:t>
      </w:r>
      <w:r>
        <w:rPr>
          <w:rFonts w:hint="eastAsia" w:ascii="仿宋_GB2312" w:hAnsi="仿宋" w:eastAsia="仿宋_GB2312" w:cs="Times New Roman"/>
          <w:color w:val="auto"/>
          <w:kern w:val="2"/>
          <w:sz w:val="32"/>
          <w:szCs w:val="32"/>
          <w:highlight w:val="none"/>
        </w:rPr>
        <w:t>万元，占</w:t>
      </w:r>
      <w:r>
        <w:rPr>
          <w:rFonts w:hint="eastAsia" w:ascii="仿宋_GB2312" w:hAnsi="仿宋" w:eastAsia="仿宋_GB2312" w:cs="Times New Roman"/>
          <w:color w:val="auto"/>
          <w:kern w:val="2"/>
          <w:sz w:val="32"/>
          <w:szCs w:val="32"/>
          <w:highlight w:val="none"/>
          <w:lang w:val="en-US" w:eastAsia="zh-CN"/>
        </w:rPr>
        <w:t>38.56</w:t>
      </w:r>
      <w:r>
        <w:rPr>
          <w:rFonts w:ascii="仿宋_GB2312" w:hAnsi="仿宋" w:eastAsia="仿宋_GB2312" w:cs="Times New Roman"/>
          <w:color w:val="auto"/>
          <w:kern w:val="2"/>
          <w:sz w:val="32"/>
          <w:szCs w:val="32"/>
          <w:highlight w:val="none"/>
        </w:rPr>
        <w:t>%</w:t>
      </w:r>
      <w:r>
        <w:rPr>
          <w:rFonts w:hint="eastAsia" w:ascii="仿宋_GB2312" w:hAnsi="仿宋" w:eastAsia="仿宋_GB2312"/>
          <w:color w:val="auto"/>
          <w:sz w:val="32"/>
          <w:szCs w:val="32"/>
          <w:highlight w:val="none"/>
          <w:lang w:eastAsia="zh-CN"/>
        </w:rPr>
        <w:t>、城乡社区支出</w:t>
      </w:r>
      <w:r>
        <w:rPr>
          <w:rFonts w:hint="eastAsia" w:ascii="仿宋_GB2312" w:hAnsi="仿宋" w:eastAsia="仿宋_GB2312" w:cs="Times New Roman"/>
          <w:color w:val="auto"/>
          <w:kern w:val="2"/>
          <w:sz w:val="32"/>
          <w:szCs w:val="32"/>
          <w:highlight w:val="none"/>
          <w:lang w:val="en-US" w:eastAsia="zh-CN"/>
        </w:rPr>
        <w:t>1437.93</w:t>
      </w:r>
      <w:r>
        <w:rPr>
          <w:rFonts w:hint="eastAsia" w:ascii="仿宋_GB2312" w:hAnsi="仿宋" w:eastAsia="仿宋_GB2312" w:cs="Times New Roman"/>
          <w:color w:val="auto"/>
          <w:kern w:val="2"/>
          <w:sz w:val="32"/>
          <w:szCs w:val="32"/>
          <w:highlight w:val="none"/>
        </w:rPr>
        <w:t>万元，占</w:t>
      </w:r>
      <w:r>
        <w:rPr>
          <w:rFonts w:hint="eastAsia" w:ascii="仿宋_GB2312" w:hAnsi="仿宋" w:eastAsia="仿宋_GB2312" w:cs="Times New Roman"/>
          <w:color w:val="auto"/>
          <w:kern w:val="2"/>
          <w:sz w:val="32"/>
          <w:szCs w:val="32"/>
          <w:highlight w:val="none"/>
          <w:lang w:val="en-US" w:eastAsia="zh-CN"/>
        </w:rPr>
        <w:t>56.38</w:t>
      </w:r>
      <w:r>
        <w:rPr>
          <w:rFonts w:ascii="仿宋_GB2312" w:hAnsi="仿宋" w:eastAsia="仿宋_GB2312" w:cs="Times New Roman"/>
          <w:color w:val="auto"/>
          <w:kern w:val="2"/>
          <w:sz w:val="32"/>
          <w:szCs w:val="32"/>
          <w:highlight w:val="none"/>
        </w:rPr>
        <w:t>%</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住房保障支出</w:t>
      </w:r>
      <w:r>
        <w:rPr>
          <w:rFonts w:hint="eastAsia" w:ascii="仿宋_GB2312" w:hAnsi="仿宋" w:eastAsia="仿宋_GB2312" w:cs="Times New Roman"/>
          <w:color w:val="auto"/>
          <w:kern w:val="2"/>
          <w:sz w:val="32"/>
          <w:szCs w:val="32"/>
          <w:highlight w:val="none"/>
          <w:lang w:val="en-US" w:eastAsia="zh-CN"/>
        </w:rPr>
        <w:t>60.81</w:t>
      </w:r>
      <w:r>
        <w:rPr>
          <w:rFonts w:hint="eastAsia" w:ascii="仿宋_GB2312" w:hAnsi="仿宋" w:eastAsia="仿宋_GB2312" w:cs="Times New Roman"/>
          <w:color w:val="auto"/>
          <w:kern w:val="2"/>
          <w:sz w:val="32"/>
          <w:szCs w:val="32"/>
          <w:highlight w:val="none"/>
        </w:rPr>
        <w:t>万元，占</w:t>
      </w:r>
      <w:r>
        <w:rPr>
          <w:rFonts w:hint="eastAsia" w:ascii="仿宋_GB2312" w:hAnsi="仿宋" w:eastAsia="仿宋_GB2312" w:cs="Times New Roman"/>
          <w:color w:val="auto"/>
          <w:kern w:val="2"/>
          <w:sz w:val="32"/>
          <w:szCs w:val="32"/>
          <w:highlight w:val="none"/>
          <w:lang w:val="en-US" w:eastAsia="zh-CN"/>
        </w:rPr>
        <w:t>2.38</w:t>
      </w:r>
      <w:r>
        <w:rPr>
          <w:rFonts w:ascii="仿宋_GB2312" w:hAnsi="仿宋" w:eastAsia="仿宋_GB2312" w:cs="Times New Roman"/>
          <w:color w:val="auto"/>
          <w:kern w:val="2"/>
          <w:sz w:val="32"/>
          <w:szCs w:val="32"/>
          <w:highlight w:val="none"/>
        </w:rPr>
        <w:t>%</w:t>
      </w:r>
      <w:r>
        <w:rPr>
          <w:rFonts w:hint="eastAsia" w:ascii="仿宋_GB2312" w:hAnsi="仿宋" w:eastAsia="仿宋_GB2312" w:cs="Times New Roman"/>
          <w:color w:val="auto"/>
          <w:kern w:val="2"/>
          <w:sz w:val="32"/>
          <w:szCs w:val="32"/>
          <w:highlight w:val="none"/>
          <w:lang w:eastAsia="zh-CN"/>
        </w:rPr>
        <w:t>。</w:t>
      </w:r>
    </w:p>
    <w:p>
      <w:pPr>
        <w:adjustRightInd w:val="0"/>
        <w:snapToGrid w:val="0"/>
        <w:spacing w:line="600" w:lineRule="exact"/>
        <w:ind w:firstLine="643" w:firstLineChars="200"/>
        <w:rPr>
          <w:rFonts w:ascii="楷体_GB2312" w:hAnsi="仿宋" w:eastAsia="楷体_GB2312"/>
          <w:b/>
          <w:color w:val="auto"/>
          <w:sz w:val="32"/>
          <w:szCs w:val="32"/>
          <w:highlight w:val="none"/>
        </w:rPr>
      </w:pPr>
      <w:r>
        <w:rPr>
          <w:rFonts w:hint="eastAsia" w:ascii="楷体_GB2312" w:hAnsi="仿宋" w:eastAsia="楷体_GB2312"/>
          <w:b/>
          <w:color w:val="auto"/>
          <w:sz w:val="32"/>
          <w:szCs w:val="32"/>
          <w:highlight w:val="none"/>
        </w:rPr>
        <w:t>（三）一般公共预算支出具体使用情况。</w:t>
      </w:r>
    </w:p>
    <w:p>
      <w:pPr>
        <w:adjustRightInd w:val="0"/>
        <w:snapToGrid w:val="0"/>
        <w:spacing w:line="600" w:lineRule="exact"/>
        <w:ind w:firstLine="643" w:firstLineChars="200"/>
        <w:rPr>
          <w:rFonts w:hint="eastAsia" w:ascii="仿宋_GB2312" w:hAnsi="仿宋" w:eastAsia="仿宋_GB2312"/>
          <w:color w:val="auto"/>
          <w:sz w:val="32"/>
          <w:szCs w:val="32"/>
          <w:highlight w:val="none"/>
        </w:rPr>
      </w:pPr>
      <w:r>
        <w:rPr>
          <w:rFonts w:hint="eastAsia" w:ascii="仿宋" w:hAnsi="仿宋" w:eastAsia="仿宋" w:cs="Times New Roman"/>
          <w:b/>
          <w:bCs/>
          <w:color w:val="auto"/>
          <w:kern w:val="2"/>
          <w:sz w:val="32"/>
          <w:szCs w:val="32"/>
          <w:highlight w:val="none"/>
        </w:rPr>
        <w:t>1．社会保障和就业支出（类）行政事业养老支出（款）事业单位离退休（项）</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年预算</w:t>
      </w:r>
      <w:r>
        <w:rPr>
          <w:rFonts w:hint="eastAsia" w:ascii="仿宋_GB2312" w:hAnsi="仿宋" w:eastAsia="仿宋_GB2312"/>
          <w:color w:val="auto"/>
          <w:sz w:val="32"/>
          <w:szCs w:val="32"/>
          <w:highlight w:val="none"/>
          <w:lang w:val="en-US" w:eastAsia="zh-CN"/>
        </w:rPr>
        <w:t>0.28</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年预算增加</w:t>
      </w:r>
      <w:r>
        <w:rPr>
          <w:rFonts w:hint="eastAsia" w:ascii="仿宋_GB2312" w:hAnsi="仿宋" w:eastAsia="仿宋_GB2312"/>
          <w:color w:val="auto"/>
          <w:sz w:val="32"/>
          <w:szCs w:val="32"/>
          <w:highlight w:val="none"/>
          <w:lang w:val="en-US" w:eastAsia="zh-CN"/>
        </w:rPr>
        <w:t>0.28</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100</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离退休费用增加</w:t>
      </w:r>
      <w:r>
        <w:rPr>
          <w:rFonts w:hint="eastAsia" w:ascii="仿宋_GB2312" w:hAnsi="仿宋" w:eastAsia="仿宋_GB2312"/>
          <w:color w:val="auto"/>
          <w:sz w:val="32"/>
          <w:szCs w:val="32"/>
          <w:highlight w:val="none"/>
        </w:rPr>
        <w:t>。</w:t>
      </w:r>
    </w:p>
    <w:p>
      <w:pPr>
        <w:adjustRightInd w:val="0"/>
        <w:snapToGrid w:val="0"/>
        <w:spacing w:line="600" w:lineRule="exact"/>
        <w:ind w:firstLine="643" w:firstLineChars="200"/>
        <w:rPr>
          <w:rFonts w:hint="eastAsia" w:ascii="仿宋_GB2312" w:hAnsi="仿宋" w:eastAsia="仿宋_GB2312"/>
          <w:color w:val="auto"/>
          <w:sz w:val="32"/>
          <w:szCs w:val="32"/>
          <w:highlight w:val="none"/>
        </w:rPr>
      </w:pPr>
      <w:r>
        <w:rPr>
          <w:rFonts w:hint="eastAsia" w:ascii="仿宋" w:hAnsi="仿宋" w:eastAsia="仿宋" w:cs="Times New Roman"/>
          <w:b/>
          <w:bCs/>
          <w:color w:val="auto"/>
          <w:kern w:val="2"/>
          <w:sz w:val="32"/>
          <w:szCs w:val="32"/>
          <w:highlight w:val="none"/>
          <w:lang w:val="en-US" w:eastAsia="zh-CN"/>
        </w:rPr>
        <w:t>2</w:t>
      </w:r>
      <w:r>
        <w:rPr>
          <w:rFonts w:hint="eastAsia" w:ascii="仿宋" w:hAnsi="仿宋" w:eastAsia="仿宋" w:cs="Times New Roman"/>
          <w:b/>
          <w:bCs/>
          <w:color w:val="auto"/>
          <w:kern w:val="2"/>
          <w:sz w:val="32"/>
          <w:szCs w:val="32"/>
          <w:highlight w:val="none"/>
        </w:rPr>
        <w:t>．社会保障和就业支出（类）行政事业养老支出（款）机关事业单位基本养老保险缴费支出（项）</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年预算</w:t>
      </w:r>
      <w:r>
        <w:rPr>
          <w:rFonts w:hint="eastAsia" w:ascii="仿宋_GB2312" w:hAnsi="仿宋" w:eastAsia="仿宋_GB2312"/>
          <w:color w:val="auto"/>
          <w:sz w:val="32"/>
          <w:szCs w:val="32"/>
          <w:highlight w:val="none"/>
          <w:lang w:val="en-US" w:eastAsia="zh-CN"/>
        </w:rPr>
        <w:t>33</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w:t>
      </w:r>
      <w:r>
        <w:rPr>
          <w:rFonts w:hint="eastAsia" w:ascii="仿宋_GB2312" w:hAnsi="仿宋" w:eastAsia="仿宋_GB2312"/>
          <w:color w:val="auto"/>
          <w:sz w:val="32"/>
          <w:szCs w:val="32"/>
          <w:highlight w:val="none"/>
          <w:lang w:eastAsia="zh-CN"/>
        </w:rPr>
        <w:t>减少</w:t>
      </w:r>
      <w:r>
        <w:rPr>
          <w:rFonts w:hint="eastAsia" w:ascii="仿宋_GB2312" w:hAnsi="仿宋" w:eastAsia="仿宋_GB2312"/>
          <w:color w:val="auto"/>
          <w:sz w:val="32"/>
          <w:szCs w:val="32"/>
          <w:highlight w:val="none"/>
          <w:lang w:val="en-US" w:eastAsia="zh-CN"/>
        </w:rPr>
        <w:t>38.28</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下降</w:t>
      </w:r>
      <w:r>
        <w:rPr>
          <w:rFonts w:hint="eastAsia" w:ascii="仿宋_GB2312" w:hAnsi="仿宋" w:eastAsia="仿宋_GB2312"/>
          <w:color w:val="auto"/>
          <w:sz w:val="32"/>
          <w:szCs w:val="32"/>
          <w:highlight w:val="none"/>
          <w:lang w:val="en-US" w:eastAsia="zh-CN"/>
        </w:rPr>
        <w:t>53.7</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下降</w:t>
      </w:r>
      <w:r>
        <w:rPr>
          <w:rFonts w:hint="eastAsia" w:ascii="仿宋_GB2312" w:hAnsi="仿宋" w:eastAsia="仿宋_GB2312"/>
          <w:color w:val="auto"/>
          <w:sz w:val="32"/>
          <w:szCs w:val="32"/>
          <w:highlight w:val="none"/>
        </w:rPr>
        <w:t>原因主要是基本养老保险缴费支出</w:t>
      </w:r>
      <w:r>
        <w:rPr>
          <w:rFonts w:hint="eastAsia" w:ascii="仿宋_GB2312" w:hAnsi="仿宋" w:eastAsia="仿宋_GB2312"/>
          <w:color w:val="auto"/>
          <w:sz w:val="32"/>
          <w:szCs w:val="32"/>
          <w:highlight w:val="none"/>
          <w:lang w:eastAsia="zh-CN"/>
        </w:rPr>
        <w:t>减少</w:t>
      </w:r>
      <w:r>
        <w:rPr>
          <w:rFonts w:hint="eastAsia" w:ascii="仿宋_GB2312" w:hAnsi="仿宋" w:eastAsia="仿宋_GB2312"/>
          <w:color w:val="auto"/>
          <w:sz w:val="32"/>
          <w:szCs w:val="32"/>
          <w:highlight w:val="none"/>
        </w:rPr>
        <w:t>。</w:t>
      </w:r>
    </w:p>
    <w:p>
      <w:pPr>
        <w:adjustRightInd w:val="0"/>
        <w:snapToGrid w:val="0"/>
        <w:spacing w:line="600" w:lineRule="exact"/>
        <w:ind w:firstLine="643" w:firstLineChars="200"/>
        <w:rPr>
          <w:rFonts w:hint="eastAsia" w:ascii="仿宋_GB2312" w:hAnsi="仿宋" w:eastAsia="仿宋_GB2312"/>
          <w:color w:val="auto"/>
          <w:sz w:val="32"/>
          <w:szCs w:val="32"/>
          <w:highlight w:val="none"/>
        </w:rPr>
      </w:pPr>
      <w:r>
        <w:rPr>
          <w:rFonts w:hint="eastAsia" w:ascii="仿宋" w:hAnsi="仿宋" w:eastAsia="仿宋" w:cs="Times New Roman"/>
          <w:b/>
          <w:bCs/>
          <w:color w:val="auto"/>
          <w:kern w:val="2"/>
          <w:sz w:val="32"/>
          <w:szCs w:val="32"/>
          <w:highlight w:val="none"/>
          <w:lang w:val="en-US" w:eastAsia="zh-CN"/>
        </w:rPr>
        <w:t>3</w:t>
      </w:r>
      <w:r>
        <w:rPr>
          <w:rFonts w:hint="eastAsia" w:ascii="仿宋" w:hAnsi="仿宋" w:eastAsia="仿宋" w:cs="Times New Roman"/>
          <w:b/>
          <w:bCs/>
          <w:color w:val="auto"/>
          <w:kern w:val="2"/>
          <w:sz w:val="32"/>
          <w:szCs w:val="32"/>
          <w:highlight w:val="none"/>
        </w:rPr>
        <w:t>．社会保障和就业支出（类）行政事业养老支出（款）机关事业单位职业年金缴费支出（项）</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年预算</w:t>
      </w:r>
      <w:r>
        <w:rPr>
          <w:rFonts w:hint="eastAsia" w:ascii="仿宋_GB2312" w:hAnsi="仿宋" w:eastAsia="仿宋_GB2312"/>
          <w:color w:val="auto"/>
          <w:sz w:val="32"/>
          <w:szCs w:val="32"/>
          <w:highlight w:val="none"/>
          <w:lang w:val="en-US" w:eastAsia="zh-CN"/>
        </w:rPr>
        <w:t>16.51</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年预算增长</w:t>
      </w:r>
      <w:r>
        <w:rPr>
          <w:rFonts w:hint="eastAsia" w:ascii="仿宋_GB2312" w:hAnsi="仿宋" w:eastAsia="仿宋_GB2312"/>
          <w:color w:val="auto"/>
          <w:sz w:val="32"/>
          <w:szCs w:val="32"/>
          <w:highlight w:val="none"/>
          <w:lang w:val="en-US" w:eastAsia="zh-CN"/>
        </w:rPr>
        <w:t>100</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年金费用增加</w:t>
      </w:r>
      <w:r>
        <w:rPr>
          <w:rFonts w:hint="eastAsia" w:ascii="仿宋_GB2312" w:hAnsi="仿宋" w:eastAsia="仿宋_GB2312"/>
          <w:color w:val="auto"/>
          <w:sz w:val="32"/>
          <w:szCs w:val="32"/>
          <w:highlight w:val="none"/>
        </w:rPr>
        <w:t>。</w:t>
      </w:r>
    </w:p>
    <w:p>
      <w:pPr>
        <w:adjustRightInd w:val="0"/>
        <w:snapToGrid w:val="0"/>
        <w:spacing w:line="600" w:lineRule="exact"/>
        <w:ind w:firstLine="643" w:firstLineChars="200"/>
        <w:rPr>
          <w:rFonts w:hint="eastAsia" w:ascii="仿宋_GB2312" w:hAnsi="仿宋" w:eastAsia="仿宋_GB2312"/>
          <w:color w:val="auto"/>
          <w:sz w:val="32"/>
          <w:szCs w:val="32"/>
          <w:highlight w:val="none"/>
        </w:rPr>
      </w:pPr>
      <w:r>
        <w:rPr>
          <w:rFonts w:hint="eastAsia" w:ascii="仿宋" w:hAnsi="仿宋" w:eastAsia="仿宋" w:cs="Times New Roman"/>
          <w:b/>
          <w:bCs/>
          <w:color w:val="auto"/>
          <w:kern w:val="2"/>
          <w:sz w:val="32"/>
          <w:szCs w:val="32"/>
          <w:highlight w:val="none"/>
          <w:lang w:val="en-US" w:eastAsia="zh-CN"/>
        </w:rPr>
        <w:t>4</w:t>
      </w:r>
      <w:r>
        <w:rPr>
          <w:rFonts w:hint="eastAsia" w:ascii="仿宋" w:hAnsi="仿宋" w:eastAsia="仿宋" w:cs="Times New Roman"/>
          <w:b/>
          <w:bCs/>
          <w:color w:val="auto"/>
          <w:kern w:val="2"/>
          <w:sz w:val="32"/>
          <w:szCs w:val="32"/>
          <w:highlight w:val="none"/>
        </w:rPr>
        <w:t>．社会保障和就业支出（类）行政事业养老支出（款）对机关事业单位基本养老保险基金的补助（项）</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年预算</w:t>
      </w:r>
      <w:r>
        <w:rPr>
          <w:rFonts w:hint="eastAsia" w:ascii="仿宋_GB2312" w:hAnsi="仿宋" w:eastAsia="仿宋_GB2312"/>
          <w:color w:val="auto"/>
          <w:sz w:val="32"/>
          <w:szCs w:val="32"/>
          <w:highlight w:val="none"/>
          <w:lang w:val="en-US" w:eastAsia="zh-CN"/>
        </w:rPr>
        <w:t>4.19</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年预算增长</w:t>
      </w:r>
      <w:r>
        <w:rPr>
          <w:rFonts w:hint="eastAsia" w:ascii="仿宋_GB2312" w:hAnsi="仿宋" w:eastAsia="仿宋_GB2312"/>
          <w:color w:val="auto"/>
          <w:sz w:val="32"/>
          <w:szCs w:val="32"/>
          <w:highlight w:val="none"/>
          <w:lang w:val="en-US" w:eastAsia="zh-CN"/>
        </w:rPr>
        <w:t>100</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年金费用增加</w:t>
      </w:r>
      <w:r>
        <w:rPr>
          <w:rFonts w:hint="eastAsia" w:ascii="仿宋_GB2312" w:hAnsi="仿宋" w:eastAsia="仿宋_GB2312"/>
          <w:color w:val="auto"/>
          <w:sz w:val="32"/>
          <w:szCs w:val="32"/>
          <w:highlight w:val="none"/>
        </w:rPr>
        <w:t>。</w:t>
      </w:r>
    </w:p>
    <w:p>
      <w:pPr>
        <w:adjustRightInd w:val="0"/>
        <w:snapToGrid w:val="0"/>
        <w:spacing w:line="600" w:lineRule="exact"/>
        <w:ind w:firstLine="643" w:firstLineChars="200"/>
        <w:rPr>
          <w:rFonts w:hint="eastAsia" w:ascii="仿宋_GB2312" w:hAnsi="仿宋" w:eastAsia="仿宋_GB2312"/>
          <w:color w:val="auto"/>
          <w:sz w:val="32"/>
          <w:szCs w:val="32"/>
          <w:highlight w:val="none"/>
        </w:rPr>
      </w:pPr>
      <w:r>
        <w:rPr>
          <w:rFonts w:hint="eastAsia" w:ascii="仿宋_GB2312" w:hAnsi="仿宋" w:eastAsia="仿宋_GB2312"/>
          <w:b/>
          <w:color w:val="auto"/>
          <w:sz w:val="32"/>
          <w:szCs w:val="32"/>
          <w:highlight w:val="none"/>
          <w:lang w:val="en-US" w:eastAsia="zh-CN"/>
        </w:rPr>
        <w:t>5</w:t>
      </w:r>
      <w:r>
        <w:rPr>
          <w:rFonts w:ascii="仿宋_GB2312" w:hAnsi="仿宋" w:eastAsia="仿宋_GB2312"/>
          <w:b/>
          <w:color w:val="auto"/>
          <w:sz w:val="32"/>
          <w:szCs w:val="32"/>
          <w:highlight w:val="none"/>
        </w:rPr>
        <w:t>.</w:t>
      </w:r>
      <w:r>
        <w:rPr>
          <w:rFonts w:hint="eastAsia" w:ascii="仿宋_GB2312" w:hAnsi="仿宋" w:eastAsia="仿宋_GB2312"/>
          <w:b/>
          <w:color w:val="auto"/>
          <w:sz w:val="32"/>
          <w:szCs w:val="32"/>
          <w:highlight w:val="none"/>
        </w:rPr>
        <w:t>卫生健康支出（类）行政事业单位医疗（款）事业单位医疗（项）</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年预算</w:t>
      </w:r>
      <w:r>
        <w:rPr>
          <w:rFonts w:hint="eastAsia" w:ascii="仿宋_GB2312" w:hAnsi="仿宋" w:eastAsia="仿宋_GB2312"/>
          <w:color w:val="auto"/>
          <w:sz w:val="32"/>
          <w:szCs w:val="32"/>
          <w:highlight w:val="none"/>
          <w:lang w:val="en-US" w:eastAsia="zh-CN"/>
        </w:rPr>
        <w:t>14.23</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年预算增加</w:t>
      </w:r>
      <w:r>
        <w:rPr>
          <w:rFonts w:hint="eastAsia" w:ascii="仿宋_GB2312" w:hAnsi="仿宋" w:eastAsia="仿宋_GB2312"/>
          <w:color w:val="auto"/>
          <w:sz w:val="32"/>
          <w:szCs w:val="32"/>
          <w:highlight w:val="none"/>
          <w:lang w:val="en-US" w:eastAsia="zh-CN"/>
        </w:rPr>
        <w:t>1.19</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9.13</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事业单位医疗增加</w:t>
      </w:r>
      <w:r>
        <w:rPr>
          <w:rFonts w:hint="eastAsia" w:ascii="仿宋_GB2312" w:hAnsi="仿宋" w:eastAsia="仿宋_GB2312"/>
          <w:color w:val="auto"/>
          <w:sz w:val="32"/>
          <w:szCs w:val="32"/>
          <w:highlight w:val="none"/>
        </w:rPr>
        <w:t>。</w:t>
      </w:r>
    </w:p>
    <w:p>
      <w:pPr>
        <w:adjustRightInd w:val="0"/>
        <w:snapToGrid w:val="0"/>
        <w:spacing w:line="600" w:lineRule="exact"/>
        <w:ind w:firstLine="643" w:firstLineChars="200"/>
        <w:rPr>
          <w:rFonts w:hint="eastAsia" w:ascii="仿宋_GB2312" w:hAnsi="仿宋" w:eastAsia="仿宋_GB2312"/>
          <w:color w:val="auto"/>
          <w:sz w:val="32"/>
          <w:szCs w:val="32"/>
          <w:highlight w:val="none"/>
        </w:rPr>
      </w:pPr>
      <w:r>
        <w:rPr>
          <w:rFonts w:hint="eastAsia" w:ascii="仿宋_GB2312" w:hAnsi="仿宋" w:eastAsia="仿宋_GB2312"/>
          <w:b/>
          <w:color w:val="auto"/>
          <w:sz w:val="32"/>
          <w:szCs w:val="32"/>
          <w:highlight w:val="none"/>
          <w:lang w:val="en-US" w:eastAsia="zh-CN"/>
        </w:rPr>
        <w:t>6</w:t>
      </w:r>
      <w:r>
        <w:rPr>
          <w:rFonts w:ascii="仿宋_GB2312" w:hAnsi="仿宋" w:eastAsia="仿宋_GB2312"/>
          <w:b/>
          <w:color w:val="auto"/>
          <w:sz w:val="32"/>
          <w:szCs w:val="32"/>
          <w:highlight w:val="none"/>
        </w:rPr>
        <w:t>.</w:t>
      </w:r>
      <w:r>
        <w:rPr>
          <w:rFonts w:hint="eastAsia" w:ascii="仿宋_GB2312" w:hAnsi="仿宋" w:eastAsia="仿宋_GB2312"/>
          <w:b/>
          <w:color w:val="auto"/>
          <w:sz w:val="32"/>
          <w:szCs w:val="32"/>
          <w:highlight w:val="none"/>
        </w:rPr>
        <w:t>卫生健康支出（类）行政事业单位医疗（款）公务员医疗补助（项）</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年预算</w:t>
      </w:r>
      <w:r>
        <w:rPr>
          <w:rFonts w:hint="eastAsia" w:ascii="仿宋_GB2312" w:hAnsi="仿宋" w:eastAsia="仿宋_GB2312"/>
          <w:color w:val="auto"/>
          <w:sz w:val="32"/>
          <w:szCs w:val="32"/>
          <w:highlight w:val="none"/>
          <w:lang w:val="en-US" w:eastAsia="zh-CN"/>
        </w:rPr>
        <w:t>0.2</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年预算增加</w:t>
      </w:r>
      <w:r>
        <w:rPr>
          <w:rFonts w:hint="eastAsia" w:ascii="仿宋_GB2312" w:hAnsi="仿宋" w:eastAsia="仿宋_GB2312"/>
          <w:color w:val="auto"/>
          <w:sz w:val="32"/>
          <w:szCs w:val="32"/>
          <w:highlight w:val="none"/>
          <w:lang w:val="en-US" w:eastAsia="zh-CN"/>
        </w:rPr>
        <w:t>0.2</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100</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事业社保缴费增加</w:t>
      </w:r>
      <w:r>
        <w:rPr>
          <w:rFonts w:hint="eastAsia" w:ascii="仿宋_GB2312" w:hAnsi="仿宋" w:eastAsia="仿宋_GB2312"/>
          <w:color w:val="auto"/>
          <w:sz w:val="32"/>
          <w:szCs w:val="32"/>
          <w:highlight w:val="none"/>
        </w:rPr>
        <w:t>。</w:t>
      </w:r>
    </w:p>
    <w:p>
      <w:pPr>
        <w:adjustRightInd w:val="0"/>
        <w:snapToGrid w:val="0"/>
        <w:spacing w:line="600" w:lineRule="exact"/>
        <w:ind w:firstLine="643" w:firstLineChars="200"/>
        <w:rPr>
          <w:rFonts w:hint="eastAsia" w:ascii="仿宋_GB2312" w:hAnsi="仿宋" w:eastAsia="仿宋_GB2312"/>
          <w:color w:val="auto"/>
          <w:sz w:val="32"/>
          <w:szCs w:val="32"/>
          <w:highlight w:val="none"/>
          <w:lang w:eastAsia="zh-CN"/>
        </w:rPr>
      </w:pPr>
      <w:r>
        <w:rPr>
          <w:rFonts w:hint="eastAsia" w:ascii="仿宋_GB2312" w:hAnsi="仿宋" w:eastAsia="仿宋_GB2312"/>
          <w:b/>
          <w:color w:val="auto"/>
          <w:sz w:val="32"/>
          <w:szCs w:val="32"/>
          <w:highlight w:val="none"/>
          <w:lang w:val="en-US" w:eastAsia="zh-CN"/>
        </w:rPr>
        <w:t>7</w:t>
      </w:r>
      <w:r>
        <w:rPr>
          <w:rFonts w:ascii="仿宋_GB2312" w:hAnsi="仿宋" w:eastAsia="仿宋_GB2312"/>
          <w:b/>
          <w:color w:val="auto"/>
          <w:sz w:val="32"/>
          <w:szCs w:val="32"/>
          <w:highlight w:val="none"/>
        </w:rPr>
        <w:t>.</w:t>
      </w:r>
      <w:r>
        <w:rPr>
          <w:rFonts w:hint="eastAsia" w:ascii="仿宋_GB2312" w:hAnsi="仿宋" w:eastAsia="仿宋_GB2312"/>
          <w:b/>
          <w:color w:val="auto"/>
          <w:sz w:val="32"/>
          <w:szCs w:val="32"/>
          <w:highlight w:val="none"/>
        </w:rPr>
        <w:t>节能环保支出（类）环境保护管理事务（款）其他环境保护管理事务支出（项）</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年预算</w:t>
      </w:r>
      <w:r>
        <w:rPr>
          <w:rFonts w:hint="eastAsia" w:ascii="仿宋_GB2312" w:hAnsi="仿宋" w:eastAsia="仿宋_GB2312"/>
          <w:color w:val="auto"/>
          <w:sz w:val="32"/>
          <w:szCs w:val="32"/>
          <w:highlight w:val="none"/>
          <w:lang w:val="en-US" w:eastAsia="zh-CN"/>
        </w:rPr>
        <w:t>983.44</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年预算增加</w:t>
      </w:r>
      <w:r>
        <w:rPr>
          <w:rFonts w:hint="eastAsia" w:ascii="仿宋_GB2312" w:hAnsi="仿宋" w:eastAsia="仿宋_GB2312"/>
          <w:color w:val="auto"/>
          <w:sz w:val="32"/>
          <w:szCs w:val="32"/>
          <w:highlight w:val="none"/>
          <w:lang w:val="en-US" w:eastAsia="zh-CN"/>
        </w:rPr>
        <w:t>983.44</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100</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项目资金增加。</w:t>
      </w:r>
    </w:p>
    <w:p>
      <w:pPr>
        <w:adjustRightInd w:val="0"/>
        <w:snapToGrid w:val="0"/>
        <w:spacing w:line="600" w:lineRule="exact"/>
        <w:ind w:firstLine="643" w:firstLineChars="200"/>
        <w:rPr>
          <w:rFonts w:hint="eastAsia" w:ascii="仿宋_GB2312" w:hAnsi="仿宋" w:eastAsia="仿宋_GB2312"/>
          <w:color w:val="auto"/>
          <w:sz w:val="32"/>
          <w:szCs w:val="32"/>
          <w:highlight w:val="none"/>
          <w:lang w:eastAsia="zh-CN"/>
        </w:rPr>
      </w:pPr>
      <w:r>
        <w:rPr>
          <w:rFonts w:hint="eastAsia" w:ascii="仿宋" w:hAnsi="仿宋" w:eastAsia="仿宋" w:cs="Times New Roman"/>
          <w:b/>
          <w:bCs/>
          <w:color w:val="auto"/>
          <w:kern w:val="2"/>
          <w:sz w:val="32"/>
          <w:szCs w:val="32"/>
          <w:highlight w:val="none"/>
          <w:lang w:val="en-US" w:eastAsia="zh-CN"/>
        </w:rPr>
        <w:t>8</w:t>
      </w:r>
      <w:r>
        <w:rPr>
          <w:rFonts w:hint="eastAsia" w:ascii="仿宋" w:hAnsi="仿宋" w:eastAsia="仿宋" w:cs="Times New Roman"/>
          <w:b/>
          <w:bCs/>
          <w:color w:val="auto"/>
          <w:kern w:val="2"/>
          <w:sz w:val="32"/>
          <w:szCs w:val="32"/>
          <w:highlight w:val="none"/>
        </w:rPr>
        <w:t>．城乡社区支出（类）城乡社区环境卫生（款）城乡社区环卫生（项）</w:t>
      </w:r>
      <w:r>
        <w:rPr>
          <w:rFonts w:ascii="仿宋_GB2312" w:hAnsi="仿宋" w:eastAsia="仿宋_GB2312"/>
          <w:color w:val="auto"/>
          <w:sz w:val="32"/>
          <w:szCs w:val="32"/>
          <w:highlight w:val="none"/>
        </w:rPr>
        <w:t>022</w:t>
      </w:r>
      <w:r>
        <w:rPr>
          <w:rFonts w:hint="eastAsia" w:ascii="仿宋_GB2312" w:hAnsi="仿宋" w:eastAsia="仿宋_GB2312"/>
          <w:color w:val="auto"/>
          <w:sz w:val="32"/>
          <w:szCs w:val="32"/>
          <w:highlight w:val="none"/>
        </w:rPr>
        <w:t>年预算</w:t>
      </w:r>
      <w:r>
        <w:rPr>
          <w:rFonts w:hint="eastAsia" w:ascii="仿宋_GB2312" w:hAnsi="仿宋" w:eastAsia="仿宋_GB2312"/>
          <w:color w:val="auto"/>
          <w:sz w:val="32"/>
          <w:szCs w:val="32"/>
          <w:highlight w:val="none"/>
          <w:lang w:val="en-US" w:eastAsia="zh-CN"/>
        </w:rPr>
        <w:t>1437.93</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年预算增加</w:t>
      </w:r>
      <w:r>
        <w:rPr>
          <w:rFonts w:hint="eastAsia" w:ascii="仿宋_GB2312" w:hAnsi="仿宋" w:eastAsia="仿宋_GB2312"/>
          <w:color w:val="auto"/>
          <w:sz w:val="32"/>
          <w:szCs w:val="32"/>
          <w:highlight w:val="none"/>
          <w:lang w:val="en-US" w:eastAsia="zh-CN"/>
        </w:rPr>
        <w:t>70.57</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5.16</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项目资金增加。</w:t>
      </w:r>
    </w:p>
    <w:p>
      <w:pPr>
        <w:adjustRightInd w:val="0"/>
        <w:snapToGrid w:val="0"/>
        <w:spacing w:line="600" w:lineRule="exact"/>
        <w:ind w:firstLine="643" w:firstLineChars="200"/>
        <w:rPr>
          <w:rFonts w:ascii="仿宋_GB2312" w:hAnsi="仿宋" w:eastAsia="仿宋_GB2312"/>
          <w:color w:val="auto"/>
          <w:sz w:val="32"/>
          <w:szCs w:val="32"/>
          <w:highlight w:val="none"/>
        </w:rPr>
      </w:pPr>
      <w:r>
        <w:rPr>
          <w:rFonts w:hint="eastAsia" w:ascii="仿宋_GB2312" w:hAnsi="仿宋" w:eastAsia="仿宋_GB2312"/>
          <w:b/>
          <w:color w:val="auto"/>
          <w:sz w:val="32"/>
          <w:szCs w:val="32"/>
          <w:highlight w:val="none"/>
          <w:lang w:val="en-US" w:eastAsia="zh-CN"/>
        </w:rPr>
        <w:t>9</w:t>
      </w:r>
      <w:r>
        <w:rPr>
          <w:rFonts w:ascii="仿宋_GB2312" w:hAnsi="仿宋" w:eastAsia="仿宋_GB2312"/>
          <w:b/>
          <w:color w:val="auto"/>
          <w:sz w:val="32"/>
          <w:szCs w:val="32"/>
          <w:highlight w:val="none"/>
        </w:rPr>
        <w:t>.</w:t>
      </w:r>
      <w:r>
        <w:rPr>
          <w:rFonts w:hint="eastAsia" w:ascii="仿宋_GB2312" w:hAnsi="仿宋" w:eastAsia="仿宋_GB2312"/>
          <w:b/>
          <w:color w:val="auto"/>
          <w:sz w:val="32"/>
          <w:szCs w:val="32"/>
          <w:highlight w:val="none"/>
        </w:rPr>
        <w:t>住房保障支出（类）住房改革支出（款）住房公积金（项）</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年预算</w:t>
      </w:r>
      <w:r>
        <w:rPr>
          <w:rFonts w:hint="eastAsia" w:ascii="仿宋_GB2312" w:hAnsi="仿宋" w:eastAsia="仿宋_GB2312"/>
          <w:color w:val="auto"/>
          <w:sz w:val="32"/>
          <w:szCs w:val="32"/>
          <w:highlight w:val="none"/>
          <w:lang w:val="en-US" w:eastAsia="zh-CN"/>
        </w:rPr>
        <w:t>30.22</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年预算减少</w:t>
      </w:r>
      <w:r>
        <w:rPr>
          <w:rFonts w:hint="eastAsia" w:ascii="仿宋_GB2312" w:hAnsi="仿宋" w:eastAsia="仿宋_GB2312"/>
          <w:color w:val="auto"/>
          <w:sz w:val="32"/>
          <w:szCs w:val="32"/>
          <w:highlight w:val="none"/>
          <w:lang w:val="en-US" w:eastAsia="zh-CN"/>
        </w:rPr>
        <w:t>15.78</w:t>
      </w:r>
      <w:r>
        <w:rPr>
          <w:rFonts w:hint="eastAsia" w:ascii="仿宋_GB2312" w:hAnsi="仿宋" w:eastAsia="仿宋_GB2312"/>
          <w:color w:val="auto"/>
          <w:sz w:val="32"/>
          <w:szCs w:val="32"/>
          <w:highlight w:val="none"/>
        </w:rPr>
        <w:t>万元，下降</w:t>
      </w:r>
      <w:r>
        <w:rPr>
          <w:rFonts w:hint="eastAsia" w:ascii="仿宋_GB2312" w:hAnsi="仿宋" w:eastAsia="仿宋_GB2312"/>
          <w:color w:val="auto"/>
          <w:sz w:val="32"/>
          <w:szCs w:val="32"/>
          <w:highlight w:val="none"/>
          <w:lang w:val="en-US" w:eastAsia="zh-CN"/>
        </w:rPr>
        <w:t>34.3</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，下降原因主要是</w:t>
      </w:r>
      <w:r>
        <w:rPr>
          <w:rFonts w:hint="eastAsia" w:ascii="仿宋_GB2312" w:hAnsi="仿宋" w:eastAsia="仿宋_GB2312"/>
          <w:color w:val="auto"/>
          <w:sz w:val="32"/>
          <w:szCs w:val="32"/>
          <w:highlight w:val="none"/>
          <w:lang w:eastAsia="zh-CN"/>
        </w:rPr>
        <w:t>公积金支出减少</w:t>
      </w:r>
      <w:r>
        <w:rPr>
          <w:rFonts w:hint="eastAsia" w:ascii="仿宋_GB2312" w:hAnsi="仿宋" w:eastAsia="仿宋_GB2312"/>
          <w:color w:val="auto"/>
          <w:sz w:val="32"/>
          <w:szCs w:val="32"/>
          <w:highlight w:val="none"/>
        </w:rPr>
        <w:t>。</w:t>
      </w:r>
    </w:p>
    <w:p>
      <w:pPr>
        <w:adjustRightInd w:val="0"/>
        <w:snapToGrid w:val="0"/>
        <w:spacing w:line="600" w:lineRule="exact"/>
        <w:ind w:firstLine="643" w:firstLineChars="200"/>
        <w:rPr>
          <w:rFonts w:ascii="仿宋_GB2312" w:hAnsi="仿宋" w:eastAsia="仿宋_GB2312"/>
          <w:color w:val="auto"/>
          <w:sz w:val="32"/>
          <w:szCs w:val="32"/>
          <w:highlight w:val="none"/>
        </w:rPr>
      </w:pPr>
      <w:r>
        <w:rPr>
          <w:rFonts w:hint="eastAsia" w:ascii="仿宋_GB2312" w:hAnsi="仿宋" w:eastAsia="仿宋_GB2312"/>
          <w:b/>
          <w:color w:val="auto"/>
          <w:sz w:val="32"/>
          <w:szCs w:val="32"/>
          <w:highlight w:val="none"/>
          <w:lang w:val="en-US" w:eastAsia="zh-CN"/>
        </w:rPr>
        <w:t>10</w:t>
      </w:r>
      <w:r>
        <w:rPr>
          <w:rFonts w:ascii="仿宋_GB2312" w:hAnsi="仿宋" w:eastAsia="仿宋_GB2312"/>
          <w:b/>
          <w:color w:val="auto"/>
          <w:sz w:val="32"/>
          <w:szCs w:val="32"/>
          <w:highlight w:val="none"/>
        </w:rPr>
        <w:t>.</w:t>
      </w:r>
      <w:r>
        <w:rPr>
          <w:rFonts w:hint="eastAsia" w:ascii="仿宋_GB2312" w:hAnsi="仿宋" w:eastAsia="仿宋_GB2312"/>
          <w:b/>
          <w:color w:val="auto"/>
          <w:sz w:val="32"/>
          <w:szCs w:val="32"/>
          <w:highlight w:val="none"/>
        </w:rPr>
        <w:t>住房保障支出（类）住房改革支出（款）提租补贴（项）</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年预算</w:t>
      </w:r>
      <w:r>
        <w:rPr>
          <w:rFonts w:hint="eastAsia" w:ascii="仿宋_GB2312" w:hAnsi="仿宋" w:eastAsia="仿宋_GB2312"/>
          <w:color w:val="auto"/>
          <w:sz w:val="32"/>
          <w:szCs w:val="32"/>
          <w:highlight w:val="none"/>
          <w:lang w:val="en-US" w:eastAsia="zh-CN"/>
        </w:rPr>
        <w:t>30.59</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年预算增加</w:t>
      </w:r>
      <w:r>
        <w:rPr>
          <w:rFonts w:hint="eastAsia" w:ascii="仿宋_GB2312" w:hAnsi="仿宋" w:eastAsia="仿宋_GB2312"/>
          <w:color w:val="auto"/>
          <w:sz w:val="32"/>
          <w:szCs w:val="32"/>
          <w:highlight w:val="none"/>
          <w:lang w:val="en-US" w:eastAsia="zh-CN"/>
        </w:rPr>
        <w:t>30.59</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100</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增加提租补贴支出。</w:t>
      </w:r>
    </w:p>
    <w:p>
      <w:pPr>
        <w:pStyle w:val="4"/>
        <w:adjustRightInd w:val="0"/>
        <w:snapToGrid w:val="0"/>
        <w:spacing w:before="0" w:beforeAutospacing="0" w:after="0" w:afterAutospacing="0" w:line="600" w:lineRule="exact"/>
        <w:ind w:firstLine="640" w:firstLineChars="200"/>
        <w:rPr>
          <w:rFonts w:ascii="黑体" w:eastAsia="黑体"/>
          <w:color w:val="auto"/>
          <w:highlight w:val="none"/>
        </w:rPr>
      </w:pPr>
      <w:r>
        <w:rPr>
          <w:rFonts w:hint="eastAsia" w:ascii="黑体" w:hAnsi="仿宋" w:eastAsia="黑体" w:cs="Times New Roman"/>
          <w:color w:val="auto"/>
          <w:kern w:val="2"/>
          <w:sz w:val="32"/>
          <w:szCs w:val="32"/>
          <w:highlight w:val="none"/>
        </w:rPr>
        <w:t>六、关于</w:t>
      </w:r>
      <w:r>
        <w:rPr>
          <w:rFonts w:ascii="黑体" w:hAnsi="仿宋" w:eastAsia="黑体" w:cs="Times New Roman"/>
          <w:color w:val="auto"/>
          <w:kern w:val="2"/>
          <w:sz w:val="32"/>
          <w:szCs w:val="32"/>
          <w:highlight w:val="none"/>
        </w:rPr>
        <w:t>2022</w:t>
      </w:r>
      <w:r>
        <w:rPr>
          <w:rFonts w:hint="eastAsia" w:ascii="黑体" w:hAnsi="仿宋" w:eastAsia="黑体" w:cs="Times New Roman"/>
          <w:color w:val="auto"/>
          <w:kern w:val="2"/>
          <w:sz w:val="32"/>
          <w:szCs w:val="32"/>
          <w:highlight w:val="none"/>
        </w:rPr>
        <w:t>年一般公共预算基本支出表的说明</w:t>
      </w:r>
    </w:p>
    <w:p>
      <w:pPr>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淮南市八公山区环境卫生管理处</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年一般公共预算基本支出</w:t>
      </w:r>
      <w:r>
        <w:rPr>
          <w:rFonts w:hint="eastAsia" w:ascii="仿宋_GB2312" w:hAnsi="仿宋" w:eastAsia="仿宋_GB2312"/>
          <w:color w:val="auto"/>
          <w:sz w:val="32"/>
          <w:szCs w:val="32"/>
          <w:highlight w:val="none"/>
          <w:lang w:val="en-US" w:eastAsia="zh-CN"/>
        </w:rPr>
        <w:t>348.42</w:t>
      </w:r>
      <w:r>
        <w:rPr>
          <w:rFonts w:hint="eastAsia" w:ascii="仿宋_GB2312" w:hAnsi="仿宋" w:eastAsia="仿宋_GB2312"/>
          <w:color w:val="auto"/>
          <w:sz w:val="32"/>
          <w:szCs w:val="32"/>
          <w:highlight w:val="none"/>
        </w:rPr>
        <w:t>万元，其中，人员经费</w:t>
      </w:r>
      <w:r>
        <w:rPr>
          <w:rFonts w:hint="eastAsia" w:ascii="仿宋_GB2312" w:hAnsi="仿宋" w:eastAsia="仿宋_GB2312"/>
          <w:color w:val="auto"/>
          <w:sz w:val="32"/>
          <w:szCs w:val="32"/>
          <w:highlight w:val="none"/>
          <w:lang w:val="en-US" w:eastAsia="zh-CN"/>
        </w:rPr>
        <w:t>339.2</w:t>
      </w:r>
      <w:r>
        <w:rPr>
          <w:rFonts w:hint="eastAsia" w:ascii="仿宋_GB2312" w:hAnsi="仿宋" w:eastAsia="仿宋_GB2312"/>
          <w:color w:val="auto"/>
          <w:sz w:val="32"/>
          <w:szCs w:val="32"/>
          <w:highlight w:val="none"/>
        </w:rPr>
        <w:t>万元，公用经费</w:t>
      </w:r>
      <w:r>
        <w:rPr>
          <w:rFonts w:hint="eastAsia" w:ascii="仿宋_GB2312" w:hAnsi="仿宋" w:eastAsia="仿宋_GB2312"/>
          <w:color w:val="auto"/>
          <w:sz w:val="32"/>
          <w:szCs w:val="32"/>
          <w:highlight w:val="none"/>
          <w:lang w:val="en-US" w:eastAsia="zh-CN"/>
        </w:rPr>
        <w:t>9.22</w:t>
      </w:r>
      <w:r>
        <w:rPr>
          <w:rFonts w:hint="eastAsia" w:ascii="仿宋_GB2312" w:hAnsi="仿宋" w:eastAsia="仿宋_GB2312"/>
          <w:color w:val="auto"/>
          <w:sz w:val="32"/>
          <w:szCs w:val="32"/>
          <w:highlight w:val="none"/>
        </w:rPr>
        <w:t>万元。</w:t>
      </w:r>
    </w:p>
    <w:p>
      <w:pPr>
        <w:ind w:firstLine="640" w:firstLineChars="200"/>
        <w:rPr>
          <w:rFonts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rPr>
        <w:t>（一）人员经费</w:t>
      </w:r>
      <w:r>
        <w:rPr>
          <w:rFonts w:hint="eastAsia" w:ascii="仿宋_GB2312" w:hAnsi="仿宋" w:eastAsia="仿宋_GB2312"/>
          <w:color w:val="auto"/>
          <w:sz w:val="32"/>
          <w:szCs w:val="32"/>
          <w:highlight w:val="none"/>
          <w:lang w:val="en-US" w:eastAsia="zh-CN"/>
        </w:rPr>
        <w:t>339.2</w:t>
      </w:r>
      <w:r>
        <w:rPr>
          <w:rFonts w:hint="eastAsia" w:ascii="仿宋_GB2312" w:hAnsi="仿宋" w:eastAsia="仿宋_GB2312"/>
          <w:color w:val="auto"/>
          <w:sz w:val="32"/>
          <w:szCs w:val="32"/>
          <w:highlight w:val="none"/>
        </w:rPr>
        <w:t>万元，主要包括</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u w:val="none"/>
        </w:rPr>
        <w:t>基本工资、津贴补贴、奖金、绩效工资、机关事业单位基本养老保险费、职业年金缴费、职工基本医疗保险缴费、公务员医疗补助缴费、其他社会保障缴费、住房公积金、其他工资福利支出、离休费、退休费、奖励金。</w:t>
      </w:r>
    </w:p>
    <w:p>
      <w:pPr>
        <w:ind w:firstLine="640" w:firstLineChars="200"/>
        <w:rPr>
          <w:rFonts w:ascii="楷体_GB2312" w:hAnsi="仿宋" w:eastAsia="楷体_GB2312"/>
          <w:color w:val="auto"/>
          <w:sz w:val="32"/>
          <w:szCs w:val="32"/>
          <w:highlight w:val="none"/>
        </w:rPr>
      </w:pPr>
      <w:r>
        <w:rPr>
          <w:rFonts w:hint="eastAsia" w:ascii="仿宋_GB2312" w:hAnsi="仿宋" w:eastAsia="仿宋_GB2312"/>
          <w:color w:val="auto"/>
          <w:sz w:val="32"/>
          <w:szCs w:val="32"/>
          <w:highlight w:val="none"/>
        </w:rPr>
        <w:t>（二）公用经费</w:t>
      </w:r>
      <w:r>
        <w:rPr>
          <w:rFonts w:hint="eastAsia" w:ascii="仿宋_GB2312" w:hAnsi="仿宋" w:eastAsia="仿宋_GB2312"/>
          <w:color w:val="auto"/>
          <w:sz w:val="32"/>
          <w:szCs w:val="32"/>
          <w:highlight w:val="none"/>
          <w:lang w:val="en-US" w:eastAsia="zh-CN"/>
        </w:rPr>
        <w:t>9.22</w:t>
      </w:r>
      <w:r>
        <w:rPr>
          <w:rFonts w:hint="eastAsia" w:ascii="仿宋_GB2312" w:hAnsi="仿宋" w:eastAsia="仿宋_GB2312"/>
          <w:color w:val="auto"/>
          <w:sz w:val="32"/>
          <w:szCs w:val="32"/>
          <w:highlight w:val="none"/>
        </w:rPr>
        <w:t>万元，主要包括：</w:t>
      </w:r>
      <w:r>
        <w:rPr>
          <w:rFonts w:hint="eastAsia" w:ascii="仿宋_GB2312" w:hAnsi="仿宋" w:eastAsia="仿宋_GB2312"/>
          <w:color w:val="auto"/>
          <w:sz w:val="32"/>
          <w:szCs w:val="32"/>
          <w:highlight w:val="none"/>
          <w:u w:val="none"/>
        </w:rPr>
        <w:t>培训费、工会经费、福利费、公务用车运行维护费。</w:t>
      </w:r>
    </w:p>
    <w:p>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rPr>
        <w:t>七、关于</w:t>
      </w:r>
      <w:r>
        <w:rPr>
          <w:rFonts w:ascii="黑体" w:hAnsi="仿宋" w:eastAsia="黑体"/>
          <w:color w:val="auto"/>
          <w:sz w:val="32"/>
          <w:szCs w:val="32"/>
          <w:highlight w:val="none"/>
        </w:rPr>
        <w:t>2022</w:t>
      </w:r>
      <w:r>
        <w:rPr>
          <w:rFonts w:hint="eastAsia" w:ascii="黑体" w:hAnsi="仿宋" w:eastAsia="黑体"/>
          <w:color w:val="auto"/>
          <w:sz w:val="32"/>
          <w:szCs w:val="32"/>
          <w:highlight w:val="none"/>
        </w:rPr>
        <w:t>年政府性基金预算支出表的说明</w:t>
      </w:r>
    </w:p>
    <w:p>
      <w:pPr>
        <w:pStyle w:val="4"/>
        <w:adjustRightInd w:val="0"/>
        <w:snapToGrid w:val="0"/>
        <w:spacing w:before="0" w:beforeAutospacing="0" w:after="0" w:afterAutospacing="0" w:line="58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淮南市八公山区环境卫生管理处</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年没有政府性基金预算拨款收入，也没有使用政府性基金预算拨款安排的支出。</w:t>
      </w:r>
    </w:p>
    <w:p>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rPr>
        <w:t>八、关于</w:t>
      </w:r>
      <w:r>
        <w:rPr>
          <w:rFonts w:ascii="黑体" w:hAnsi="仿宋" w:eastAsia="黑体"/>
          <w:color w:val="auto"/>
          <w:sz w:val="32"/>
          <w:szCs w:val="32"/>
          <w:highlight w:val="none"/>
        </w:rPr>
        <w:t>2022</w:t>
      </w:r>
      <w:r>
        <w:rPr>
          <w:rFonts w:hint="eastAsia" w:ascii="黑体" w:hAnsi="仿宋" w:eastAsia="黑体"/>
          <w:color w:val="auto"/>
          <w:sz w:val="32"/>
          <w:szCs w:val="32"/>
          <w:highlight w:val="none"/>
        </w:rPr>
        <w:t>年国有资本经营预算支出表的说明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淮南市八公山区环境卫生管理处</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年没有国有资本经营预算拨款收入，也没有使用国有资本经营预算拨款安排的支出。</w:t>
      </w:r>
    </w:p>
    <w:p>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rPr>
        <w:t>九、关于</w:t>
      </w:r>
      <w:r>
        <w:rPr>
          <w:rFonts w:ascii="黑体" w:hAnsi="仿宋" w:eastAsia="黑体"/>
          <w:color w:val="auto"/>
          <w:sz w:val="32"/>
          <w:szCs w:val="32"/>
          <w:highlight w:val="none"/>
        </w:rPr>
        <w:t>2022</w:t>
      </w:r>
      <w:r>
        <w:rPr>
          <w:rFonts w:hint="eastAsia" w:ascii="黑体" w:hAnsi="仿宋" w:eastAsia="黑体"/>
          <w:color w:val="auto"/>
          <w:sz w:val="32"/>
          <w:szCs w:val="32"/>
          <w:highlight w:val="none"/>
        </w:rPr>
        <w:t>年项目支出表的说明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淮南市八公山区环境卫生管理处</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年预算共安排项目支出</w:t>
      </w:r>
      <w:r>
        <w:rPr>
          <w:rFonts w:hint="eastAsia" w:ascii="仿宋_GB2312" w:hAnsi="仿宋" w:eastAsia="仿宋_GB2312"/>
          <w:color w:val="auto"/>
          <w:sz w:val="32"/>
          <w:szCs w:val="32"/>
          <w:highlight w:val="none"/>
          <w:lang w:val="en-US" w:eastAsia="zh-CN"/>
        </w:rPr>
        <w:t>2202.18</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年预算增加</w:t>
      </w:r>
      <w:r>
        <w:rPr>
          <w:rFonts w:hint="eastAsia" w:ascii="仿宋_GB2312" w:hAnsi="仿宋" w:eastAsia="仿宋_GB2312"/>
          <w:color w:val="auto"/>
          <w:sz w:val="32"/>
          <w:szCs w:val="32"/>
          <w:highlight w:val="none"/>
          <w:lang w:val="en-US" w:eastAsia="zh-CN"/>
        </w:rPr>
        <w:t>1450.08</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192.8</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w:t>
      </w:r>
      <w:r>
        <w:rPr>
          <w:rFonts w:hint="eastAsia" w:ascii="仿宋_GB2312" w:hAnsi="仿宋" w:eastAsia="仿宋_GB2312"/>
          <w:color w:val="auto"/>
          <w:sz w:val="32"/>
          <w:szCs w:val="32"/>
          <w:highlight w:val="none"/>
          <w:lang w:eastAsia="zh-CN"/>
        </w:rPr>
        <w:t>项目支出增加</w:t>
      </w:r>
      <w:r>
        <w:rPr>
          <w:rFonts w:hint="eastAsia" w:ascii="仿宋_GB2312" w:hAnsi="仿宋" w:eastAsia="仿宋_GB2312"/>
          <w:color w:val="auto"/>
          <w:sz w:val="32"/>
          <w:szCs w:val="32"/>
          <w:highlight w:val="none"/>
        </w:rPr>
        <w:t>。主要包括：本年财政拨款安排</w:t>
      </w:r>
      <w:r>
        <w:rPr>
          <w:rFonts w:hint="eastAsia" w:ascii="仿宋_GB2312" w:hAnsi="仿宋" w:eastAsia="仿宋_GB2312"/>
          <w:color w:val="auto"/>
          <w:sz w:val="32"/>
          <w:szCs w:val="32"/>
          <w:highlight w:val="none"/>
          <w:lang w:val="en-US" w:eastAsia="zh-CN"/>
        </w:rPr>
        <w:t>2202.18</w:t>
      </w:r>
      <w:r>
        <w:rPr>
          <w:rFonts w:hint="eastAsia" w:ascii="仿宋_GB2312" w:hAnsi="仿宋" w:eastAsia="仿宋_GB2312"/>
          <w:color w:val="auto"/>
          <w:sz w:val="32"/>
          <w:szCs w:val="32"/>
          <w:highlight w:val="none"/>
        </w:rPr>
        <w:t>万元（其中，一般公共预算拨款安排</w:t>
      </w:r>
      <w:r>
        <w:rPr>
          <w:rFonts w:hint="eastAsia" w:ascii="仿宋_GB2312" w:hAnsi="仿宋" w:eastAsia="仿宋_GB2312"/>
          <w:color w:val="auto"/>
          <w:sz w:val="32"/>
          <w:szCs w:val="32"/>
          <w:highlight w:val="none"/>
          <w:lang w:val="en-US" w:eastAsia="zh-CN"/>
        </w:rPr>
        <w:t>2202.18</w:t>
      </w:r>
      <w:r>
        <w:rPr>
          <w:rFonts w:hint="eastAsia" w:ascii="仿宋_GB2312" w:hAnsi="仿宋" w:eastAsia="仿宋_GB2312"/>
          <w:color w:val="auto"/>
          <w:sz w:val="32"/>
          <w:szCs w:val="32"/>
          <w:highlight w:val="none"/>
        </w:rPr>
        <w:t>万元），财政拨款结转结余安排</w:t>
      </w:r>
      <w:r>
        <w:rPr>
          <w:rFonts w:ascii="仿宋_GB2312" w:hAnsi="仿宋" w:eastAsia="仿宋_GB2312"/>
          <w:color w:val="auto"/>
          <w:sz w:val="32"/>
          <w:szCs w:val="32"/>
          <w:highlight w:val="none"/>
        </w:rPr>
        <w:t xml:space="preserve"> </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rPr>
        <w:t>万元、财政专户管理资金安排</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rPr>
        <w:t>万元和单位资金安排</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rPr>
        <w:t>万元。</w:t>
      </w:r>
    </w:p>
    <w:p>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rPr>
        <w:t>十、关于</w:t>
      </w:r>
      <w:r>
        <w:rPr>
          <w:rFonts w:ascii="黑体" w:hAnsi="仿宋" w:eastAsia="黑体"/>
          <w:color w:val="auto"/>
          <w:sz w:val="32"/>
          <w:szCs w:val="32"/>
          <w:highlight w:val="none"/>
        </w:rPr>
        <w:t>2022</w:t>
      </w:r>
      <w:r>
        <w:rPr>
          <w:rFonts w:hint="eastAsia" w:ascii="黑体" w:hAnsi="仿宋" w:eastAsia="黑体"/>
          <w:color w:val="auto"/>
          <w:sz w:val="32"/>
          <w:szCs w:val="32"/>
          <w:highlight w:val="none"/>
        </w:rPr>
        <w:t>年政府采购支出表的说明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淮南市八公山区环境卫生管理处</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年没有使用一般公共预算拨款、政府性基金预算拨款、国有资本经营预算拨款、财政专户管理资金和单位资金安排的政府采购支出。</w:t>
      </w:r>
    </w:p>
    <w:p>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highlight w:val="none"/>
        </w:rPr>
      </w:pPr>
      <w:r>
        <w:rPr>
          <w:rFonts w:hint="eastAsia" w:ascii="黑体" w:hAnsi="仿宋" w:eastAsia="黑体"/>
          <w:color w:val="auto"/>
          <w:sz w:val="32"/>
          <w:szCs w:val="32"/>
          <w:highlight w:val="none"/>
        </w:rPr>
        <w:t>十一、关于</w:t>
      </w:r>
      <w:r>
        <w:rPr>
          <w:rFonts w:ascii="黑体" w:hAnsi="仿宋" w:eastAsia="黑体"/>
          <w:color w:val="auto"/>
          <w:sz w:val="32"/>
          <w:szCs w:val="32"/>
          <w:highlight w:val="none"/>
        </w:rPr>
        <w:t>2022</w:t>
      </w:r>
      <w:r>
        <w:rPr>
          <w:rFonts w:hint="eastAsia" w:ascii="黑体" w:hAnsi="仿宋" w:eastAsia="黑体"/>
          <w:color w:val="auto"/>
          <w:sz w:val="32"/>
          <w:szCs w:val="32"/>
          <w:highlight w:val="none"/>
        </w:rPr>
        <w:t>年政府购买服务支出表的说明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eastAsia="zh-CN"/>
        </w:rPr>
        <w:t>淮南市八公山区环境卫生管理处</w:t>
      </w: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年预算安排政府购买服务支出</w:t>
      </w:r>
      <w:r>
        <w:rPr>
          <w:rFonts w:hint="eastAsia" w:ascii="仿宋_GB2312" w:hAnsi="仿宋" w:eastAsia="仿宋_GB2312"/>
          <w:color w:val="auto"/>
          <w:sz w:val="32"/>
          <w:szCs w:val="32"/>
          <w:highlight w:val="none"/>
          <w:lang w:val="en-US" w:eastAsia="zh-CN"/>
        </w:rPr>
        <w:t>1044.02</w:t>
      </w:r>
      <w:r>
        <w:rPr>
          <w:rFonts w:hint="eastAsia" w:ascii="仿宋_GB2312" w:hAnsi="仿宋" w:eastAsia="仿宋_GB2312"/>
          <w:color w:val="auto"/>
          <w:sz w:val="32"/>
          <w:szCs w:val="32"/>
          <w:highlight w:val="none"/>
        </w:rPr>
        <w:t>万元，比</w:t>
      </w:r>
      <w:r>
        <w:rPr>
          <w:rFonts w:ascii="仿宋_GB2312" w:hAnsi="仿宋" w:eastAsia="仿宋_GB2312"/>
          <w:color w:val="auto"/>
          <w:sz w:val="32"/>
          <w:szCs w:val="32"/>
          <w:highlight w:val="none"/>
        </w:rPr>
        <w:t>2021</w:t>
      </w:r>
      <w:r>
        <w:rPr>
          <w:rFonts w:hint="eastAsia" w:ascii="仿宋_GB2312" w:hAnsi="仿宋" w:eastAsia="仿宋_GB2312"/>
          <w:color w:val="auto"/>
          <w:sz w:val="32"/>
          <w:szCs w:val="32"/>
          <w:highlight w:val="none"/>
        </w:rPr>
        <w:t>年预算增加</w:t>
      </w:r>
      <w:r>
        <w:rPr>
          <w:rFonts w:hint="eastAsia" w:ascii="仿宋_GB2312" w:hAnsi="仿宋" w:eastAsia="仿宋_GB2312"/>
          <w:color w:val="auto"/>
          <w:sz w:val="32"/>
          <w:szCs w:val="32"/>
          <w:highlight w:val="none"/>
          <w:lang w:val="en-US" w:eastAsia="zh-CN"/>
        </w:rPr>
        <w:t>1044.02</w:t>
      </w:r>
      <w:r>
        <w:rPr>
          <w:rFonts w:hint="eastAsia" w:ascii="仿宋_GB2312" w:hAnsi="仿宋" w:eastAsia="仿宋_GB2312"/>
          <w:color w:val="auto"/>
          <w:sz w:val="32"/>
          <w:szCs w:val="32"/>
          <w:highlight w:val="none"/>
        </w:rPr>
        <w:t>万元，增长</w:t>
      </w:r>
      <w:r>
        <w:rPr>
          <w:rFonts w:hint="eastAsia" w:ascii="仿宋_GB2312" w:hAnsi="仿宋" w:eastAsia="仿宋_GB2312"/>
          <w:color w:val="auto"/>
          <w:sz w:val="32"/>
          <w:szCs w:val="32"/>
          <w:highlight w:val="none"/>
          <w:lang w:val="en-US" w:eastAsia="zh-CN"/>
        </w:rPr>
        <w:t>100</w:t>
      </w:r>
      <w:r>
        <w:rPr>
          <w:rFonts w:ascii="仿宋_GB2312" w:hAnsi="仿宋" w:eastAsia="仿宋_GB2312"/>
          <w:color w:val="auto"/>
          <w:sz w:val="32"/>
          <w:szCs w:val="32"/>
          <w:highlight w:val="none"/>
        </w:rPr>
        <w:t>%</w:t>
      </w:r>
      <w:r>
        <w:rPr>
          <w:rFonts w:hint="eastAsia" w:ascii="仿宋_GB2312" w:hAnsi="仿宋" w:eastAsia="仿宋_GB2312"/>
          <w:color w:val="auto"/>
          <w:sz w:val="32"/>
          <w:szCs w:val="32"/>
          <w:highlight w:val="none"/>
        </w:rPr>
        <w:t>，增长原因主要是公共设施管理服务</w:t>
      </w:r>
      <w:r>
        <w:rPr>
          <w:rFonts w:hint="eastAsia" w:ascii="仿宋_GB2312" w:hAnsi="仿宋" w:eastAsia="仿宋_GB2312"/>
          <w:color w:val="auto"/>
          <w:sz w:val="32"/>
          <w:szCs w:val="32"/>
          <w:highlight w:val="none"/>
          <w:lang w:eastAsia="zh-CN"/>
        </w:rPr>
        <w:t>支出增加</w:t>
      </w:r>
      <w:r>
        <w:rPr>
          <w:rFonts w:hint="eastAsia" w:ascii="仿宋_GB2312" w:hAnsi="仿宋" w:eastAsia="仿宋_GB2312"/>
          <w:color w:val="auto"/>
          <w:sz w:val="32"/>
          <w:szCs w:val="32"/>
          <w:highlight w:val="none"/>
        </w:rPr>
        <w:t>。</w:t>
      </w:r>
    </w:p>
    <w:p>
      <w:pPr>
        <w:adjustRightInd w:val="0"/>
        <w:snapToGrid w:val="0"/>
        <w:spacing w:line="60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十二、其他重要事项情况说明</w:t>
      </w:r>
    </w:p>
    <w:p>
      <w:pPr>
        <w:adjustRightInd w:val="0"/>
        <w:snapToGrid w:val="0"/>
        <w:spacing w:line="600" w:lineRule="exact"/>
        <w:ind w:firstLine="643" w:firstLineChars="200"/>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（一）项目及绩效目标情况。</w:t>
      </w:r>
    </w:p>
    <w:p>
      <w:pPr>
        <w:adjustRightInd w:val="0"/>
        <w:snapToGrid w:val="0"/>
        <w:spacing w:line="600" w:lineRule="exact"/>
        <w:ind w:firstLine="803" w:firstLineChars="250"/>
        <w:rPr>
          <w:rFonts w:hint="eastAsia"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1.“八公山镇乡镇环卫市场化公司服务采购”项目</w:t>
      </w:r>
    </w:p>
    <w:p>
      <w:pPr>
        <w:adjustRightInd w:val="0"/>
        <w:snapToGri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（1）项目概述和内容</w:t>
      </w:r>
    </w:p>
    <w:p>
      <w:pPr>
        <w:adjustRightInd w:val="0"/>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为贯彻习近平总书记关于农村人居环境整治工作的重要批示指示精神，落实安徽省委省政府关于农村生活垃圾治理的工作部署，进一步改善八公山镇、山王镇农村环境卫生面貌，在两镇共21个行政村实行环卫市场化作业，包括两镇农村范围内的清扫保洁、生活垃圾收集和清运等。</w:t>
      </w:r>
    </w:p>
    <w:p>
      <w:pPr>
        <w:spacing w:line="600" w:lineRule="exact"/>
        <w:ind w:firstLine="585" w:firstLineChars="183"/>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（2）立项依据</w:t>
      </w:r>
    </w:p>
    <w:p>
      <w:pPr>
        <w:spacing w:line="600" w:lineRule="exact"/>
        <w:ind w:firstLine="585" w:firstLineChars="183"/>
        <w:rPr>
          <w:rFonts w:ascii="仿宋" w:hAnsi="仿宋" w:eastAsia="仿宋"/>
          <w:color w:val="auto"/>
          <w:sz w:val="32"/>
          <w:szCs w:val="32"/>
          <w:highlight w:val="none"/>
        </w:rPr>
      </w:pPr>
      <w:r>
        <w:rPr>
          <w:rFonts w:hint="eastAsia" w:ascii="仿宋" w:hAnsi="仿宋" w:eastAsia="仿宋"/>
          <w:color w:val="auto"/>
          <w:sz w:val="32"/>
          <w:szCs w:val="32"/>
          <w:highlight w:val="none"/>
        </w:rPr>
        <w:t>八公山区人民政府第17届第70次常务会议纪要。</w:t>
      </w:r>
    </w:p>
    <w:p>
      <w:pPr>
        <w:adjustRightInd w:val="0"/>
        <w:snapToGri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（3）实施主体和起止时间</w:t>
      </w:r>
    </w:p>
    <w:p>
      <w:pPr>
        <w:adjustRightInd w:val="0"/>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实施主体是八公山区环卫处，起止时间为2021年4月1日至2024年3月31日。</w:t>
      </w:r>
    </w:p>
    <w:p>
      <w:pPr>
        <w:adjustRightInd w:val="0"/>
        <w:snapToGri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（4）年度预算安排</w:t>
      </w:r>
    </w:p>
    <w:p>
      <w:pPr>
        <w:adjustRightInd w:val="0"/>
        <w:snapToGrid w:val="0"/>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158.67</w:t>
      </w:r>
      <w:r>
        <w:rPr>
          <w:rFonts w:hint="eastAsia" w:ascii="仿宋" w:hAnsi="仿宋" w:eastAsia="仿宋"/>
          <w:color w:val="auto"/>
          <w:sz w:val="32"/>
          <w:szCs w:val="32"/>
          <w:highlight w:val="none"/>
        </w:rPr>
        <w:t>万元。</w:t>
      </w:r>
    </w:p>
    <w:p>
      <w:pPr>
        <w:adjustRightInd w:val="0"/>
        <w:snapToGri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（5）绩效目标和指标</w:t>
      </w:r>
    </w:p>
    <w:p>
      <w:pPr>
        <w:adjustRightInd w:val="0"/>
        <w:snapToGri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数量指标：对八公山区两个乡镇共21个行政村清扫保洁，生活垃圾及时清运。</w:t>
      </w:r>
      <w:r>
        <w:rPr>
          <w:rFonts w:hint="eastAsia" w:ascii="仿宋" w:hAnsi="仿宋" w:eastAsia="仿宋"/>
          <w:color w:val="auto"/>
          <w:sz w:val="32"/>
          <w:szCs w:val="32"/>
          <w:highlight w:val="none"/>
        </w:rPr>
        <w:tab/>
      </w:r>
    </w:p>
    <w:p>
      <w:pPr>
        <w:adjustRightInd w:val="0"/>
        <w:snapToGri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质量指标：达到《八公山区乡镇环卫市场化考核标准》要求，提升农村环境卫生工作水平。</w:t>
      </w:r>
    </w:p>
    <w:p>
      <w:pPr>
        <w:adjustRightInd w:val="0"/>
        <w:snapToGri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时效指标：按照乡镇环卫市场化《合同》完成年度工作任务和计划。</w:t>
      </w:r>
    </w:p>
    <w:p>
      <w:pPr>
        <w:adjustRightInd w:val="0"/>
        <w:snapToGri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成本指标：依据招标文件和《合同》规定不得超过年度预算金额。</w:t>
      </w:r>
    </w:p>
    <w:p>
      <w:pPr>
        <w:adjustRightInd w:val="0"/>
        <w:snapToGri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经济效益指标：通过项目的实施，提升农村环境卫生质量，减轻环境污染，减少政府对治理环境污染方面的资金投入。</w:t>
      </w:r>
      <w:r>
        <w:rPr>
          <w:rFonts w:hint="eastAsia" w:ascii="仿宋" w:hAnsi="仿宋" w:eastAsia="仿宋"/>
          <w:color w:val="auto"/>
          <w:sz w:val="32"/>
          <w:szCs w:val="32"/>
          <w:highlight w:val="none"/>
        </w:rPr>
        <w:tab/>
      </w:r>
      <w:r>
        <w:rPr>
          <w:rFonts w:hint="eastAsia" w:ascii="仿宋" w:hAnsi="仿宋" w:eastAsia="仿宋"/>
          <w:color w:val="auto"/>
          <w:sz w:val="32"/>
          <w:szCs w:val="32"/>
          <w:highlight w:val="none"/>
        </w:rPr>
        <w:tab/>
      </w:r>
      <w:r>
        <w:rPr>
          <w:rFonts w:hint="eastAsia" w:ascii="仿宋" w:hAnsi="仿宋" w:eastAsia="仿宋"/>
          <w:color w:val="auto"/>
          <w:sz w:val="32"/>
          <w:szCs w:val="32"/>
          <w:highlight w:val="none"/>
        </w:rPr>
        <w:t xml:space="preserve"> </w:t>
      </w:r>
    </w:p>
    <w:p>
      <w:pPr>
        <w:adjustRightInd w:val="0"/>
        <w:snapToGri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社会效益指标：通过项目实施，提升农村环境卫生水平和人居环境水平，改善我区城乡大环境，提升广大农村群众的幸福感、满意度。</w:t>
      </w:r>
      <w:r>
        <w:rPr>
          <w:rFonts w:hint="eastAsia" w:ascii="仿宋" w:hAnsi="仿宋" w:eastAsia="仿宋"/>
          <w:color w:val="auto"/>
          <w:sz w:val="32"/>
          <w:szCs w:val="32"/>
          <w:highlight w:val="none"/>
        </w:rPr>
        <w:tab/>
      </w:r>
    </w:p>
    <w:p>
      <w:pPr>
        <w:adjustRightInd w:val="0"/>
        <w:snapToGri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生态效益指标：对天蓝地净的环境起到积极作用、减轻扬尘污染、改善市容环境。</w:t>
      </w:r>
      <w:r>
        <w:rPr>
          <w:rFonts w:hint="eastAsia" w:ascii="仿宋" w:hAnsi="仿宋" w:eastAsia="仿宋"/>
          <w:color w:val="auto"/>
          <w:sz w:val="32"/>
          <w:szCs w:val="32"/>
          <w:highlight w:val="none"/>
        </w:rPr>
        <w:tab/>
      </w:r>
    </w:p>
    <w:p>
      <w:pPr>
        <w:adjustRightInd w:val="0"/>
        <w:snapToGrid w:val="0"/>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可持续影响指标</w:t>
      </w:r>
      <w:r>
        <w:rPr>
          <w:rFonts w:hint="eastAsia" w:ascii="仿宋" w:hAnsi="仿宋" w:eastAsia="仿宋"/>
          <w:color w:val="auto"/>
          <w:sz w:val="32"/>
          <w:szCs w:val="32"/>
          <w:highlight w:val="none"/>
        </w:rPr>
        <w:tab/>
      </w:r>
      <w:r>
        <w:rPr>
          <w:rFonts w:hint="eastAsia" w:ascii="仿宋" w:hAnsi="仿宋" w:eastAsia="仿宋"/>
          <w:color w:val="auto"/>
          <w:sz w:val="32"/>
          <w:szCs w:val="32"/>
          <w:highlight w:val="none"/>
        </w:rPr>
        <w:t>：逐步建立健全完善的农村环境卫生运行、考核和保障机制，促进八公山区城乡环卫一体化深入持续发展。</w:t>
      </w:r>
      <w:r>
        <w:rPr>
          <w:rFonts w:hint="eastAsia" w:ascii="仿宋" w:hAnsi="仿宋" w:eastAsia="仿宋"/>
          <w:color w:val="auto"/>
          <w:sz w:val="32"/>
          <w:szCs w:val="32"/>
          <w:highlight w:val="none"/>
        </w:rPr>
        <w:tab/>
      </w:r>
      <w:r>
        <w:rPr>
          <w:rFonts w:hint="eastAsia" w:ascii="仿宋" w:hAnsi="仿宋" w:eastAsia="仿宋"/>
          <w:color w:val="auto"/>
          <w:sz w:val="32"/>
          <w:szCs w:val="32"/>
          <w:highlight w:val="none"/>
        </w:rPr>
        <w:tab/>
      </w:r>
      <w:r>
        <w:rPr>
          <w:rFonts w:hint="eastAsia" w:ascii="仿宋" w:hAnsi="仿宋" w:eastAsia="仿宋"/>
          <w:color w:val="auto"/>
          <w:sz w:val="32"/>
          <w:szCs w:val="32"/>
          <w:highlight w:val="none"/>
        </w:rPr>
        <w:tab/>
      </w:r>
      <w:r>
        <w:rPr>
          <w:rFonts w:hint="eastAsia" w:ascii="仿宋" w:hAnsi="仿宋" w:eastAsia="仿宋"/>
          <w:color w:val="auto"/>
          <w:sz w:val="32"/>
          <w:szCs w:val="32"/>
          <w:highlight w:val="none"/>
        </w:rPr>
        <w:tab/>
      </w:r>
      <w:r>
        <w:rPr>
          <w:rFonts w:hint="eastAsia" w:ascii="仿宋" w:hAnsi="仿宋" w:eastAsia="仿宋"/>
          <w:color w:val="auto"/>
          <w:sz w:val="32"/>
          <w:szCs w:val="32"/>
          <w:highlight w:val="none"/>
        </w:rPr>
        <w:tab/>
      </w:r>
    </w:p>
    <w:p>
      <w:pPr>
        <w:adjustRightInd w:val="0"/>
        <w:snapToGrid w:val="0"/>
        <w:spacing w:line="600" w:lineRule="exact"/>
        <w:rPr>
          <w:rFonts w:ascii="仿宋_GB2312" w:hAnsi="楷体" w:eastAsia="仿宋_GB2312"/>
          <w:color w:val="auto"/>
          <w:sz w:val="32"/>
          <w:szCs w:val="32"/>
          <w:highlight w:val="none"/>
        </w:rPr>
      </w:pPr>
    </w:p>
    <w:p>
      <w:pPr>
        <w:adjustRightInd w:val="0"/>
        <w:snapToGrid w:val="0"/>
        <w:spacing w:line="600" w:lineRule="exact"/>
        <w:ind w:firstLine="640" w:firstLineChars="200"/>
        <w:rPr>
          <w:rFonts w:ascii="仿宋_GB2312" w:hAnsi="楷体" w:eastAsia="仿宋_GB2312"/>
          <w:color w:val="auto"/>
          <w:sz w:val="32"/>
          <w:szCs w:val="32"/>
          <w:highlight w:val="none"/>
        </w:rPr>
      </w:pPr>
    </w:p>
    <w:tbl>
      <w:tblPr>
        <w:tblStyle w:val="5"/>
        <w:tblW w:w="9020" w:type="dxa"/>
        <w:tblInd w:w="93" w:type="dxa"/>
        <w:tblLayout w:type="fixed"/>
        <w:tblCellMar>
          <w:top w:w="0" w:type="dxa"/>
          <w:left w:w="108" w:type="dxa"/>
          <w:bottom w:w="0" w:type="dxa"/>
          <w:right w:w="108" w:type="dxa"/>
        </w:tblCellMar>
      </w:tblPr>
      <w:tblGrid>
        <w:gridCol w:w="416"/>
        <w:gridCol w:w="650"/>
        <w:gridCol w:w="660"/>
        <w:gridCol w:w="828"/>
        <w:gridCol w:w="1536"/>
        <w:gridCol w:w="648"/>
        <w:gridCol w:w="816"/>
        <w:gridCol w:w="834"/>
        <w:gridCol w:w="1991"/>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color w:val="auto"/>
                <w:sz w:val="32"/>
                <w:szCs w:val="32"/>
                <w:highlight w:val="none"/>
              </w:rPr>
            </w:pPr>
          </w:p>
          <w:p>
            <w:pPr>
              <w:jc w:val="center"/>
              <w:rPr>
                <w:rFonts w:ascii="宋体" w:cs="宋体"/>
                <w:b/>
                <w:bCs/>
                <w:color w:val="auto"/>
                <w:sz w:val="32"/>
                <w:szCs w:val="32"/>
                <w:highlight w:val="none"/>
              </w:rPr>
            </w:pPr>
            <w:r>
              <w:rPr>
                <w:rFonts w:hint="eastAsia"/>
                <w:b/>
                <w:bCs/>
                <w:color w:val="auto"/>
                <w:sz w:val="32"/>
                <w:szCs w:val="32"/>
                <w:highlight w:val="none"/>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color w:val="auto"/>
                <w:sz w:val="20"/>
                <w:szCs w:val="20"/>
                <w:highlight w:val="none"/>
              </w:rPr>
            </w:pPr>
            <w:r>
              <w:rPr>
                <w:rFonts w:hint="eastAsia"/>
                <w:color w:val="auto"/>
                <w:sz w:val="20"/>
                <w:szCs w:val="20"/>
                <w:highlight w:val="none"/>
              </w:rPr>
              <w:t>（</w:t>
            </w:r>
            <w:r>
              <w:rPr>
                <w:color w:val="auto"/>
                <w:sz w:val="20"/>
                <w:szCs w:val="20"/>
                <w:highlight w:val="none"/>
              </w:rPr>
              <w:t xml:space="preserve">2022 </w:t>
            </w:r>
            <w:r>
              <w:rPr>
                <w:rFonts w:hint="eastAsia"/>
                <w:color w:val="auto"/>
                <w:sz w:val="20"/>
                <w:szCs w:val="20"/>
                <w:highlight w:val="none"/>
              </w:rPr>
              <w:t>年度）</w:t>
            </w:r>
          </w:p>
        </w:tc>
      </w:tr>
      <w:tr>
        <w:tblPrEx>
          <w:tblCellMar>
            <w:top w:w="0" w:type="dxa"/>
            <w:left w:w="108" w:type="dxa"/>
            <w:bottom w:w="0" w:type="dxa"/>
            <w:right w:w="108" w:type="dxa"/>
          </w:tblCellMar>
        </w:tblPrEx>
        <w:trPr>
          <w:trHeight w:val="330" w:hRule="atLeast"/>
        </w:trPr>
        <w:tc>
          <w:tcPr>
            <w:tcW w:w="10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项目名称</w:t>
            </w:r>
          </w:p>
        </w:tc>
        <w:tc>
          <w:tcPr>
            <w:tcW w:w="7954" w:type="dxa"/>
            <w:gridSpan w:val="8"/>
            <w:tcBorders>
              <w:top w:val="single" w:color="auto" w:sz="4" w:space="0"/>
              <w:left w:val="nil"/>
              <w:bottom w:val="single" w:color="auto" w:sz="4" w:space="0"/>
              <w:right w:val="single" w:color="000000" w:sz="4" w:space="0"/>
            </w:tcBorders>
            <w:vAlign w:val="center"/>
          </w:tcPr>
          <w:p>
            <w:pPr>
              <w:jc w:val="center"/>
              <w:rPr>
                <w:rFonts w:hint="eastAsia"/>
                <w:color w:val="auto"/>
                <w:sz w:val="20"/>
                <w:szCs w:val="20"/>
                <w:highlight w:val="none"/>
              </w:rPr>
            </w:pPr>
            <w:r>
              <w:rPr>
                <w:rFonts w:hint="eastAsia"/>
                <w:color w:val="auto"/>
                <w:sz w:val="20"/>
                <w:szCs w:val="20"/>
                <w:highlight w:val="none"/>
              </w:rPr>
              <w:t>八公山</w:t>
            </w:r>
            <w:r>
              <w:rPr>
                <w:rFonts w:hint="eastAsia"/>
                <w:color w:val="auto"/>
                <w:sz w:val="20"/>
                <w:szCs w:val="20"/>
                <w:highlight w:val="none"/>
                <w:lang w:eastAsia="zh-CN"/>
              </w:rPr>
              <w:t>区</w:t>
            </w:r>
            <w:r>
              <w:rPr>
                <w:rFonts w:hint="eastAsia"/>
                <w:color w:val="auto"/>
                <w:sz w:val="20"/>
                <w:szCs w:val="20"/>
                <w:highlight w:val="none"/>
              </w:rPr>
              <w:t>乡镇环卫市场化公司服务采购　</w:t>
            </w:r>
          </w:p>
        </w:tc>
      </w:tr>
      <w:tr>
        <w:tblPrEx>
          <w:tblCellMar>
            <w:top w:w="0" w:type="dxa"/>
            <w:left w:w="108" w:type="dxa"/>
            <w:bottom w:w="0" w:type="dxa"/>
            <w:right w:w="108" w:type="dxa"/>
          </w:tblCellMar>
        </w:tblPrEx>
        <w:trPr>
          <w:trHeight w:val="330" w:hRule="atLeast"/>
        </w:trPr>
        <w:tc>
          <w:tcPr>
            <w:tcW w:w="10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实施单位</w:t>
            </w:r>
          </w:p>
        </w:tc>
        <w:tc>
          <w:tcPr>
            <w:tcW w:w="7954" w:type="dxa"/>
            <w:gridSpan w:val="8"/>
            <w:tcBorders>
              <w:top w:val="single" w:color="auto" w:sz="4" w:space="0"/>
              <w:left w:val="nil"/>
              <w:bottom w:val="single" w:color="auto" w:sz="4" w:space="0"/>
              <w:right w:val="single" w:color="auto" w:sz="4" w:space="0"/>
            </w:tcBorders>
            <w:vAlign w:val="center"/>
          </w:tcPr>
          <w:p>
            <w:pPr>
              <w:jc w:val="center"/>
              <w:rPr>
                <w:rFonts w:hint="eastAsia"/>
                <w:color w:val="auto"/>
                <w:sz w:val="20"/>
                <w:szCs w:val="20"/>
                <w:highlight w:val="none"/>
              </w:rPr>
            </w:pPr>
            <w:r>
              <w:rPr>
                <w:rFonts w:hint="eastAsia"/>
                <w:color w:val="auto"/>
                <w:sz w:val="20"/>
                <w:szCs w:val="20"/>
                <w:highlight w:val="none"/>
                <w:lang w:eastAsia="zh-CN"/>
              </w:rPr>
              <w:t>淮南市八公山区环境卫生管理处</w:t>
            </w:r>
            <w:r>
              <w:rPr>
                <w:rFonts w:hint="eastAsia"/>
                <w:color w:val="auto"/>
                <w:sz w:val="20"/>
                <w:szCs w:val="20"/>
                <w:highlight w:val="none"/>
              </w:rPr>
              <w:t>　</w:t>
            </w:r>
          </w:p>
        </w:tc>
      </w:tr>
      <w:tr>
        <w:tblPrEx>
          <w:tblCellMar>
            <w:top w:w="0" w:type="dxa"/>
            <w:left w:w="108" w:type="dxa"/>
            <w:bottom w:w="0" w:type="dxa"/>
            <w:right w:w="108" w:type="dxa"/>
          </w:tblCellMar>
        </w:tblPrEx>
        <w:trPr>
          <w:trHeight w:val="330" w:hRule="atLeast"/>
        </w:trPr>
        <w:tc>
          <w:tcPr>
            <w:tcW w:w="10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项目属性</w:t>
            </w:r>
          </w:p>
        </w:tc>
        <w:tc>
          <w:tcPr>
            <w:tcW w:w="7954" w:type="dxa"/>
            <w:gridSpan w:val="8"/>
            <w:tcBorders>
              <w:top w:val="single" w:color="auto" w:sz="4" w:space="0"/>
              <w:left w:val="nil"/>
              <w:bottom w:val="single" w:color="auto"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lang w:eastAsia="zh-CN"/>
              </w:rPr>
              <w:t>延续项目</w:t>
            </w:r>
            <w:r>
              <w:rPr>
                <w:rFonts w:hint="eastAsia"/>
                <w:color w:val="auto"/>
                <w:sz w:val="20"/>
                <w:szCs w:val="20"/>
                <w:highlight w:val="none"/>
              </w:rPr>
              <w:t>　</w:t>
            </w:r>
          </w:p>
        </w:tc>
      </w:tr>
      <w:tr>
        <w:tblPrEx>
          <w:tblCellMar>
            <w:top w:w="0" w:type="dxa"/>
            <w:left w:w="108" w:type="dxa"/>
            <w:bottom w:w="0" w:type="dxa"/>
            <w:right w:w="108" w:type="dxa"/>
          </w:tblCellMar>
        </w:tblPrEx>
        <w:trPr>
          <w:trHeight w:val="330" w:hRule="atLeast"/>
        </w:trPr>
        <w:tc>
          <w:tcPr>
            <w:tcW w:w="172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hint="eastAsia" w:eastAsia="宋体"/>
                <w:color w:val="auto"/>
                <w:sz w:val="20"/>
                <w:szCs w:val="20"/>
                <w:highlight w:val="none"/>
                <w:lang w:eastAsia="zh-CN"/>
              </w:rPr>
            </w:pPr>
            <w:r>
              <w:rPr>
                <w:rFonts w:hint="eastAsia"/>
                <w:color w:val="auto"/>
                <w:sz w:val="20"/>
                <w:szCs w:val="20"/>
                <w:highlight w:val="none"/>
              </w:rPr>
              <w:t>项目资金</w:t>
            </w:r>
          </w:p>
          <w:p>
            <w:pPr>
              <w:jc w:val="center"/>
              <w:rPr>
                <w:rFonts w:ascii="宋体" w:cs="宋体"/>
                <w:color w:val="auto"/>
                <w:sz w:val="20"/>
                <w:szCs w:val="20"/>
                <w:highlight w:val="none"/>
              </w:rPr>
            </w:pPr>
            <w:r>
              <w:rPr>
                <w:rFonts w:hint="eastAsia"/>
                <w:color w:val="auto"/>
                <w:sz w:val="20"/>
                <w:szCs w:val="20"/>
                <w:highlight w:val="none"/>
              </w:rPr>
              <w:t>（万元）</w:t>
            </w:r>
          </w:p>
        </w:tc>
        <w:tc>
          <w:tcPr>
            <w:tcW w:w="828"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中期资金总额：</w:t>
            </w:r>
          </w:p>
        </w:tc>
        <w:tc>
          <w:tcPr>
            <w:tcW w:w="2184" w:type="dxa"/>
            <w:gridSpan w:val="2"/>
            <w:tcBorders>
              <w:top w:val="single" w:color="auto" w:sz="4" w:space="0"/>
              <w:left w:val="nil"/>
              <w:bottom w:val="single" w:color="auto"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lang w:val="en-US" w:eastAsia="zh-CN"/>
              </w:rPr>
              <w:t>189.38</w:t>
            </w:r>
            <w:r>
              <w:rPr>
                <w:rFonts w:hint="eastAsia"/>
                <w:color w:val="auto"/>
                <w:sz w:val="20"/>
                <w:szCs w:val="20"/>
                <w:highlight w:val="none"/>
              </w:rPr>
              <w:t>　</w:t>
            </w:r>
          </w:p>
        </w:tc>
        <w:tc>
          <w:tcPr>
            <w:tcW w:w="1650" w:type="dxa"/>
            <w:gridSpan w:val="2"/>
            <w:tcBorders>
              <w:top w:val="single" w:color="auto" w:sz="4" w:space="0"/>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年度资金总额：</w:t>
            </w:r>
          </w:p>
        </w:tc>
        <w:tc>
          <w:tcPr>
            <w:tcW w:w="2632" w:type="dxa"/>
            <w:gridSpan w:val="2"/>
            <w:tcBorders>
              <w:top w:val="single" w:color="auto" w:sz="4" w:space="0"/>
              <w:left w:val="nil"/>
              <w:bottom w:val="single" w:color="auto" w:sz="4" w:space="0"/>
              <w:right w:val="single" w:color="000000" w:sz="4" w:space="0"/>
            </w:tcBorders>
            <w:vAlign w:val="center"/>
          </w:tcPr>
          <w:p>
            <w:pPr>
              <w:jc w:val="center"/>
              <w:rPr>
                <w:rFonts w:ascii="宋体" w:cs="宋体"/>
                <w:color w:val="auto"/>
                <w:sz w:val="20"/>
                <w:szCs w:val="20"/>
                <w:highlight w:val="none"/>
              </w:rPr>
            </w:pPr>
            <w:r>
              <w:rPr>
                <w:rFonts w:hint="eastAsia"/>
                <w:color w:val="auto"/>
                <w:sz w:val="20"/>
                <w:szCs w:val="20"/>
                <w:highlight w:val="none"/>
                <w:lang w:val="en-US" w:eastAsia="zh-CN"/>
              </w:rPr>
              <w:t>378.76</w:t>
            </w:r>
            <w:r>
              <w:rPr>
                <w:rFonts w:hint="eastAsia"/>
                <w:color w:val="auto"/>
                <w:sz w:val="20"/>
                <w:szCs w:val="20"/>
                <w:highlight w:val="none"/>
              </w:rPr>
              <w:t>　</w:t>
            </w:r>
          </w:p>
        </w:tc>
      </w:tr>
      <w:tr>
        <w:tblPrEx>
          <w:tblCellMar>
            <w:top w:w="0" w:type="dxa"/>
            <w:left w:w="108" w:type="dxa"/>
            <w:bottom w:w="0" w:type="dxa"/>
            <w:right w:w="108" w:type="dxa"/>
          </w:tblCellMar>
        </w:tblPrEx>
        <w:trPr>
          <w:trHeight w:val="330" w:hRule="atLeast"/>
        </w:trPr>
        <w:tc>
          <w:tcPr>
            <w:tcW w:w="172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color w:val="auto"/>
                <w:sz w:val="20"/>
                <w:szCs w:val="20"/>
                <w:highlight w:val="none"/>
              </w:rPr>
            </w:pPr>
          </w:p>
        </w:tc>
        <w:tc>
          <w:tcPr>
            <w:tcW w:w="828"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其中：财政拨款</w:t>
            </w:r>
          </w:p>
        </w:tc>
        <w:tc>
          <w:tcPr>
            <w:tcW w:w="2184" w:type="dxa"/>
            <w:gridSpan w:val="2"/>
            <w:tcBorders>
              <w:top w:val="single" w:color="auto" w:sz="4" w:space="0"/>
              <w:left w:val="nil"/>
              <w:bottom w:val="single" w:color="auto"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lang w:val="en-US" w:eastAsia="zh-CN"/>
              </w:rPr>
              <w:t>189.38</w:t>
            </w:r>
            <w:r>
              <w:rPr>
                <w:rFonts w:hint="eastAsia"/>
                <w:color w:val="auto"/>
                <w:sz w:val="20"/>
                <w:szCs w:val="20"/>
                <w:highlight w:val="none"/>
              </w:rPr>
              <w:t>　</w:t>
            </w:r>
          </w:p>
        </w:tc>
        <w:tc>
          <w:tcPr>
            <w:tcW w:w="1650" w:type="dxa"/>
            <w:gridSpan w:val="2"/>
            <w:tcBorders>
              <w:top w:val="single" w:color="auto" w:sz="4" w:space="0"/>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其中：财政拨款</w:t>
            </w:r>
          </w:p>
        </w:tc>
        <w:tc>
          <w:tcPr>
            <w:tcW w:w="2632" w:type="dxa"/>
            <w:gridSpan w:val="2"/>
            <w:tcBorders>
              <w:top w:val="single" w:color="auto" w:sz="4" w:space="0"/>
              <w:left w:val="nil"/>
              <w:bottom w:val="single" w:color="auto" w:sz="4" w:space="0"/>
              <w:right w:val="single" w:color="000000" w:sz="4" w:space="0"/>
            </w:tcBorders>
            <w:vAlign w:val="center"/>
          </w:tcPr>
          <w:p>
            <w:pPr>
              <w:jc w:val="center"/>
              <w:rPr>
                <w:rFonts w:ascii="宋体" w:cs="宋体"/>
                <w:color w:val="auto"/>
                <w:sz w:val="20"/>
                <w:szCs w:val="20"/>
                <w:highlight w:val="none"/>
              </w:rPr>
            </w:pPr>
            <w:r>
              <w:rPr>
                <w:rFonts w:hint="eastAsia"/>
                <w:color w:val="auto"/>
                <w:sz w:val="20"/>
                <w:szCs w:val="20"/>
                <w:highlight w:val="none"/>
                <w:lang w:val="en-US" w:eastAsia="zh-CN"/>
              </w:rPr>
              <w:t>378.76</w:t>
            </w:r>
            <w:r>
              <w:rPr>
                <w:rFonts w:hint="eastAsia"/>
                <w:color w:val="auto"/>
                <w:sz w:val="20"/>
                <w:szCs w:val="20"/>
                <w:highlight w:val="none"/>
              </w:rPr>
              <w:t>　</w:t>
            </w:r>
          </w:p>
        </w:tc>
      </w:tr>
      <w:tr>
        <w:tblPrEx>
          <w:tblCellMar>
            <w:top w:w="0" w:type="dxa"/>
            <w:left w:w="108" w:type="dxa"/>
            <w:bottom w:w="0" w:type="dxa"/>
            <w:right w:w="108" w:type="dxa"/>
          </w:tblCellMar>
        </w:tblPrEx>
        <w:trPr>
          <w:trHeight w:val="330" w:hRule="atLeast"/>
        </w:trPr>
        <w:tc>
          <w:tcPr>
            <w:tcW w:w="172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color w:val="auto"/>
                <w:sz w:val="20"/>
                <w:szCs w:val="20"/>
                <w:highlight w:val="none"/>
              </w:rPr>
            </w:pPr>
          </w:p>
        </w:tc>
        <w:tc>
          <w:tcPr>
            <w:tcW w:w="828"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其他资金</w:t>
            </w:r>
          </w:p>
        </w:tc>
        <w:tc>
          <w:tcPr>
            <w:tcW w:w="2184" w:type="dxa"/>
            <w:gridSpan w:val="2"/>
            <w:tcBorders>
              <w:top w:val="single" w:color="auto" w:sz="4" w:space="0"/>
              <w:left w:val="nil"/>
              <w:bottom w:val="single" w:color="auto" w:sz="4" w:space="0"/>
              <w:right w:val="single" w:color="000000" w:sz="4" w:space="0"/>
            </w:tcBorders>
            <w:vAlign w:val="center"/>
          </w:tcPr>
          <w:p>
            <w:pPr>
              <w:jc w:val="center"/>
              <w:rPr>
                <w:rFonts w:ascii="宋体" w:cs="宋体"/>
                <w:color w:val="auto"/>
                <w:sz w:val="20"/>
                <w:szCs w:val="20"/>
                <w:highlight w:val="none"/>
              </w:rPr>
            </w:pPr>
            <w:r>
              <w:rPr>
                <w:rFonts w:hint="eastAsia"/>
                <w:color w:val="auto"/>
                <w:sz w:val="20"/>
                <w:szCs w:val="20"/>
                <w:highlight w:val="none"/>
              </w:rPr>
              <w:t>　</w:t>
            </w:r>
          </w:p>
        </w:tc>
        <w:tc>
          <w:tcPr>
            <w:tcW w:w="1650" w:type="dxa"/>
            <w:gridSpan w:val="2"/>
            <w:tcBorders>
              <w:top w:val="single" w:color="auto" w:sz="4" w:space="0"/>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其他资金</w:t>
            </w:r>
          </w:p>
        </w:tc>
        <w:tc>
          <w:tcPr>
            <w:tcW w:w="2632" w:type="dxa"/>
            <w:gridSpan w:val="2"/>
            <w:tcBorders>
              <w:top w:val="single" w:color="auto" w:sz="4" w:space="0"/>
              <w:left w:val="nil"/>
              <w:bottom w:val="single" w:color="auto" w:sz="4" w:space="0"/>
              <w:right w:val="single" w:color="000000" w:sz="4" w:space="0"/>
            </w:tcBorders>
            <w:vAlign w:val="center"/>
          </w:tcPr>
          <w:p>
            <w:pPr>
              <w:jc w:val="center"/>
              <w:rPr>
                <w:rFonts w:ascii="宋体" w:cs="宋体"/>
                <w:color w:val="auto"/>
                <w:sz w:val="20"/>
                <w:szCs w:val="20"/>
                <w:highlight w:val="none"/>
              </w:rPr>
            </w:pPr>
            <w:r>
              <w:rPr>
                <w:rFonts w:hint="eastAsia"/>
                <w:color w:val="auto"/>
                <w:sz w:val="20"/>
                <w:szCs w:val="20"/>
                <w:highlight w:val="none"/>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hint="eastAsia" w:eastAsia="宋体"/>
                <w:color w:val="auto"/>
                <w:sz w:val="20"/>
                <w:szCs w:val="20"/>
                <w:highlight w:val="none"/>
                <w:lang w:eastAsia="zh-CN"/>
              </w:rPr>
            </w:pPr>
            <w:r>
              <w:rPr>
                <w:rFonts w:hint="eastAsia"/>
                <w:color w:val="auto"/>
                <w:sz w:val="20"/>
                <w:szCs w:val="20"/>
                <w:highlight w:val="none"/>
              </w:rPr>
              <w:t>总</w:t>
            </w:r>
          </w:p>
          <w:p>
            <w:pPr>
              <w:jc w:val="center"/>
              <w:rPr>
                <w:rFonts w:hint="eastAsia" w:eastAsia="宋体"/>
                <w:color w:val="auto"/>
                <w:sz w:val="20"/>
                <w:szCs w:val="20"/>
                <w:highlight w:val="none"/>
                <w:lang w:eastAsia="zh-CN"/>
              </w:rPr>
            </w:pPr>
            <w:r>
              <w:rPr>
                <w:rFonts w:hint="eastAsia"/>
                <w:color w:val="auto"/>
                <w:sz w:val="20"/>
                <w:szCs w:val="20"/>
                <w:highlight w:val="none"/>
              </w:rPr>
              <w:t>体</w:t>
            </w:r>
          </w:p>
          <w:p>
            <w:pPr>
              <w:jc w:val="center"/>
              <w:rPr>
                <w:rFonts w:hint="eastAsia" w:eastAsia="宋体"/>
                <w:color w:val="auto"/>
                <w:sz w:val="20"/>
                <w:szCs w:val="20"/>
                <w:highlight w:val="none"/>
                <w:lang w:eastAsia="zh-CN"/>
              </w:rPr>
            </w:pPr>
            <w:r>
              <w:rPr>
                <w:rFonts w:hint="eastAsia"/>
                <w:color w:val="auto"/>
                <w:sz w:val="20"/>
                <w:szCs w:val="20"/>
                <w:highlight w:val="none"/>
              </w:rPr>
              <w:t>目</w:t>
            </w:r>
          </w:p>
          <w:p>
            <w:pPr>
              <w:jc w:val="center"/>
              <w:rPr>
                <w:rFonts w:ascii="宋体" w:cs="宋体"/>
                <w:color w:val="auto"/>
                <w:sz w:val="20"/>
                <w:szCs w:val="20"/>
                <w:highlight w:val="none"/>
              </w:rPr>
            </w:pPr>
            <w:r>
              <w:rPr>
                <w:rFonts w:hint="eastAsia"/>
                <w:color w:val="auto"/>
                <w:sz w:val="20"/>
                <w:szCs w:val="20"/>
                <w:highlight w:val="none"/>
              </w:rPr>
              <w:t>标</w:t>
            </w:r>
          </w:p>
        </w:tc>
        <w:tc>
          <w:tcPr>
            <w:tcW w:w="4322" w:type="dxa"/>
            <w:gridSpan w:val="5"/>
            <w:tcBorders>
              <w:top w:val="single" w:color="auto" w:sz="4" w:space="0"/>
              <w:left w:val="nil"/>
              <w:bottom w:val="single" w:color="auto" w:sz="4" w:space="0"/>
              <w:right w:val="nil"/>
            </w:tcBorders>
            <w:vAlign w:val="center"/>
          </w:tcPr>
          <w:p>
            <w:pPr>
              <w:jc w:val="center"/>
              <w:rPr>
                <w:rFonts w:ascii="宋体" w:cs="宋体"/>
                <w:color w:val="auto"/>
                <w:sz w:val="20"/>
                <w:szCs w:val="20"/>
                <w:highlight w:val="none"/>
              </w:rPr>
            </w:pPr>
            <w:r>
              <w:rPr>
                <w:rFonts w:hint="eastAsia"/>
                <w:color w:val="auto"/>
                <w:sz w:val="20"/>
                <w:szCs w:val="20"/>
                <w:highlight w:val="none"/>
              </w:rPr>
              <w:t>中期目标（</w:t>
            </w:r>
            <w:r>
              <w:rPr>
                <w:color w:val="auto"/>
                <w:sz w:val="20"/>
                <w:szCs w:val="20"/>
                <w:highlight w:val="none"/>
              </w:rPr>
              <w:t>20</w:t>
            </w:r>
            <w:r>
              <w:rPr>
                <w:rFonts w:hint="eastAsia"/>
                <w:color w:val="auto"/>
                <w:sz w:val="20"/>
                <w:szCs w:val="20"/>
                <w:highlight w:val="none"/>
                <w:lang w:val="en-US" w:eastAsia="zh-CN"/>
              </w:rPr>
              <w:t>22</w:t>
            </w:r>
            <w:r>
              <w:rPr>
                <w:rFonts w:hint="eastAsia"/>
                <w:color w:val="auto"/>
                <w:sz w:val="20"/>
                <w:szCs w:val="20"/>
                <w:highlight w:val="none"/>
              </w:rPr>
              <w:t>年</w:t>
            </w:r>
            <w:r>
              <w:rPr>
                <w:rFonts w:hint="eastAsia"/>
                <w:color w:val="auto"/>
                <w:sz w:val="20"/>
                <w:szCs w:val="20"/>
                <w:highlight w:val="none"/>
                <w:lang w:val="en-US" w:eastAsia="zh-CN"/>
              </w:rPr>
              <w:t>1月</w:t>
            </w:r>
            <w:r>
              <w:rPr>
                <w:color w:val="auto"/>
                <w:sz w:val="20"/>
                <w:szCs w:val="20"/>
                <w:highlight w:val="none"/>
              </w:rPr>
              <w:t>—20</w:t>
            </w:r>
            <w:r>
              <w:rPr>
                <w:rFonts w:hint="eastAsia"/>
                <w:color w:val="auto"/>
                <w:sz w:val="20"/>
                <w:szCs w:val="20"/>
                <w:highlight w:val="none"/>
                <w:lang w:val="en-US" w:eastAsia="zh-CN"/>
              </w:rPr>
              <w:t>22</w:t>
            </w:r>
            <w:r>
              <w:rPr>
                <w:rFonts w:hint="eastAsia"/>
                <w:color w:val="auto"/>
                <w:sz w:val="20"/>
                <w:szCs w:val="20"/>
                <w:highlight w:val="none"/>
              </w:rPr>
              <w:t>年</w:t>
            </w:r>
            <w:r>
              <w:rPr>
                <w:rFonts w:hint="eastAsia"/>
                <w:color w:val="auto"/>
                <w:sz w:val="20"/>
                <w:szCs w:val="20"/>
                <w:highlight w:val="none"/>
                <w:lang w:val="en-US" w:eastAsia="zh-CN"/>
              </w:rPr>
              <w:t>6月</w:t>
            </w:r>
            <w:r>
              <w:rPr>
                <w:rFonts w:hint="eastAsia"/>
                <w:color w:val="auto"/>
                <w:sz w:val="20"/>
                <w:szCs w:val="20"/>
                <w:highlight w:val="none"/>
              </w:rPr>
              <w:t>）</w:t>
            </w:r>
          </w:p>
        </w:tc>
        <w:tc>
          <w:tcPr>
            <w:tcW w:w="4282"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color w:val="auto"/>
                <w:sz w:val="20"/>
                <w:szCs w:val="20"/>
                <w:highlight w:val="none"/>
              </w:rPr>
            </w:pPr>
            <w:r>
              <w:rPr>
                <w:rFonts w:hint="eastAsia"/>
                <w:color w:val="auto"/>
                <w:sz w:val="20"/>
                <w:szCs w:val="20"/>
                <w:highlight w:val="none"/>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color w:val="auto"/>
                <w:sz w:val="20"/>
                <w:szCs w:val="20"/>
                <w:highlight w:val="none"/>
              </w:rPr>
            </w:pPr>
          </w:p>
        </w:tc>
        <w:tc>
          <w:tcPr>
            <w:tcW w:w="4322" w:type="dxa"/>
            <w:gridSpan w:val="5"/>
            <w:tcBorders>
              <w:top w:val="single" w:color="auto" w:sz="4" w:space="0"/>
              <w:left w:val="nil"/>
              <w:bottom w:val="single" w:color="auto" w:sz="4" w:space="0"/>
              <w:right w:val="nil"/>
            </w:tcBorders>
          </w:tcPr>
          <w:p>
            <w:pPr>
              <w:rPr>
                <w:rFonts w:hint="default" w:eastAsia="宋体"/>
                <w:color w:val="auto"/>
                <w:sz w:val="20"/>
                <w:szCs w:val="20"/>
                <w:highlight w:val="none"/>
                <w:lang w:val="en-US" w:eastAsia="zh-CN"/>
              </w:rPr>
            </w:pPr>
            <w:r>
              <w:rPr>
                <w:color w:val="auto"/>
                <w:sz w:val="20"/>
                <w:szCs w:val="20"/>
                <w:highlight w:val="none"/>
              </w:rPr>
              <w:t xml:space="preserve"> </w:t>
            </w:r>
            <w:r>
              <w:rPr>
                <w:rFonts w:hint="eastAsia"/>
                <w:color w:val="auto"/>
                <w:sz w:val="20"/>
                <w:szCs w:val="20"/>
                <w:highlight w:val="none"/>
              </w:rPr>
              <w:t>目标</w:t>
            </w:r>
            <w:r>
              <w:rPr>
                <w:color w:val="auto"/>
                <w:sz w:val="20"/>
                <w:szCs w:val="20"/>
                <w:highlight w:val="none"/>
              </w:rPr>
              <w:t>1</w:t>
            </w:r>
            <w:r>
              <w:rPr>
                <w:rFonts w:hint="eastAsia"/>
                <w:color w:val="auto"/>
                <w:sz w:val="20"/>
                <w:szCs w:val="20"/>
                <w:highlight w:val="none"/>
              </w:rPr>
              <w:t>：</w:t>
            </w:r>
            <w:r>
              <w:rPr>
                <w:rFonts w:hint="eastAsia"/>
                <w:color w:val="auto"/>
                <w:sz w:val="20"/>
                <w:szCs w:val="20"/>
                <w:highlight w:val="none"/>
                <w:lang w:eastAsia="zh-CN"/>
              </w:rPr>
              <w:t>落实农村人居环境整治要求，提升八公山镇和山王镇共</w:t>
            </w:r>
            <w:r>
              <w:rPr>
                <w:rFonts w:hint="eastAsia"/>
                <w:color w:val="auto"/>
                <w:sz w:val="20"/>
                <w:szCs w:val="20"/>
                <w:highlight w:val="none"/>
                <w:lang w:val="en-US" w:eastAsia="zh-CN"/>
              </w:rPr>
              <w:t>21个行政村的环境卫生质量。</w:t>
            </w:r>
          </w:p>
          <w:p>
            <w:pPr>
              <w:rPr>
                <w:rFonts w:hint="default" w:ascii="宋体" w:eastAsia="宋体" w:cs="宋体"/>
                <w:color w:val="auto"/>
                <w:sz w:val="20"/>
                <w:szCs w:val="20"/>
                <w:highlight w:val="none"/>
                <w:lang w:val="en-US" w:eastAsia="zh-CN"/>
              </w:rPr>
            </w:pPr>
            <w:r>
              <w:rPr>
                <w:color w:val="auto"/>
                <w:sz w:val="20"/>
                <w:szCs w:val="20"/>
                <w:highlight w:val="none"/>
              </w:rPr>
              <w:t xml:space="preserve"> </w:t>
            </w:r>
            <w:r>
              <w:rPr>
                <w:rFonts w:hint="eastAsia"/>
                <w:color w:val="auto"/>
                <w:sz w:val="20"/>
                <w:szCs w:val="20"/>
                <w:highlight w:val="none"/>
              </w:rPr>
              <w:t>目标</w:t>
            </w:r>
            <w:r>
              <w:rPr>
                <w:color w:val="auto"/>
                <w:sz w:val="20"/>
                <w:szCs w:val="20"/>
                <w:highlight w:val="none"/>
              </w:rPr>
              <w:t>2</w:t>
            </w:r>
            <w:r>
              <w:rPr>
                <w:rFonts w:hint="eastAsia"/>
                <w:color w:val="auto"/>
                <w:sz w:val="20"/>
                <w:szCs w:val="20"/>
                <w:highlight w:val="none"/>
              </w:rPr>
              <w:t>：</w:t>
            </w:r>
            <w:r>
              <w:rPr>
                <w:rFonts w:hint="eastAsia"/>
                <w:color w:val="auto"/>
                <w:sz w:val="20"/>
                <w:szCs w:val="20"/>
                <w:highlight w:val="none"/>
                <w:lang w:eastAsia="zh-CN"/>
              </w:rPr>
              <w:t>支付乡镇环卫市场化经费</w:t>
            </w:r>
            <w:r>
              <w:rPr>
                <w:rFonts w:hint="eastAsia"/>
                <w:color w:val="auto"/>
                <w:sz w:val="20"/>
                <w:szCs w:val="20"/>
                <w:highlight w:val="none"/>
                <w:lang w:val="en-US" w:eastAsia="zh-CN"/>
              </w:rPr>
              <w:t>189.38万元。</w:t>
            </w:r>
          </w:p>
        </w:tc>
        <w:tc>
          <w:tcPr>
            <w:tcW w:w="4282" w:type="dxa"/>
            <w:gridSpan w:val="4"/>
            <w:tcBorders>
              <w:top w:val="single" w:color="auto" w:sz="4" w:space="0"/>
              <w:left w:val="single" w:color="auto" w:sz="4" w:space="0"/>
              <w:bottom w:val="single" w:color="auto" w:sz="4" w:space="0"/>
              <w:right w:val="single" w:color="000000" w:sz="4" w:space="0"/>
            </w:tcBorders>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目标</w:t>
            </w:r>
            <w:r>
              <w:rPr>
                <w:color w:val="auto"/>
                <w:sz w:val="20"/>
                <w:szCs w:val="20"/>
                <w:highlight w:val="none"/>
              </w:rPr>
              <w:t>1</w:t>
            </w:r>
            <w:r>
              <w:rPr>
                <w:rFonts w:hint="eastAsia"/>
                <w:color w:val="auto"/>
                <w:sz w:val="20"/>
                <w:szCs w:val="20"/>
                <w:highlight w:val="none"/>
              </w:rPr>
              <w:t>：</w:t>
            </w:r>
            <w:r>
              <w:rPr>
                <w:rFonts w:hint="eastAsia"/>
                <w:color w:val="auto"/>
                <w:sz w:val="20"/>
                <w:szCs w:val="20"/>
                <w:highlight w:val="none"/>
                <w:lang w:eastAsia="zh-CN"/>
              </w:rPr>
              <w:t>进一步改善八公山镇、山王镇农村环境卫生面貌，在两镇共21个行政村实行环卫市场化作业</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hint="eastAsia" w:eastAsia="宋体"/>
                <w:color w:val="auto"/>
                <w:sz w:val="20"/>
                <w:szCs w:val="20"/>
                <w:highlight w:val="none"/>
                <w:lang w:eastAsia="zh-CN"/>
              </w:rPr>
            </w:pPr>
            <w:r>
              <w:rPr>
                <w:rFonts w:hint="eastAsia"/>
                <w:color w:val="auto"/>
                <w:sz w:val="20"/>
                <w:szCs w:val="20"/>
                <w:highlight w:val="none"/>
              </w:rPr>
              <w:t>绩</w:t>
            </w:r>
          </w:p>
          <w:p>
            <w:pPr>
              <w:jc w:val="center"/>
              <w:rPr>
                <w:rFonts w:hint="eastAsia" w:eastAsia="宋体"/>
                <w:color w:val="auto"/>
                <w:sz w:val="20"/>
                <w:szCs w:val="20"/>
                <w:highlight w:val="none"/>
                <w:lang w:eastAsia="zh-CN"/>
              </w:rPr>
            </w:pPr>
            <w:r>
              <w:rPr>
                <w:rFonts w:hint="eastAsia"/>
                <w:color w:val="auto"/>
                <w:sz w:val="20"/>
                <w:szCs w:val="20"/>
                <w:highlight w:val="none"/>
              </w:rPr>
              <w:t>效</w:t>
            </w:r>
          </w:p>
          <w:p>
            <w:pPr>
              <w:jc w:val="center"/>
              <w:rPr>
                <w:rFonts w:hint="eastAsia" w:eastAsia="宋体"/>
                <w:color w:val="auto"/>
                <w:sz w:val="20"/>
                <w:szCs w:val="20"/>
                <w:highlight w:val="none"/>
                <w:lang w:eastAsia="zh-CN"/>
              </w:rPr>
            </w:pPr>
            <w:r>
              <w:rPr>
                <w:rFonts w:hint="eastAsia"/>
                <w:color w:val="auto"/>
                <w:sz w:val="20"/>
                <w:szCs w:val="20"/>
                <w:highlight w:val="none"/>
              </w:rPr>
              <w:t>指</w:t>
            </w:r>
          </w:p>
          <w:p>
            <w:pPr>
              <w:jc w:val="center"/>
              <w:rPr>
                <w:rFonts w:ascii="宋体" w:cs="宋体"/>
                <w:color w:val="auto"/>
                <w:sz w:val="20"/>
                <w:szCs w:val="20"/>
                <w:highlight w:val="none"/>
              </w:rPr>
            </w:pPr>
            <w:r>
              <w:rPr>
                <w:rFonts w:hint="eastAsia"/>
                <w:color w:val="auto"/>
                <w:sz w:val="20"/>
                <w:szCs w:val="20"/>
                <w:highlight w:val="none"/>
              </w:rPr>
              <w:t>标</w:t>
            </w:r>
          </w:p>
        </w:tc>
        <w:tc>
          <w:tcPr>
            <w:tcW w:w="650" w:type="dxa"/>
            <w:tcBorders>
              <w:top w:val="nil"/>
              <w:left w:val="nil"/>
              <w:bottom w:val="nil"/>
              <w:right w:val="single" w:color="auto" w:sz="4" w:space="0"/>
            </w:tcBorders>
            <w:vAlign w:val="center"/>
          </w:tcPr>
          <w:p>
            <w:pPr>
              <w:jc w:val="center"/>
              <w:rPr>
                <w:rFonts w:hint="eastAsia" w:eastAsia="宋体"/>
                <w:color w:val="auto"/>
                <w:sz w:val="20"/>
                <w:szCs w:val="20"/>
                <w:highlight w:val="none"/>
                <w:lang w:eastAsia="zh-CN"/>
              </w:rPr>
            </w:pPr>
            <w:r>
              <w:rPr>
                <w:rFonts w:hint="eastAsia"/>
                <w:color w:val="auto"/>
                <w:sz w:val="20"/>
                <w:szCs w:val="20"/>
                <w:highlight w:val="none"/>
              </w:rPr>
              <w:t>一级</w:t>
            </w:r>
          </w:p>
          <w:p>
            <w:pPr>
              <w:jc w:val="center"/>
              <w:rPr>
                <w:rFonts w:ascii="宋体" w:cs="宋体"/>
                <w:color w:val="auto"/>
                <w:sz w:val="20"/>
                <w:szCs w:val="20"/>
                <w:highlight w:val="none"/>
              </w:rPr>
            </w:pPr>
            <w:r>
              <w:rPr>
                <w:rFonts w:hint="eastAsia"/>
                <w:color w:val="auto"/>
                <w:sz w:val="20"/>
                <w:szCs w:val="20"/>
                <w:highlight w:val="none"/>
              </w:rPr>
              <w:t>指标</w:t>
            </w:r>
          </w:p>
        </w:tc>
        <w:tc>
          <w:tcPr>
            <w:tcW w:w="660" w:type="dxa"/>
            <w:tcBorders>
              <w:top w:val="nil"/>
              <w:left w:val="nil"/>
              <w:bottom w:val="single" w:color="auto"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二级</w:t>
            </w:r>
          </w:p>
          <w:p>
            <w:pPr>
              <w:jc w:val="center"/>
              <w:rPr>
                <w:rFonts w:ascii="宋体" w:cs="宋体"/>
                <w:color w:val="auto"/>
                <w:sz w:val="20"/>
                <w:szCs w:val="20"/>
                <w:highlight w:val="none"/>
              </w:rPr>
            </w:pPr>
            <w:r>
              <w:rPr>
                <w:rFonts w:hint="eastAsia"/>
                <w:color w:val="auto"/>
                <w:sz w:val="20"/>
                <w:szCs w:val="20"/>
                <w:highlight w:val="none"/>
              </w:rPr>
              <w:t>指标</w:t>
            </w:r>
          </w:p>
        </w:tc>
        <w:tc>
          <w:tcPr>
            <w:tcW w:w="828" w:type="dxa"/>
            <w:tcBorders>
              <w:top w:val="nil"/>
              <w:left w:val="nil"/>
              <w:bottom w:val="single" w:color="auto"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三级指标</w:t>
            </w:r>
          </w:p>
        </w:tc>
        <w:tc>
          <w:tcPr>
            <w:tcW w:w="1536" w:type="dxa"/>
            <w:tcBorders>
              <w:top w:val="nil"/>
              <w:left w:val="nil"/>
              <w:bottom w:val="single" w:color="auto"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指标值</w:t>
            </w:r>
          </w:p>
        </w:tc>
        <w:tc>
          <w:tcPr>
            <w:tcW w:w="648" w:type="dxa"/>
            <w:tcBorders>
              <w:top w:val="nil"/>
              <w:left w:val="nil"/>
              <w:bottom w:val="single" w:color="auto"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绩效标准</w:t>
            </w:r>
          </w:p>
        </w:tc>
        <w:tc>
          <w:tcPr>
            <w:tcW w:w="816" w:type="dxa"/>
            <w:tcBorders>
              <w:top w:val="nil"/>
              <w:left w:val="nil"/>
              <w:bottom w:val="single" w:color="auto"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二级</w:t>
            </w:r>
          </w:p>
          <w:p>
            <w:pPr>
              <w:jc w:val="center"/>
              <w:rPr>
                <w:rFonts w:ascii="宋体" w:cs="宋体"/>
                <w:color w:val="auto"/>
                <w:sz w:val="20"/>
                <w:szCs w:val="20"/>
                <w:highlight w:val="none"/>
              </w:rPr>
            </w:pPr>
            <w:r>
              <w:rPr>
                <w:rFonts w:hint="eastAsia"/>
                <w:color w:val="auto"/>
                <w:sz w:val="20"/>
                <w:szCs w:val="20"/>
                <w:highlight w:val="none"/>
              </w:rPr>
              <w:t>指标</w:t>
            </w:r>
          </w:p>
        </w:tc>
        <w:tc>
          <w:tcPr>
            <w:tcW w:w="834" w:type="dxa"/>
            <w:tcBorders>
              <w:top w:val="nil"/>
              <w:left w:val="nil"/>
              <w:bottom w:val="single" w:color="auto" w:sz="4" w:space="0"/>
              <w:right w:val="nil"/>
            </w:tcBorders>
            <w:vAlign w:val="center"/>
          </w:tcPr>
          <w:p>
            <w:pPr>
              <w:jc w:val="center"/>
              <w:rPr>
                <w:rFonts w:ascii="宋体" w:cs="宋体"/>
                <w:color w:val="auto"/>
                <w:sz w:val="20"/>
                <w:szCs w:val="20"/>
                <w:highlight w:val="none"/>
              </w:rPr>
            </w:pPr>
            <w:r>
              <w:rPr>
                <w:rFonts w:hint="eastAsia"/>
                <w:color w:val="auto"/>
                <w:sz w:val="20"/>
                <w:szCs w:val="20"/>
                <w:highlight w:val="none"/>
              </w:rPr>
              <w:t>三级指标</w:t>
            </w:r>
          </w:p>
        </w:tc>
        <w:tc>
          <w:tcPr>
            <w:tcW w:w="1991" w:type="dxa"/>
            <w:tcBorders>
              <w:top w:val="nil"/>
              <w:left w:val="single" w:color="auto" w:sz="4" w:space="0"/>
              <w:bottom w:val="single" w:color="auto"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指标值</w:t>
            </w:r>
          </w:p>
        </w:tc>
        <w:tc>
          <w:tcPr>
            <w:tcW w:w="641" w:type="dxa"/>
            <w:tcBorders>
              <w:top w:val="nil"/>
              <w:left w:val="nil"/>
              <w:bottom w:val="single" w:color="auto"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color w:val="auto"/>
                <w:sz w:val="20"/>
                <w:szCs w:val="20"/>
                <w:highlight w:val="none"/>
              </w:rPr>
            </w:pPr>
          </w:p>
        </w:tc>
        <w:tc>
          <w:tcPr>
            <w:tcW w:w="6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olor w:val="auto"/>
                <w:sz w:val="20"/>
                <w:szCs w:val="20"/>
                <w:highlight w:val="none"/>
                <w:lang w:eastAsia="zh-CN"/>
              </w:rPr>
            </w:pPr>
            <w:r>
              <w:rPr>
                <w:rFonts w:hint="eastAsia"/>
                <w:color w:val="auto"/>
                <w:sz w:val="20"/>
                <w:szCs w:val="20"/>
                <w:highlight w:val="none"/>
              </w:rPr>
              <w:t>产</w:t>
            </w:r>
          </w:p>
          <w:p>
            <w:pPr>
              <w:jc w:val="center"/>
              <w:rPr>
                <w:rFonts w:hint="eastAsia" w:eastAsia="宋体"/>
                <w:color w:val="auto"/>
                <w:sz w:val="20"/>
                <w:szCs w:val="20"/>
                <w:highlight w:val="none"/>
                <w:lang w:eastAsia="zh-CN"/>
              </w:rPr>
            </w:pPr>
            <w:r>
              <w:rPr>
                <w:rFonts w:hint="eastAsia"/>
                <w:color w:val="auto"/>
                <w:sz w:val="20"/>
                <w:szCs w:val="20"/>
                <w:highlight w:val="none"/>
              </w:rPr>
              <w:t>出</w:t>
            </w:r>
          </w:p>
          <w:p>
            <w:pPr>
              <w:jc w:val="center"/>
              <w:rPr>
                <w:rFonts w:hint="eastAsia" w:eastAsia="宋体"/>
                <w:color w:val="auto"/>
                <w:sz w:val="20"/>
                <w:szCs w:val="20"/>
                <w:highlight w:val="none"/>
                <w:lang w:eastAsia="zh-CN"/>
              </w:rPr>
            </w:pPr>
            <w:r>
              <w:rPr>
                <w:rFonts w:hint="eastAsia"/>
                <w:color w:val="auto"/>
                <w:sz w:val="20"/>
                <w:szCs w:val="20"/>
                <w:highlight w:val="none"/>
              </w:rPr>
              <w:t>指</w:t>
            </w:r>
          </w:p>
          <w:p>
            <w:pPr>
              <w:jc w:val="center"/>
              <w:rPr>
                <w:rFonts w:ascii="宋体" w:cs="宋体"/>
                <w:color w:val="auto"/>
                <w:sz w:val="20"/>
                <w:szCs w:val="20"/>
                <w:highlight w:val="none"/>
              </w:rPr>
            </w:pPr>
            <w:r>
              <w:rPr>
                <w:rFonts w:hint="eastAsia"/>
                <w:color w:val="auto"/>
                <w:sz w:val="20"/>
                <w:szCs w:val="20"/>
                <w:highlight w:val="none"/>
              </w:rPr>
              <w:t>标</w:t>
            </w:r>
          </w:p>
        </w:tc>
        <w:tc>
          <w:tcPr>
            <w:tcW w:w="660" w:type="dxa"/>
            <w:tcBorders>
              <w:top w:val="nil"/>
              <w:left w:val="single" w:color="auto" w:sz="4" w:space="0"/>
              <w:bottom w:val="single" w:color="000000"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数量</w:t>
            </w:r>
          </w:p>
          <w:p>
            <w:pPr>
              <w:jc w:val="center"/>
              <w:rPr>
                <w:rFonts w:ascii="宋体" w:cs="宋体"/>
                <w:color w:val="auto"/>
                <w:sz w:val="20"/>
                <w:szCs w:val="20"/>
                <w:highlight w:val="none"/>
              </w:rPr>
            </w:pPr>
            <w:r>
              <w:rPr>
                <w:rFonts w:hint="eastAsia"/>
                <w:color w:val="auto"/>
                <w:sz w:val="20"/>
                <w:szCs w:val="20"/>
                <w:highlight w:val="none"/>
              </w:rPr>
              <w:t>指标</w:t>
            </w:r>
          </w:p>
        </w:tc>
        <w:tc>
          <w:tcPr>
            <w:tcW w:w="828" w:type="dxa"/>
            <w:tcBorders>
              <w:top w:val="nil"/>
              <w:left w:val="nil"/>
              <w:bottom w:val="single" w:color="auto" w:sz="4" w:space="0"/>
              <w:right w:val="single" w:color="auto" w:sz="4" w:space="0"/>
            </w:tcBorders>
            <w:vAlign w:val="center"/>
          </w:tcPr>
          <w:p>
            <w:pPr>
              <w:rPr>
                <w:rFonts w:hint="eastAsia" w:ascii="宋体" w:eastAsia="宋体" w:cs="宋体"/>
                <w:color w:val="auto"/>
                <w:sz w:val="20"/>
                <w:szCs w:val="20"/>
                <w:highlight w:val="none"/>
                <w:lang w:eastAsia="zh-CN"/>
              </w:rPr>
            </w:pPr>
            <w:r>
              <w:rPr>
                <w:color w:val="auto"/>
                <w:sz w:val="20"/>
                <w:szCs w:val="20"/>
                <w:highlight w:val="none"/>
              </w:rPr>
              <w:t xml:space="preserve"> </w:t>
            </w:r>
            <w:r>
              <w:rPr>
                <w:rFonts w:hint="eastAsia"/>
                <w:color w:val="auto"/>
                <w:sz w:val="20"/>
                <w:szCs w:val="20"/>
                <w:highlight w:val="none"/>
              </w:rPr>
              <w:t>指标：</w:t>
            </w:r>
            <w:r>
              <w:rPr>
                <w:rFonts w:hint="eastAsia"/>
                <w:color w:val="auto"/>
                <w:sz w:val="20"/>
                <w:szCs w:val="20"/>
                <w:highlight w:val="none"/>
                <w:lang w:eastAsia="zh-CN"/>
              </w:rPr>
              <w:t>农村环卫作业</w:t>
            </w:r>
          </w:p>
        </w:tc>
        <w:tc>
          <w:tcPr>
            <w:tcW w:w="1536" w:type="dxa"/>
            <w:tcBorders>
              <w:top w:val="nil"/>
              <w:left w:val="nil"/>
              <w:bottom w:val="single" w:color="auto" w:sz="4" w:space="0"/>
              <w:right w:val="single" w:color="auto" w:sz="4" w:space="0"/>
            </w:tcBorders>
            <w:vAlign w:val="center"/>
          </w:tcPr>
          <w:p>
            <w:pPr>
              <w:rPr>
                <w:rFonts w:hint="default" w:ascii="宋体" w:cs="宋体"/>
                <w:color w:val="auto"/>
                <w:sz w:val="20"/>
                <w:szCs w:val="20"/>
                <w:highlight w:val="none"/>
                <w:lang w:val="en-US"/>
              </w:rPr>
            </w:pPr>
            <w:r>
              <w:rPr>
                <w:rFonts w:hint="eastAsia"/>
                <w:color w:val="auto"/>
                <w:sz w:val="20"/>
                <w:szCs w:val="20"/>
                <w:highlight w:val="none"/>
                <w:lang w:val="en-US" w:eastAsia="zh-CN"/>
              </w:rPr>
              <w:t>21个村</w:t>
            </w:r>
          </w:p>
        </w:tc>
        <w:tc>
          <w:tcPr>
            <w:tcW w:w="648"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eastAsia="宋体" w:cs="宋体"/>
                <w:color w:val="auto"/>
                <w:sz w:val="20"/>
                <w:szCs w:val="20"/>
                <w:highlight w:val="none"/>
                <w:lang w:eastAsia="zh-CN"/>
              </w:rPr>
            </w:pPr>
            <w:r>
              <w:rPr>
                <w:rFonts w:hint="eastAsia" w:ascii="宋体" w:cs="宋体"/>
                <w:color w:val="auto"/>
                <w:sz w:val="20"/>
                <w:szCs w:val="20"/>
                <w:highlight w:val="none"/>
                <w:lang w:eastAsia="zh-CN"/>
              </w:rPr>
              <w:t>农村环卫作业全覆盖</w:t>
            </w:r>
          </w:p>
        </w:tc>
        <w:tc>
          <w:tcPr>
            <w:tcW w:w="816" w:type="dxa"/>
            <w:tcBorders>
              <w:top w:val="nil"/>
              <w:left w:val="single" w:color="auto" w:sz="4" w:space="0"/>
              <w:bottom w:val="single" w:color="000000"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数量</w:t>
            </w:r>
          </w:p>
          <w:p>
            <w:pPr>
              <w:jc w:val="center"/>
              <w:rPr>
                <w:rFonts w:ascii="宋体" w:cs="宋体"/>
                <w:color w:val="auto"/>
                <w:sz w:val="20"/>
                <w:szCs w:val="20"/>
                <w:highlight w:val="none"/>
              </w:rPr>
            </w:pPr>
            <w:r>
              <w:rPr>
                <w:rFonts w:hint="eastAsia"/>
                <w:color w:val="auto"/>
                <w:sz w:val="20"/>
                <w:szCs w:val="20"/>
                <w:highlight w:val="none"/>
              </w:rPr>
              <w:t>指标</w:t>
            </w:r>
          </w:p>
        </w:tc>
        <w:tc>
          <w:tcPr>
            <w:tcW w:w="834" w:type="dxa"/>
            <w:tcBorders>
              <w:top w:val="nil"/>
              <w:left w:val="nil"/>
              <w:bottom w:val="single" w:color="auto" w:sz="4" w:space="0"/>
              <w:right w:val="single" w:color="auto" w:sz="4" w:space="0"/>
            </w:tcBorders>
            <w:vAlign w:val="center"/>
          </w:tcPr>
          <w:p>
            <w:pPr>
              <w:rPr>
                <w:rFonts w:hint="eastAsia" w:ascii="宋体" w:eastAsia="宋体" w:cs="宋体"/>
                <w:color w:val="auto"/>
                <w:sz w:val="20"/>
                <w:szCs w:val="20"/>
                <w:highlight w:val="none"/>
                <w:lang w:eastAsia="zh-CN"/>
              </w:rPr>
            </w:pPr>
            <w:r>
              <w:rPr>
                <w:color w:val="auto"/>
                <w:sz w:val="20"/>
                <w:szCs w:val="20"/>
                <w:highlight w:val="none"/>
              </w:rPr>
              <w:t xml:space="preserve"> </w:t>
            </w:r>
            <w:r>
              <w:rPr>
                <w:rFonts w:hint="eastAsia"/>
                <w:color w:val="auto"/>
                <w:sz w:val="20"/>
                <w:szCs w:val="20"/>
                <w:highlight w:val="none"/>
              </w:rPr>
              <w:t>指标：</w:t>
            </w:r>
            <w:r>
              <w:rPr>
                <w:rFonts w:hint="eastAsia"/>
                <w:color w:val="auto"/>
                <w:sz w:val="20"/>
                <w:szCs w:val="20"/>
                <w:highlight w:val="none"/>
                <w:lang w:eastAsia="zh-CN"/>
              </w:rPr>
              <w:t>农村环卫作业</w:t>
            </w:r>
          </w:p>
        </w:tc>
        <w:tc>
          <w:tcPr>
            <w:tcW w:w="1991" w:type="dxa"/>
            <w:tcBorders>
              <w:top w:val="nil"/>
              <w:left w:val="nil"/>
              <w:bottom w:val="single" w:color="auto" w:sz="4" w:space="0"/>
              <w:right w:val="single" w:color="auto" w:sz="4" w:space="0"/>
            </w:tcBorders>
            <w:vAlign w:val="center"/>
          </w:tcPr>
          <w:p>
            <w:pPr>
              <w:jc w:val="center"/>
              <w:rPr>
                <w:rFonts w:hint="eastAsia"/>
                <w:color w:val="auto"/>
                <w:sz w:val="20"/>
                <w:szCs w:val="20"/>
                <w:highlight w:val="none"/>
              </w:rPr>
            </w:pPr>
            <w:r>
              <w:rPr>
                <w:rFonts w:hint="eastAsia"/>
                <w:color w:val="auto"/>
                <w:sz w:val="20"/>
                <w:szCs w:val="20"/>
                <w:highlight w:val="none"/>
              </w:rPr>
              <w:t>　对八公山区两个乡镇共21个行政村清扫保洁，生活垃圾及时清运。</w:t>
            </w:r>
            <w:r>
              <w:rPr>
                <w:rFonts w:hint="eastAsia"/>
                <w:color w:val="auto"/>
                <w:sz w:val="20"/>
                <w:szCs w:val="20"/>
                <w:highlight w:val="none"/>
              </w:rPr>
              <w:tab/>
            </w:r>
          </w:p>
          <w:p>
            <w:pPr>
              <w:jc w:val="center"/>
              <w:rPr>
                <w:rFonts w:hint="eastAsia"/>
                <w:color w:val="auto"/>
                <w:sz w:val="20"/>
                <w:szCs w:val="20"/>
                <w:highlight w:val="none"/>
              </w:rPr>
            </w:pPr>
          </w:p>
        </w:tc>
        <w:tc>
          <w:tcPr>
            <w:tcW w:w="64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color w:val="auto"/>
                <w:sz w:val="20"/>
                <w:szCs w:val="20"/>
                <w:highlight w:val="none"/>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0"/>
                <w:szCs w:val="20"/>
                <w:highlight w:val="none"/>
              </w:rPr>
            </w:pPr>
          </w:p>
        </w:tc>
        <w:tc>
          <w:tcPr>
            <w:tcW w:w="660" w:type="dxa"/>
            <w:tcBorders>
              <w:top w:val="nil"/>
              <w:left w:val="single" w:color="auto" w:sz="4" w:space="0"/>
              <w:bottom w:val="single" w:color="000000"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质量</w:t>
            </w:r>
          </w:p>
          <w:p>
            <w:pPr>
              <w:jc w:val="center"/>
              <w:rPr>
                <w:rFonts w:ascii="宋体" w:cs="宋体"/>
                <w:color w:val="auto"/>
                <w:sz w:val="20"/>
                <w:szCs w:val="20"/>
                <w:highlight w:val="none"/>
              </w:rPr>
            </w:pPr>
            <w:r>
              <w:rPr>
                <w:rFonts w:hint="eastAsia"/>
                <w:color w:val="auto"/>
                <w:sz w:val="20"/>
                <w:szCs w:val="20"/>
                <w:highlight w:val="none"/>
              </w:rPr>
              <w:t>指标</w:t>
            </w:r>
          </w:p>
        </w:tc>
        <w:tc>
          <w:tcPr>
            <w:tcW w:w="828" w:type="dxa"/>
            <w:tcBorders>
              <w:top w:val="nil"/>
              <w:left w:val="nil"/>
              <w:bottom w:val="single" w:color="auto" w:sz="4" w:space="0"/>
              <w:right w:val="single" w:color="auto" w:sz="4" w:space="0"/>
            </w:tcBorders>
            <w:vAlign w:val="center"/>
          </w:tcPr>
          <w:p>
            <w:pPr>
              <w:rPr>
                <w:rFonts w:hint="eastAsia" w:ascii="宋体" w:eastAsia="宋体" w:cs="宋体"/>
                <w:color w:val="auto"/>
                <w:sz w:val="20"/>
                <w:szCs w:val="20"/>
                <w:highlight w:val="none"/>
                <w:lang w:eastAsia="zh-CN"/>
              </w:rPr>
            </w:pPr>
            <w:r>
              <w:rPr>
                <w:color w:val="auto"/>
                <w:sz w:val="20"/>
                <w:szCs w:val="20"/>
                <w:highlight w:val="none"/>
              </w:rPr>
              <w:t xml:space="preserve"> </w:t>
            </w:r>
            <w:r>
              <w:rPr>
                <w:rFonts w:hint="eastAsia"/>
                <w:color w:val="auto"/>
                <w:sz w:val="20"/>
                <w:szCs w:val="20"/>
                <w:highlight w:val="none"/>
              </w:rPr>
              <w:t>指标：</w:t>
            </w:r>
            <w:r>
              <w:rPr>
                <w:rFonts w:hint="eastAsia"/>
                <w:color w:val="auto"/>
                <w:sz w:val="20"/>
                <w:szCs w:val="20"/>
                <w:highlight w:val="none"/>
                <w:lang w:eastAsia="zh-CN"/>
              </w:rPr>
              <w:t>环卫作业达到标准</w:t>
            </w:r>
          </w:p>
        </w:tc>
        <w:tc>
          <w:tcPr>
            <w:tcW w:w="1536" w:type="dxa"/>
            <w:tcBorders>
              <w:top w:val="nil"/>
              <w:left w:val="nil"/>
              <w:bottom w:val="single" w:color="auto" w:sz="4" w:space="0"/>
              <w:right w:val="single" w:color="auto" w:sz="4" w:space="0"/>
            </w:tcBorders>
            <w:vAlign w:val="center"/>
          </w:tcPr>
          <w:p>
            <w:pPr>
              <w:rPr>
                <w:rFonts w:hint="default" w:ascii="宋体" w:eastAsia="宋体" w:cs="宋体"/>
                <w:color w:val="auto"/>
                <w:sz w:val="20"/>
                <w:szCs w:val="20"/>
                <w:highlight w:val="none"/>
                <w:lang w:val="en-US" w:eastAsia="zh-CN"/>
              </w:rPr>
            </w:pPr>
            <w:r>
              <w:rPr>
                <w:rFonts w:hint="eastAsia"/>
                <w:color w:val="auto"/>
                <w:sz w:val="20"/>
                <w:szCs w:val="20"/>
                <w:highlight w:val="none"/>
              </w:rPr>
              <w:t>　</w:t>
            </w:r>
            <w:r>
              <w:rPr>
                <w:rFonts w:hint="eastAsia"/>
                <w:color w:val="auto"/>
                <w:sz w:val="20"/>
                <w:szCs w:val="20"/>
                <w:highlight w:val="none"/>
                <w:lang w:val="en-US" w:eastAsia="zh-CN"/>
              </w:rPr>
              <w:t>21个村</w:t>
            </w:r>
          </w:p>
        </w:tc>
        <w:tc>
          <w:tcPr>
            <w:tcW w:w="648" w:type="dxa"/>
            <w:tcBorders>
              <w:top w:val="nil"/>
              <w:left w:val="nil"/>
              <w:bottom w:val="single" w:color="auto" w:sz="4" w:space="0"/>
              <w:right w:val="single" w:color="auto" w:sz="4" w:space="0"/>
            </w:tcBorders>
            <w:vAlign w:val="center"/>
          </w:tcPr>
          <w:p>
            <w:pPr>
              <w:rPr>
                <w:rFonts w:hint="eastAsia" w:ascii="宋体" w:eastAsia="宋体" w:cs="宋体"/>
                <w:color w:val="auto"/>
                <w:sz w:val="20"/>
                <w:szCs w:val="20"/>
                <w:highlight w:val="none"/>
                <w:lang w:eastAsia="zh-CN"/>
              </w:rPr>
            </w:pPr>
            <w:r>
              <w:rPr>
                <w:rFonts w:hint="eastAsia"/>
                <w:color w:val="auto"/>
                <w:sz w:val="20"/>
                <w:szCs w:val="20"/>
                <w:highlight w:val="none"/>
                <w:lang w:eastAsia="zh-CN"/>
              </w:rPr>
              <w:t>作业质量达到考核要求</w:t>
            </w:r>
          </w:p>
        </w:tc>
        <w:tc>
          <w:tcPr>
            <w:tcW w:w="816" w:type="dxa"/>
            <w:tcBorders>
              <w:top w:val="nil"/>
              <w:left w:val="single" w:color="auto" w:sz="4" w:space="0"/>
              <w:bottom w:val="single" w:color="000000"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质量</w:t>
            </w:r>
          </w:p>
          <w:p>
            <w:pPr>
              <w:jc w:val="center"/>
              <w:rPr>
                <w:rFonts w:ascii="宋体" w:cs="宋体"/>
                <w:color w:val="auto"/>
                <w:sz w:val="20"/>
                <w:szCs w:val="20"/>
                <w:highlight w:val="none"/>
              </w:rPr>
            </w:pPr>
            <w:r>
              <w:rPr>
                <w:rFonts w:hint="eastAsia"/>
                <w:color w:val="auto"/>
                <w:sz w:val="20"/>
                <w:szCs w:val="20"/>
                <w:highlight w:val="none"/>
              </w:rPr>
              <w:t>指标</w:t>
            </w:r>
          </w:p>
        </w:tc>
        <w:tc>
          <w:tcPr>
            <w:tcW w:w="834" w:type="dxa"/>
            <w:tcBorders>
              <w:top w:val="nil"/>
              <w:left w:val="nil"/>
              <w:bottom w:val="single" w:color="auto" w:sz="4" w:space="0"/>
              <w:right w:val="single" w:color="auto" w:sz="4" w:space="0"/>
            </w:tcBorders>
            <w:vAlign w:val="center"/>
          </w:tcPr>
          <w:p>
            <w:pPr>
              <w:rPr>
                <w:rFonts w:hint="eastAsia" w:ascii="宋体" w:eastAsia="宋体" w:cs="宋体"/>
                <w:color w:val="auto"/>
                <w:sz w:val="20"/>
                <w:szCs w:val="20"/>
                <w:highlight w:val="none"/>
                <w:lang w:eastAsia="zh-CN"/>
              </w:rPr>
            </w:pPr>
            <w:r>
              <w:rPr>
                <w:color w:val="auto"/>
                <w:sz w:val="20"/>
                <w:szCs w:val="20"/>
                <w:highlight w:val="none"/>
              </w:rPr>
              <w:t xml:space="preserve"> </w:t>
            </w:r>
            <w:r>
              <w:rPr>
                <w:rFonts w:hint="eastAsia"/>
                <w:color w:val="auto"/>
                <w:sz w:val="20"/>
                <w:szCs w:val="20"/>
                <w:highlight w:val="none"/>
              </w:rPr>
              <w:t>指标：</w:t>
            </w:r>
            <w:r>
              <w:rPr>
                <w:rFonts w:hint="eastAsia"/>
                <w:color w:val="auto"/>
                <w:sz w:val="20"/>
                <w:szCs w:val="20"/>
                <w:highlight w:val="none"/>
                <w:lang w:eastAsia="zh-CN"/>
              </w:rPr>
              <w:t>环卫作业达到标准</w:t>
            </w:r>
          </w:p>
        </w:tc>
        <w:tc>
          <w:tcPr>
            <w:tcW w:w="199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达到《八公山区乡镇环卫市场化考核标准》要求，提升农村环境卫生工作水平。</w:t>
            </w:r>
          </w:p>
        </w:tc>
        <w:tc>
          <w:tcPr>
            <w:tcW w:w="64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color w:val="auto"/>
                <w:sz w:val="20"/>
                <w:szCs w:val="20"/>
                <w:highlight w:val="none"/>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0"/>
                <w:szCs w:val="20"/>
                <w:highlight w:val="none"/>
              </w:rPr>
            </w:pPr>
          </w:p>
        </w:tc>
        <w:tc>
          <w:tcPr>
            <w:tcW w:w="660" w:type="dxa"/>
            <w:tcBorders>
              <w:top w:val="nil"/>
              <w:left w:val="single" w:color="auto" w:sz="4" w:space="0"/>
              <w:bottom w:val="single" w:color="000000"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时效</w:t>
            </w:r>
          </w:p>
          <w:p>
            <w:pPr>
              <w:jc w:val="center"/>
              <w:rPr>
                <w:rFonts w:ascii="宋体" w:cs="宋体"/>
                <w:color w:val="auto"/>
                <w:sz w:val="20"/>
                <w:szCs w:val="20"/>
                <w:highlight w:val="none"/>
              </w:rPr>
            </w:pPr>
            <w:r>
              <w:rPr>
                <w:rFonts w:hint="eastAsia"/>
                <w:color w:val="auto"/>
                <w:sz w:val="20"/>
                <w:szCs w:val="20"/>
                <w:highlight w:val="none"/>
              </w:rPr>
              <w:t>指标</w:t>
            </w:r>
          </w:p>
        </w:tc>
        <w:tc>
          <w:tcPr>
            <w:tcW w:w="828" w:type="dxa"/>
            <w:tcBorders>
              <w:top w:val="nil"/>
              <w:left w:val="nil"/>
              <w:bottom w:val="single" w:color="auto" w:sz="4" w:space="0"/>
              <w:right w:val="single" w:color="auto" w:sz="4" w:space="0"/>
            </w:tcBorders>
            <w:vAlign w:val="center"/>
          </w:tcPr>
          <w:p>
            <w:pPr>
              <w:rPr>
                <w:rFonts w:hint="eastAsia" w:ascii="宋体" w:eastAsia="宋体" w:cs="宋体"/>
                <w:color w:val="auto"/>
                <w:sz w:val="20"/>
                <w:szCs w:val="20"/>
                <w:highlight w:val="none"/>
                <w:lang w:eastAsia="zh-CN"/>
              </w:rPr>
            </w:pPr>
            <w:r>
              <w:rPr>
                <w:color w:val="auto"/>
                <w:sz w:val="20"/>
                <w:szCs w:val="20"/>
                <w:highlight w:val="none"/>
              </w:rPr>
              <w:t xml:space="preserve"> </w:t>
            </w:r>
            <w:r>
              <w:rPr>
                <w:rFonts w:hint="eastAsia"/>
                <w:color w:val="auto"/>
                <w:sz w:val="20"/>
                <w:szCs w:val="20"/>
                <w:highlight w:val="none"/>
              </w:rPr>
              <w:t>指标：</w:t>
            </w:r>
            <w:r>
              <w:rPr>
                <w:rFonts w:hint="eastAsia"/>
                <w:color w:val="auto"/>
                <w:sz w:val="20"/>
                <w:szCs w:val="20"/>
                <w:highlight w:val="none"/>
                <w:lang w:eastAsia="zh-CN"/>
              </w:rPr>
              <w:t>完成中期计划和任务</w:t>
            </w:r>
          </w:p>
        </w:tc>
        <w:tc>
          <w:tcPr>
            <w:tcW w:w="1536" w:type="dxa"/>
            <w:tcBorders>
              <w:top w:val="nil"/>
              <w:left w:val="nil"/>
              <w:bottom w:val="single" w:color="auto" w:sz="4" w:space="0"/>
              <w:right w:val="single" w:color="auto" w:sz="4" w:space="0"/>
            </w:tcBorders>
            <w:vAlign w:val="center"/>
          </w:tcPr>
          <w:p>
            <w:pPr>
              <w:rPr>
                <w:rFonts w:hint="default" w:ascii="宋体" w:eastAsia="宋体" w:cs="宋体"/>
                <w:color w:val="auto"/>
                <w:sz w:val="20"/>
                <w:szCs w:val="20"/>
                <w:highlight w:val="none"/>
                <w:lang w:val="en-US" w:eastAsia="zh-CN"/>
              </w:rPr>
            </w:pPr>
            <w:r>
              <w:rPr>
                <w:rFonts w:hint="eastAsia"/>
                <w:color w:val="auto"/>
                <w:sz w:val="20"/>
                <w:szCs w:val="20"/>
                <w:highlight w:val="none"/>
              </w:rPr>
              <w:t>　</w:t>
            </w:r>
            <w:r>
              <w:rPr>
                <w:rFonts w:hint="eastAsia"/>
                <w:color w:val="auto"/>
                <w:sz w:val="20"/>
                <w:szCs w:val="20"/>
                <w:highlight w:val="none"/>
                <w:lang w:val="en-US" w:eastAsia="zh-CN"/>
              </w:rPr>
              <w:t>2022年上半年</w:t>
            </w:r>
          </w:p>
        </w:tc>
        <w:tc>
          <w:tcPr>
            <w:tcW w:w="648" w:type="dxa"/>
            <w:tcBorders>
              <w:top w:val="nil"/>
              <w:left w:val="nil"/>
              <w:bottom w:val="single" w:color="auto" w:sz="4" w:space="0"/>
              <w:right w:val="single" w:color="auto" w:sz="4" w:space="0"/>
            </w:tcBorders>
            <w:vAlign w:val="center"/>
          </w:tcPr>
          <w:p>
            <w:pPr>
              <w:rPr>
                <w:rFonts w:hint="eastAsia" w:ascii="宋体" w:eastAsia="宋体" w:cs="宋体"/>
                <w:color w:val="auto"/>
                <w:sz w:val="20"/>
                <w:szCs w:val="20"/>
                <w:highlight w:val="none"/>
                <w:lang w:eastAsia="zh-CN"/>
              </w:rPr>
            </w:pPr>
            <w:r>
              <w:rPr>
                <w:rFonts w:hint="eastAsia"/>
                <w:color w:val="auto"/>
                <w:sz w:val="20"/>
                <w:szCs w:val="20"/>
                <w:highlight w:val="none"/>
                <w:lang w:eastAsia="zh-CN"/>
              </w:rPr>
              <w:t>按照合同完成中期计划</w:t>
            </w:r>
          </w:p>
        </w:tc>
        <w:tc>
          <w:tcPr>
            <w:tcW w:w="816" w:type="dxa"/>
            <w:tcBorders>
              <w:top w:val="nil"/>
              <w:left w:val="single" w:color="auto" w:sz="4" w:space="0"/>
              <w:bottom w:val="single" w:color="000000"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时效</w:t>
            </w:r>
          </w:p>
          <w:p>
            <w:pPr>
              <w:jc w:val="center"/>
              <w:rPr>
                <w:rFonts w:ascii="宋体" w:cs="宋体"/>
                <w:color w:val="auto"/>
                <w:sz w:val="20"/>
                <w:szCs w:val="20"/>
                <w:highlight w:val="none"/>
              </w:rPr>
            </w:pPr>
            <w:r>
              <w:rPr>
                <w:rFonts w:hint="eastAsia"/>
                <w:color w:val="auto"/>
                <w:sz w:val="20"/>
                <w:szCs w:val="20"/>
                <w:highlight w:val="none"/>
              </w:rPr>
              <w:t>指标</w:t>
            </w:r>
          </w:p>
        </w:tc>
        <w:tc>
          <w:tcPr>
            <w:tcW w:w="834" w:type="dxa"/>
            <w:tcBorders>
              <w:top w:val="nil"/>
              <w:left w:val="nil"/>
              <w:bottom w:val="single" w:color="auto" w:sz="4" w:space="0"/>
              <w:right w:val="single" w:color="auto" w:sz="4" w:space="0"/>
            </w:tcBorders>
            <w:vAlign w:val="center"/>
          </w:tcPr>
          <w:p>
            <w:pPr>
              <w:rPr>
                <w:rFonts w:hint="eastAsia" w:ascii="宋体" w:eastAsia="宋体" w:cs="宋体"/>
                <w:color w:val="auto"/>
                <w:sz w:val="20"/>
                <w:szCs w:val="20"/>
                <w:highlight w:val="none"/>
                <w:lang w:eastAsia="zh-CN"/>
              </w:rPr>
            </w:pPr>
            <w:r>
              <w:rPr>
                <w:color w:val="auto"/>
                <w:sz w:val="20"/>
                <w:szCs w:val="20"/>
                <w:highlight w:val="none"/>
              </w:rPr>
              <w:t xml:space="preserve"> </w:t>
            </w:r>
            <w:r>
              <w:rPr>
                <w:rFonts w:hint="eastAsia"/>
                <w:color w:val="auto"/>
                <w:sz w:val="20"/>
                <w:szCs w:val="20"/>
                <w:highlight w:val="none"/>
              </w:rPr>
              <w:t>指标：</w:t>
            </w:r>
            <w:r>
              <w:rPr>
                <w:rFonts w:hint="eastAsia"/>
                <w:color w:val="auto"/>
                <w:sz w:val="20"/>
                <w:szCs w:val="20"/>
                <w:highlight w:val="none"/>
                <w:lang w:eastAsia="zh-CN"/>
              </w:rPr>
              <w:t>完成年度计划和任务</w:t>
            </w:r>
          </w:p>
        </w:tc>
        <w:tc>
          <w:tcPr>
            <w:tcW w:w="199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按照乡镇环卫市场化《合同》完成年度工作任务和计划。</w:t>
            </w:r>
          </w:p>
        </w:tc>
        <w:tc>
          <w:tcPr>
            <w:tcW w:w="64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color w:val="auto"/>
                <w:sz w:val="20"/>
                <w:szCs w:val="20"/>
                <w:highlight w:val="none"/>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color w:val="auto"/>
                <w:sz w:val="20"/>
                <w:szCs w:val="20"/>
                <w:highlight w:val="none"/>
              </w:rPr>
            </w:pPr>
          </w:p>
        </w:tc>
        <w:tc>
          <w:tcPr>
            <w:tcW w:w="660" w:type="dxa"/>
            <w:tcBorders>
              <w:top w:val="nil"/>
              <w:left w:val="single" w:color="auto" w:sz="4" w:space="0"/>
              <w:bottom w:val="single" w:color="000000"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成本</w:t>
            </w:r>
          </w:p>
          <w:p>
            <w:pPr>
              <w:jc w:val="center"/>
              <w:rPr>
                <w:rFonts w:ascii="宋体" w:cs="宋体"/>
                <w:color w:val="auto"/>
                <w:sz w:val="20"/>
                <w:szCs w:val="20"/>
                <w:highlight w:val="none"/>
              </w:rPr>
            </w:pPr>
            <w:r>
              <w:rPr>
                <w:rFonts w:hint="eastAsia"/>
                <w:color w:val="auto"/>
                <w:sz w:val="20"/>
                <w:szCs w:val="20"/>
                <w:highlight w:val="none"/>
              </w:rPr>
              <w:t>指标</w:t>
            </w:r>
          </w:p>
        </w:tc>
        <w:tc>
          <w:tcPr>
            <w:tcW w:w="828" w:type="dxa"/>
            <w:tcBorders>
              <w:top w:val="nil"/>
              <w:left w:val="nil"/>
              <w:bottom w:val="single" w:color="auto" w:sz="4" w:space="0"/>
              <w:right w:val="single" w:color="auto" w:sz="4" w:space="0"/>
            </w:tcBorders>
            <w:vAlign w:val="center"/>
          </w:tcPr>
          <w:p>
            <w:pPr>
              <w:rPr>
                <w:rFonts w:hint="eastAsia" w:ascii="宋体" w:eastAsia="宋体" w:cs="宋体"/>
                <w:color w:val="auto"/>
                <w:sz w:val="20"/>
                <w:szCs w:val="20"/>
                <w:highlight w:val="none"/>
                <w:lang w:eastAsia="zh-CN"/>
              </w:rPr>
            </w:pPr>
            <w:r>
              <w:rPr>
                <w:color w:val="auto"/>
                <w:sz w:val="20"/>
                <w:szCs w:val="20"/>
                <w:highlight w:val="none"/>
              </w:rPr>
              <w:t xml:space="preserve"> </w:t>
            </w:r>
            <w:r>
              <w:rPr>
                <w:rFonts w:hint="eastAsia"/>
                <w:color w:val="auto"/>
                <w:sz w:val="20"/>
                <w:szCs w:val="20"/>
                <w:highlight w:val="none"/>
              </w:rPr>
              <w:t>指标：</w:t>
            </w:r>
            <w:r>
              <w:rPr>
                <w:rFonts w:hint="eastAsia"/>
                <w:color w:val="auto"/>
                <w:sz w:val="20"/>
                <w:szCs w:val="20"/>
                <w:highlight w:val="none"/>
                <w:lang w:eastAsia="zh-CN"/>
              </w:rPr>
              <w:t>资金支出</w:t>
            </w:r>
          </w:p>
        </w:tc>
        <w:tc>
          <w:tcPr>
            <w:tcW w:w="1536" w:type="dxa"/>
            <w:tcBorders>
              <w:top w:val="nil"/>
              <w:left w:val="nil"/>
              <w:bottom w:val="single" w:color="auto" w:sz="4" w:space="0"/>
              <w:right w:val="single" w:color="auto" w:sz="4" w:space="0"/>
            </w:tcBorders>
            <w:vAlign w:val="center"/>
          </w:tcPr>
          <w:p>
            <w:pPr>
              <w:rPr>
                <w:rFonts w:hint="default" w:ascii="宋体" w:eastAsia="宋体" w:cs="宋体"/>
                <w:color w:val="auto"/>
                <w:sz w:val="20"/>
                <w:szCs w:val="20"/>
                <w:highlight w:val="none"/>
                <w:lang w:val="en-US" w:eastAsia="zh-CN"/>
              </w:rPr>
            </w:pPr>
            <w:r>
              <w:rPr>
                <w:rFonts w:hint="eastAsia"/>
                <w:color w:val="auto"/>
                <w:sz w:val="20"/>
                <w:szCs w:val="20"/>
                <w:highlight w:val="none"/>
                <w:lang w:eastAsia="zh-CN"/>
              </w:rPr>
              <w:t>不高于</w:t>
            </w:r>
            <w:r>
              <w:rPr>
                <w:rFonts w:hint="eastAsia"/>
                <w:color w:val="auto"/>
                <w:sz w:val="20"/>
                <w:szCs w:val="20"/>
                <w:highlight w:val="none"/>
                <w:lang w:val="en-US" w:eastAsia="zh-CN"/>
              </w:rPr>
              <w:t>189.38万元</w:t>
            </w:r>
          </w:p>
        </w:tc>
        <w:tc>
          <w:tcPr>
            <w:tcW w:w="648" w:type="dxa"/>
            <w:tcBorders>
              <w:top w:val="nil"/>
              <w:left w:val="nil"/>
              <w:bottom w:val="single" w:color="auto" w:sz="4" w:space="0"/>
              <w:right w:val="single" w:color="auto" w:sz="4" w:space="0"/>
            </w:tcBorders>
            <w:vAlign w:val="center"/>
          </w:tcPr>
          <w:p>
            <w:pPr>
              <w:rPr>
                <w:rFonts w:hint="eastAsia" w:ascii="宋体" w:eastAsia="宋体" w:cs="宋体"/>
                <w:color w:val="auto"/>
                <w:sz w:val="20"/>
                <w:szCs w:val="20"/>
                <w:highlight w:val="none"/>
                <w:lang w:eastAsia="zh-CN"/>
              </w:rPr>
            </w:pPr>
            <w:r>
              <w:rPr>
                <w:rFonts w:hint="eastAsia" w:ascii="宋体" w:cs="宋体"/>
                <w:color w:val="auto"/>
                <w:sz w:val="20"/>
                <w:szCs w:val="20"/>
                <w:highlight w:val="none"/>
                <w:lang w:eastAsia="zh-CN"/>
              </w:rPr>
              <w:t>依据考核支付资金</w:t>
            </w:r>
          </w:p>
        </w:tc>
        <w:tc>
          <w:tcPr>
            <w:tcW w:w="816" w:type="dxa"/>
            <w:tcBorders>
              <w:top w:val="nil"/>
              <w:left w:val="single" w:color="auto" w:sz="4" w:space="0"/>
              <w:bottom w:val="single" w:color="000000"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成本</w:t>
            </w:r>
          </w:p>
          <w:p>
            <w:pPr>
              <w:jc w:val="center"/>
              <w:rPr>
                <w:rFonts w:ascii="宋体" w:cs="宋体"/>
                <w:color w:val="auto"/>
                <w:sz w:val="20"/>
                <w:szCs w:val="20"/>
                <w:highlight w:val="none"/>
              </w:rPr>
            </w:pPr>
            <w:r>
              <w:rPr>
                <w:rFonts w:hint="eastAsia"/>
                <w:color w:val="auto"/>
                <w:sz w:val="20"/>
                <w:szCs w:val="20"/>
                <w:highlight w:val="none"/>
              </w:rPr>
              <w:t>指标</w:t>
            </w:r>
          </w:p>
        </w:tc>
        <w:tc>
          <w:tcPr>
            <w:tcW w:w="834" w:type="dxa"/>
            <w:tcBorders>
              <w:top w:val="nil"/>
              <w:left w:val="nil"/>
              <w:bottom w:val="single" w:color="auto" w:sz="4" w:space="0"/>
              <w:right w:val="single" w:color="auto" w:sz="4" w:space="0"/>
            </w:tcBorders>
            <w:vAlign w:val="center"/>
          </w:tcPr>
          <w:p>
            <w:pPr>
              <w:rPr>
                <w:rFonts w:hint="eastAsia" w:ascii="宋体" w:eastAsia="宋体" w:cs="宋体"/>
                <w:color w:val="auto"/>
                <w:sz w:val="20"/>
                <w:szCs w:val="20"/>
                <w:highlight w:val="none"/>
                <w:lang w:eastAsia="zh-CN"/>
              </w:rPr>
            </w:pPr>
            <w:r>
              <w:rPr>
                <w:color w:val="auto"/>
                <w:sz w:val="20"/>
                <w:szCs w:val="20"/>
                <w:highlight w:val="none"/>
              </w:rPr>
              <w:t xml:space="preserve"> </w:t>
            </w:r>
            <w:r>
              <w:rPr>
                <w:rFonts w:hint="eastAsia"/>
                <w:color w:val="auto"/>
                <w:sz w:val="20"/>
                <w:szCs w:val="20"/>
                <w:highlight w:val="none"/>
              </w:rPr>
              <w:t>指标：</w:t>
            </w:r>
            <w:r>
              <w:rPr>
                <w:rFonts w:hint="eastAsia"/>
                <w:color w:val="auto"/>
                <w:sz w:val="20"/>
                <w:szCs w:val="20"/>
                <w:highlight w:val="none"/>
                <w:lang w:eastAsia="zh-CN"/>
              </w:rPr>
              <w:t>资金支出</w:t>
            </w:r>
          </w:p>
        </w:tc>
        <w:tc>
          <w:tcPr>
            <w:tcW w:w="199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依据招标文件和《合同》规定不得超过年度预算金额。</w:t>
            </w:r>
          </w:p>
        </w:tc>
        <w:tc>
          <w:tcPr>
            <w:tcW w:w="64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color w:val="auto"/>
                <w:sz w:val="20"/>
                <w:szCs w:val="20"/>
                <w:highlight w:val="none"/>
              </w:rPr>
            </w:pPr>
          </w:p>
        </w:tc>
        <w:tc>
          <w:tcPr>
            <w:tcW w:w="650" w:type="dxa"/>
            <w:vMerge w:val="restart"/>
            <w:tcBorders>
              <w:top w:val="nil"/>
              <w:left w:val="single" w:color="auto" w:sz="4" w:space="0"/>
              <w:bottom w:val="single" w:color="auto" w:sz="4" w:space="0"/>
              <w:right w:val="single" w:color="auto" w:sz="4" w:space="0"/>
            </w:tcBorders>
            <w:vAlign w:val="center"/>
          </w:tcPr>
          <w:p>
            <w:pPr>
              <w:jc w:val="center"/>
              <w:rPr>
                <w:rFonts w:hint="eastAsia" w:eastAsia="宋体"/>
                <w:color w:val="auto"/>
                <w:sz w:val="20"/>
                <w:szCs w:val="20"/>
                <w:highlight w:val="none"/>
                <w:lang w:eastAsia="zh-CN"/>
              </w:rPr>
            </w:pPr>
            <w:r>
              <w:rPr>
                <w:rFonts w:hint="eastAsia"/>
                <w:color w:val="auto"/>
                <w:sz w:val="20"/>
                <w:szCs w:val="20"/>
                <w:highlight w:val="none"/>
              </w:rPr>
              <w:t>效</w:t>
            </w:r>
          </w:p>
          <w:p>
            <w:pPr>
              <w:jc w:val="center"/>
              <w:rPr>
                <w:rFonts w:hint="eastAsia" w:eastAsia="宋体"/>
                <w:color w:val="auto"/>
                <w:sz w:val="20"/>
                <w:szCs w:val="20"/>
                <w:highlight w:val="none"/>
                <w:lang w:eastAsia="zh-CN"/>
              </w:rPr>
            </w:pPr>
            <w:r>
              <w:rPr>
                <w:rFonts w:hint="eastAsia"/>
                <w:color w:val="auto"/>
                <w:sz w:val="20"/>
                <w:szCs w:val="20"/>
                <w:highlight w:val="none"/>
              </w:rPr>
              <w:t>益</w:t>
            </w:r>
          </w:p>
          <w:p>
            <w:pPr>
              <w:jc w:val="center"/>
              <w:rPr>
                <w:rFonts w:hint="eastAsia" w:eastAsia="宋体"/>
                <w:color w:val="auto"/>
                <w:sz w:val="20"/>
                <w:szCs w:val="20"/>
                <w:highlight w:val="none"/>
                <w:lang w:eastAsia="zh-CN"/>
              </w:rPr>
            </w:pPr>
            <w:r>
              <w:rPr>
                <w:rFonts w:hint="eastAsia"/>
                <w:color w:val="auto"/>
                <w:sz w:val="20"/>
                <w:szCs w:val="20"/>
                <w:highlight w:val="none"/>
              </w:rPr>
              <w:t>指</w:t>
            </w:r>
          </w:p>
          <w:p>
            <w:pPr>
              <w:jc w:val="center"/>
              <w:rPr>
                <w:rFonts w:ascii="宋体" w:cs="宋体"/>
                <w:color w:val="auto"/>
                <w:sz w:val="20"/>
                <w:szCs w:val="20"/>
                <w:highlight w:val="none"/>
              </w:rPr>
            </w:pPr>
            <w:r>
              <w:rPr>
                <w:rFonts w:hint="eastAsia"/>
                <w:color w:val="auto"/>
                <w:sz w:val="20"/>
                <w:szCs w:val="20"/>
                <w:highlight w:val="none"/>
              </w:rPr>
              <w:t>标</w:t>
            </w:r>
          </w:p>
        </w:tc>
        <w:tc>
          <w:tcPr>
            <w:tcW w:w="660" w:type="dxa"/>
            <w:tcBorders>
              <w:top w:val="nil"/>
              <w:left w:val="single" w:color="auto" w:sz="4" w:space="0"/>
              <w:bottom w:val="single" w:color="000000"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经济效益指标</w:t>
            </w:r>
          </w:p>
        </w:tc>
        <w:tc>
          <w:tcPr>
            <w:tcW w:w="828"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指标</w:t>
            </w:r>
            <w:r>
              <w:rPr>
                <w:color w:val="auto"/>
                <w:sz w:val="20"/>
                <w:szCs w:val="20"/>
                <w:highlight w:val="none"/>
              </w:rPr>
              <w:t>1</w:t>
            </w:r>
            <w:r>
              <w:rPr>
                <w:rFonts w:hint="eastAsia"/>
                <w:color w:val="auto"/>
                <w:sz w:val="20"/>
                <w:szCs w:val="20"/>
                <w:highlight w:val="none"/>
              </w:rPr>
              <w:t>：</w:t>
            </w:r>
          </w:p>
        </w:tc>
        <w:tc>
          <w:tcPr>
            <w:tcW w:w="1536" w:type="dxa"/>
            <w:tcBorders>
              <w:top w:val="nil"/>
              <w:left w:val="nil"/>
              <w:bottom w:val="single" w:color="auto" w:sz="4" w:space="0"/>
              <w:right w:val="single" w:color="auto" w:sz="4" w:space="0"/>
            </w:tcBorders>
            <w:vAlign w:val="center"/>
          </w:tcPr>
          <w:p>
            <w:pPr>
              <w:rPr>
                <w:rFonts w:hint="eastAsia" w:ascii="Calibri" w:hAnsi="Calibri" w:eastAsia="宋体" w:cs="Times New Roman"/>
                <w:color w:val="auto"/>
                <w:kern w:val="2"/>
                <w:sz w:val="20"/>
                <w:szCs w:val="20"/>
                <w:highlight w:val="none"/>
                <w:lang w:val="en-US" w:eastAsia="zh-CN" w:bidi="ar-SA"/>
              </w:rPr>
            </w:pPr>
            <w:r>
              <w:rPr>
                <w:rFonts w:hint="eastAsia"/>
                <w:color w:val="auto"/>
                <w:sz w:val="20"/>
                <w:szCs w:val="20"/>
                <w:highlight w:val="none"/>
              </w:rPr>
              <w:t>通过项目的实施，提升农村环境卫生质量，减轻环境污染，减少政府对治理环境污染方面的资金投入。　</w:t>
            </w:r>
          </w:p>
        </w:tc>
        <w:tc>
          <w:tcPr>
            <w:tcW w:w="648"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w:t>
            </w:r>
          </w:p>
        </w:tc>
        <w:tc>
          <w:tcPr>
            <w:tcW w:w="816" w:type="dxa"/>
            <w:tcBorders>
              <w:top w:val="nil"/>
              <w:left w:val="single" w:color="auto" w:sz="4" w:space="0"/>
              <w:bottom w:val="single" w:color="000000"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经济效</w:t>
            </w:r>
          </w:p>
          <w:p>
            <w:pPr>
              <w:jc w:val="center"/>
              <w:rPr>
                <w:rFonts w:ascii="宋体" w:cs="宋体"/>
                <w:color w:val="auto"/>
                <w:sz w:val="20"/>
                <w:szCs w:val="20"/>
                <w:highlight w:val="none"/>
              </w:rPr>
            </w:pPr>
            <w:r>
              <w:rPr>
                <w:rFonts w:hint="eastAsia"/>
                <w:color w:val="auto"/>
                <w:sz w:val="20"/>
                <w:szCs w:val="20"/>
                <w:highlight w:val="none"/>
              </w:rPr>
              <w:t>益指标</w:t>
            </w:r>
          </w:p>
        </w:tc>
        <w:tc>
          <w:tcPr>
            <w:tcW w:w="834"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指标</w:t>
            </w:r>
            <w:r>
              <w:rPr>
                <w:color w:val="auto"/>
                <w:sz w:val="20"/>
                <w:szCs w:val="20"/>
                <w:highlight w:val="none"/>
              </w:rPr>
              <w:t>1</w:t>
            </w:r>
            <w:r>
              <w:rPr>
                <w:rFonts w:hint="eastAsia"/>
                <w:color w:val="auto"/>
                <w:sz w:val="20"/>
                <w:szCs w:val="20"/>
                <w:highlight w:val="none"/>
              </w:rPr>
              <w:t>：</w:t>
            </w:r>
          </w:p>
        </w:tc>
        <w:tc>
          <w:tcPr>
            <w:tcW w:w="1991" w:type="dxa"/>
            <w:tcBorders>
              <w:top w:val="nil"/>
              <w:left w:val="nil"/>
              <w:bottom w:val="single" w:color="auto" w:sz="4" w:space="0"/>
              <w:right w:val="single" w:color="auto" w:sz="4" w:space="0"/>
            </w:tcBorders>
            <w:vAlign w:val="center"/>
          </w:tcPr>
          <w:p>
            <w:pPr>
              <w:rPr>
                <w:rFonts w:hint="eastAsia"/>
                <w:color w:val="auto"/>
                <w:sz w:val="20"/>
                <w:szCs w:val="20"/>
                <w:highlight w:val="none"/>
              </w:rPr>
            </w:pPr>
            <w:r>
              <w:rPr>
                <w:rFonts w:hint="eastAsia"/>
                <w:color w:val="auto"/>
                <w:sz w:val="20"/>
                <w:szCs w:val="20"/>
                <w:highlight w:val="none"/>
              </w:rPr>
              <w:t>通过项目的实施，提升农村环境卫生质量，减轻环境污染，减少政府对治理环境污染方面的资金投入。　</w:t>
            </w:r>
          </w:p>
        </w:tc>
        <w:tc>
          <w:tcPr>
            <w:tcW w:w="641" w:type="dxa"/>
            <w:tcBorders>
              <w:top w:val="nil"/>
              <w:left w:val="nil"/>
              <w:bottom w:val="single" w:color="auto" w:sz="4" w:space="0"/>
              <w:right w:val="single" w:color="auto" w:sz="4" w:space="0"/>
            </w:tcBorders>
            <w:vAlign w:val="center"/>
          </w:tcPr>
          <w:p>
            <w:pPr>
              <w:rPr>
                <w:rFonts w:hint="eastAsia"/>
                <w:color w:val="auto"/>
                <w:sz w:val="20"/>
                <w:szCs w:val="20"/>
                <w:highlight w:val="none"/>
              </w:rPr>
            </w:pPr>
            <w:r>
              <w:rPr>
                <w:rFonts w:hint="eastAsia"/>
                <w:color w:val="auto"/>
                <w:sz w:val="20"/>
                <w:szCs w:val="20"/>
                <w:highlight w:val="none"/>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color w:val="auto"/>
                <w:sz w:val="20"/>
                <w:szCs w:val="20"/>
                <w:highlight w:val="none"/>
              </w:rPr>
            </w:pPr>
          </w:p>
        </w:tc>
        <w:tc>
          <w:tcPr>
            <w:tcW w:w="650" w:type="dxa"/>
            <w:vMerge w:val="continue"/>
            <w:tcBorders>
              <w:top w:val="nil"/>
              <w:left w:val="single" w:color="auto" w:sz="4" w:space="0"/>
              <w:bottom w:val="single" w:color="auto" w:sz="4" w:space="0"/>
              <w:right w:val="single" w:color="auto" w:sz="4" w:space="0"/>
            </w:tcBorders>
            <w:vAlign w:val="center"/>
          </w:tcPr>
          <w:p>
            <w:pPr>
              <w:rPr>
                <w:rFonts w:ascii="宋体" w:cs="宋体"/>
                <w:color w:val="auto"/>
                <w:sz w:val="20"/>
                <w:szCs w:val="20"/>
                <w:highlight w:val="none"/>
              </w:rPr>
            </w:pPr>
          </w:p>
        </w:tc>
        <w:tc>
          <w:tcPr>
            <w:tcW w:w="660" w:type="dxa"/>
            <w:tcBorders>
              <w:top w:val="nil"/>
              <w:left w:val="single" w:color="auto" w:sz="4" w:space="0"/>
              <w:bottom w:val="single" w:color="000000"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社会效益指标</w:t>
            </w:r>
          </w:p>
        </w:tc>
        <w:tc>
          <w:tcPr>
            <w:tcW w:w="828"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指标</w:t>
            </w:r>
            <w:r>
              <w:rPr>
                <w:color w:val="auto"/>
                <w:sz w:val="20"/>
                <w:szCs w:val="20"/>
                <w:highlight w:val="none"/>
              </w:rPr>
              <w:t>1</w:t>
            </w:r>
            <w:r>
              <w:rPr>
                <w:rFonts w:hint="eastAsia"/>
                <w:color w:val="auto"/>
                <w:sz w:val="20"/>
                <w:szCs w:val="20"/>
                <w:highlight w:val="none"/>
              </w:rPr>
              <w:t>：</w:t>
            </w:r>
          </w:p>
        </w:tc>
        <w:tc>
          <w:tcPr>
            <w:tcW w:w="1536" w:type="dxa"/>
            <w:tcBorders>
              <w:top w:val="nil"/>
              <w:left w:val="nil"/>
              <w:bottom w:val="single" w:color="auto" w:sz="4" w:space="0"/>
              <w:right w:val="single" w:color="auto" w:sz="4" w:space="0"/>
            </w:tcBorders>
            <w:vAlign w:val="center"/>
          </w:tcPr>
          <w:p>
            <w:pPr>
              <w:rPr>
                <w:rFonts w:ascii="宋体" w:hAnsi="Calibri" w:eastAsia="宋体" w:cs="宋体"/>
                <w:color w:val="auto"/>
                <w:kern w:val="2"/>
                <w:sz w:val="20"/>
                <w:szCs w:val="20"/>
                <w:highlight w:val="none"/>
                <w:lang w:val="en-US" w:eastAsia="zh-CN" w:bidi="ar-SA"/>
              </w:rPr>
            </w:pPr>
            <w:r>
              <w:rPr>
                <w:rFonts w:hint="eastAsia"/>
                <w:color w:val="auto"/>
                <w:sz w:val="20"/>
                <w:szCs w:val="20"/>
                <w:highlight w:val="none"/>
              </w:rPr>
              <w:t>　通过项目实施，提升农村环境卫生水平和人居环境水平，改善我区城乡大环境，提升广大农村群众的幸福感、满意度。</w:t>
            </w:r>
            <w:r>
              <w:rPr>
                <w:rFonts w:hint="eastAsia"/>
                <w:color w:val="auto"/>
                <w:sz w:val="20"/>
                <w:szCs w:val="20"/>
                <w:highlight w:val="none"/>
              </w:rPr>
              <w:tab/>
            </w:r>
          </w:p>
        </w:tc>
        <w:tc>
          <w:tcPr>
            <w:tcW w:w="648"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w:t>
            </w:r>
          </w:p>
        </w:tc>
        <w:tc>
          <w:tcPr>
            <w:tcW w:w="816" w:type="dxa"/>
            <w:tcBorders>
              <w:top w:val="nil"/>
              <w:left w:val="single" w:color="auto" w:sz="4" w:space="0"/>
              <w:bottom w:val="single" w:color="000000"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社会效</w:t>
            </w:r>
          </w:p>
          <w:p>
            <w:pPr>
              <w:jc w:val="center"/>
              <w:rPr>
                <w:rFonts w:ascii="宋体" w:cs="宋体"/>
                <w:color w:val="auto"/>
                <w:sz w:val="20"/>
                <w:szCs w:val="20"/>
                <w:highlight w:val="none"/>
              </w:rPr>
            </w:pPr>
            <w:r>
              <w:rPr>
                <w:rFonts w:hint="eastAsia"/>
                <w:color w:val="auto"/>
                <w:sz w:val="20"/>
                <w:szCs w:val="20"/>
                <w:highlight w:val="none"/>
              </w:rPr>
              <w:t>益指标</w:t>
            </w:r>
          </w:p>
        </w:tc>
        <w:tc>
          <w:tcPr>
            <w:tcW w:w="834"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指标</w:t>
            </w:r>
            <w:r>
              <w:rPr>
                <w:color w:val="auto"/>
                <w:sz w:val="20"/>
                <w:szCs w:val="20"/>
                <w:highlight w:val="none"/>
              </w:rPr>
              <w:t>1</w:t>
            </w:r>
            <w:r>
              <w:rPr>
                <w:rFonts w:hint="eastAsia"/>
                <w:color w:val="auto"/>
                <w:sz w:val="20"/>
                <w:szCs w:val="20"/>
                <w:highlight w:val="none"/>
              </w:rPr>
              <w:t>：</w:t>
            </w:r>
          </w:p>
        </w:tc>
        <w:tc>
          <w:tcPr>
            <w:tcW w:w="199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通过项目实施，提升农村环境卫生水平和人居环境水平，改善我区城乡大环境，提升广大农村群众的幸福感、满意度。</w:t>
            </w:r>
            <w:r>
              <w:rPr>
                <w:rFonts w:hint="eastAsia"/>
                <w:color w:val="auto"/>
                <w:sz w:val="20"/>
                <w:szCs w:val="20"/>
                <w:highlight w:val="none"/>
              </w:rPr>
              <w:tab/>
            </w:r>
          </w:p>
        </w:tc>
        <w:tc>
          <w:tcPr>
            <w:tcW w:w="64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color w:val="auto"/>
                <w:sz w:val="20"/>
                <w:szCs w:val="20"/>
                <w:highlight w:val="none"/>
              </w:rPr>
            </w:pPr>
          </w:p>
        </w:tc>
        <w:tc>
          <w:tcPr>
            <w:tcW w:w="650" w:type="dxa"/>
            <w:vMerge w:val="continue"/>
            <w:tcBorders>
              <w:top w:val="nil"/>
              <w:left w:val="single" w:color="auto" w:sz="4" w:space="0"/>
              <w:bottom w:val="single" w:color="auto" w:sz="4" w:space="0"/>
              <w:right w:val="single" w:color="auto" w:sz="4" w:space="0"/>
            </w:tcBorders>
            <w:vAlign w:val="center"/>
          </w:tcPr>
          <w:p>
            <w:pPr>
              <w:rPr>
                <w:rFonts w:ascii="宋体" w:cs="宋体"/>
                <w:color w:val="auto"/>
                <w:sz w:val="20"/>
                <w:szCs w:val="20"/>
                <w:highlight w:val="none"/>
              </w:rPr>
            </w:pPr>
          </w:p>
        </w:tc>
        <w:tc>
          <w:tcPr>
            <w:tcW w:w="660" w:type="dxa"/>
            <w:tcBorders>
              <w:top w:val="nil"/>
              <w:left w:val="single" w:color="auto" w:sz="4" w:space="0"/>
              <w:bottom w:val="single" w:color="000000"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生态效益指标</w:t>
            </w:r>
          </w:p>
        </w:tc>
        <w:tc>
          <w:tcPr>
            <w:tcW w:w="828"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指标</w:t>
            </w:r>
            <w:r>
              <w:rPr>
                <w:color w:val="auto"/>
                <w:sz w:val="20"/>
                <w:szCs w:val="20"/>
                <w:highlight w:val="none"/>
              </w:rPr>
              <w:t>1</w:t>
            </w:r>
            <w:r>
              <w:rPr>
                <w:rFonts w:hint="eastAsia"/>
                <w:color w:val="auto"/>
                <w:sz w:val="20"/>
                <w:szCs w:val="20"/>
                <w:highlight w:val="none"/>
              </w:rPr>
              <w:t>：</w:t>
            </w:r>
          </w:p>
        </w:tc>
        <w:tc>
          <w:tcPr>
            <w:tcW w:w="1536" w:type="dxa"/>
            <w:tcBorders>
              <w:top w:val="nil"/>
              <w:left w:val="nil"/>
              <w:bottom w:val="single" w:color="auto" w:sz="4" w:space="0"/>
              <w:right w:val="single" w:color="auto" w:sz="4" w:space="0"/>
            </w:tcBorders>
            <w:vAlign w:val="center"/>
          </w:tcPr>
          <w:p>
            <w:pPr>
              <w:rPr>
                <w:rFonts w:ascii="宋体" w:hAnsi="Calibri" w:eastAsia="宋体" w:cs="宋体"/>
                <w:color w:val="auto"/>
                <w:kern w:val="2"/>
                <w:sz w:val="20"/>
                <w:szCs w:val="20"/>
                <w:highlight w:val="none"/>
                <w:lang w:val="en-US" w:eastAsia="zh-CN" w:bidi="ar-SA"/>
              </w:rPr>
            </w:pPr>
            <w:r>
              <w:rPr>
                <w:rFonts w:hint="eastAsia"/>
                <w:color w:val="auto"/>
                <w:sz w:val="20"/>
                <w:szCs w:val="20"/>
                <w:highlight w:val="none"/>
              </w:rPr>
              <w:t>　对天蓝地净的环境起到积极作用、减轻扬尘污染、改善市容环境。</w:t>
            </w:r>
          </w:p>
        </w:tc>
        <w:tc>
          <w:tcPr>
            <w:tcW w:w="648"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w:t>
            </w:r>
          </w:p>
        </w:tc>
        <w:tc>
          <w:tcPr>
            <w:tcW w:w="816" w:type="dxa"/>
            <w:tcBorders>
              <w:top w:val="nil"/>
              <w:left w:val="single" w:color="auto" w:sz="4" w:space="0"/>
              <w:bottom w:val="single" w:color="000000"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生态效益指标</w:t>
            </w:r>
          </w:p>
        </w:tc>
        <w:tc>
          <w:tcPr>
            <w:tcW w:w="834"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指标</w:t>
            </w:r>
            <w:r>
              <w:rPr>
                <w:color w:val="auto"/>
                <w:sz w:val="20"/>
                <w:szCs w:val="20"/>
                <w:highlight w:val="none"/>
              </w:rPr>
              <w:t>1</w:t>
            </w:r>
            <w:r>
              <w:rPr>
                <w:rFonts w:hint="eastAsia"/>
                <w:color w:val="auto"/>
                <w:sz w:val="20"/>
                <w:szCs w:val="20"/>
                <w:highlight w:val="none"/>
              </w:rPr>
              <w:t>：</w:t>
            </w:r>
          </w:p>
        </w:tc>
        <w:tc>
          <w:tcPr>
            <w:tcW w:w="199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对天蓝地净的环境起到积极作用、减轻扬尘污染、改善市容环境。</w:t>
            </w:r>
          </w:p>
        </w:tc>
        <w:tc>
          <w:tcPr>
            <w:tcW w:w="64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w:t>
            </w:r>
          </w:p>
        </w:tc>
      </w:tr>
      <w:tr>
        <w:tblPrEx>
          <w:tblCellMar>
            <w:top w:w="0" w:type="dxa"/>
            <w:left w:w="108" w:type="dxa"/>
            <w:bottom w:w="0" w:type="dxa"/>
            <w:right w:w="108" w:type="dxa"/>
          </w:tblCellMar>
        </w:tblPrEx>
        <w:trPr>
          <w:trHeight w:val="4548"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color w:val="auto"/>
                <w:sz w:val="20"/>
                <w:szCs w:val="20"/>
                <w:highlight w:val="none"/>
              </w:rPr>
            </w:pPr>
          </w:p>
        </w:tc>
        <w:tc>
          <w:tcPr>
            <w:tcW w:w="650" w:type="dxa"/>
            <w:vMerge w:val="continue"/>
            <w:tcBorders>
              <w:top w:val="nil"/>
              <w:left w:val="single" w:color="auto" w:sz="4" w:space="0"/>
              <w:bottom w:val="single" w:color="auto" w:sz="4" w:space="0"/>
              <w:right w:val="single" w:color="auto" w:sz="4" w:space="0"/>
            </w:tcBorders>
            <w:vAlign w:val="center"/>
          </w:tcPr>
          <w:p>
            <w:pPr>
              <w:rPr>
                <w:rFonts w:ascii="宋体" w:cs="宋体"/>
                <w:color w:val="auto"/>
                <w:sz w:val="20"/>
                <w:szCs w:val="20"/>
                <w:highlight w:val="none"/>
              </w:rPr>
            </w:pPr>
          </w:p>
        </w:tc>
        <w:tc>
          <w:tcPr>
            <w:tcW w:w="660" w:type="dxa"/>
            <w:tcBorders>
              <w:top w:val="nil"/>
              <w:left w:val="single" w:color="auto" w:sz="4" w:space="0"/>
              <w:bottom w:val="single" w:color="000000" w:sz="4" w:space="0"/>
              <w:right w:val="single" w:color="auto" w:sz="4" w:space="0"/>
            </w:tcBorders>
            <w:vAlign w:val="center"/>
          </w:tcPr>
          <w:p>
            <w:pPr>
              <w:jc w:val="center"/>
              <w:rPr>
                <w:rFonts w:hint="eastAsia" w:eastAsia="宋体"/>
                <w:color w:val="auto"/>
                <w:sz w:val="20"/>
                <w:szCs w:val="20"/>
                <w:highlight w:val="none"/>
                <w:lang w:eastAsia="zh-CN"/>
              </w:rPr>
            </w:pPr>
            <w:r>
              <w:rPr>
                <w:rFonts w:hint="eastAsia"/>
                <w:color w:val="auto"/>
                <w:sz w:val="20"/>
                <w:szCs w:val="20"/>
                <w:highlight w:val="none"/>
              </w:rPr>
              <w:t>可持续影响</w:t>
            </w:r>
          </w:p>
          <w:p>
            <w:pPr>
              <w:jc w:val="center"/>
              <w:rPr>
                <w:rFonts w:ascii="宋体" w:cs="宋体"/>
                <w:color w:val="auto"/>
                <w:sz w:val="20"/>
                <w:szCs w:val="20"/>
                <w:highlight w:val="none"/>
              </w:rPr>
            </w:pPr>
            <w:r>
              <w:rPr>
                <w:rFonts w:hint="eastAsia"/>
                <w:color w:val="auto"/>
                <w:sz w:val="20"/>
                <w:szCs w:val="20"/>
                <w:highlight w:val="none"/>
              </w:rPr>
              <w:t>指标</w:t>
            </w:r>
          </w:p>
        </w:tc>
        <w:tc>
          <w:tcPr>
            <w:tcW w:w="828"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指标</w:t>
            </w:r>
            <w:r>
              <w:rPr>
                <w:color w:val="auto"/>
                <w:sz w:val="20"/>
                <w:szCs w:val="20"/>
                <w:highlight w:val="none"/>
              </w:rPr>
              <w:t>1</w:t>
            </w:r>
            <w:r>
              <w:rPr>
                <w:rFonts w:hint="eastAsia"/>
                <w:color w:val="auto"/>
                <w:sz w:val="20"/>
                <w:szCs w:val="20"/>
                <w:highlight w:val="none"/>
              </w:rPr>
              <w:t>：</w:t>
            </w:r>
          </w:p>
        </w:tc>
        <w:tc>
          <w:tcPr>
            <w:tcW w:w="1536" w:type="dxa"/>
            <w:tcBorders>
              <w:top w:val="nil"/>
              <w:left w:val="nil"/>
              <w:bottom w:val="single" w:color="auto" w:sz="4" w:space="0"/>
              <w:right w:val="single" w:color="auto" w:sz="4" w:space="0"/>
            </w:tcBorders>
            <w:vAlign w:val="center"/>
          </w:tcPr>
          <w:p>
            <w:pPr>
              <w:adjustRightInd w:val="0"/>
              <w:snapToGrid w:val="0"/>
              <w:spacing w:line="600" w:lineRule="exact"/>
              <w:ind w:firstLine="400" w:firstLineChars="200"/>
              <w:rPr>
                <w:rFonts w:ascii="宋体" w:hAnsi="Calibri" w:eastAsia="宋体" w:cs="宋体"/>
                <w:color w:val="auto"/>
                <w:kern w:val="2"/>
                <w:sz w:val="20"/>
                <w:szCs w:val="20"/>
                <w:highlight w:val="none"/>
                <w:lang w:val="en-US" w:eastAsia="zh-CN" w:bidi="ar-SA"/>
              </w:rPr>
            </w:pPr>
            <w:r>
              <w:rPr>
                <w:rFonts w:hint="eastAsia"/>
                <w:color w:val="auto"/>
                <w:sz w:val="20"/>
                <w:szCs w:val="20"/>
                <w:highlight w:val="none"/>
              </w:rPr>
              <w:t>逐步建立健全完善的农村环境卫生运行、考核和保障机制，促进八公山区城乡环卫一体化深入持续发展</w:t>
            </w:r>
            <w:r>
              <w:rPr>
                <w:rFonts w:hint="eastAsia"/>
                <w:color w:val="auto"/>
                <w:sz w:val="20"/>
                <w:szCs w:val="20"/>
                <w:highlight w:val="none"/>
                <w:lang w:eastAsia="zh-CN"/>
              </w:rPr>
              <w:t>。</w:t>
            </w:r>
            <w:r>
              <w:rPr>
                <w:rFonts w:hint="eastAsia"/>
                <w:color w:val="auto"/>
                <w:sz w:val="20"/>
                <w:szCs w:val="20"/>
                <w:highlight w:val="none"/>
              </w:rPr>
              <w:tab/>
            </w:r>
          </w:p>
        </w:tc>
        <w:tc>
          <w:tcPr>
            <w:tcW w:w="648"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w:t>
            </w:r>
          </w:p>
        </w:tc>
        <w:tc>
          <w:tcPr>
            <w:tcW w:w="816" w:type="dxa"/>
            <w:tcBorders>
              <w:top w:val="nil"/>
              <w:left w:val="single" w:color="auto" w:sz="4" w:space="0"/>
              <w:bottom w:val="single" w:color="000000"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可持续</w:t>
            </w:r>
          </w:p>
          <w:p>
            <w:pPr>
              <w:jc w:val="center"/>
              <w:rPr>
                <w:color w:val="auto"/>
                <w:sz w:val="20"/>
                <w:szCs w:val="20"/>
                <w:highlight w:val="none"/>
              </w:rPr>
            </w:pPr>
            <w:r>
              <w:rPr>
                <w:rFonts w:hint="eastAsia"/>
                <w:color w:val="auto"/>
                <w:sz w:val="20"/>
                <w:szCs w:val="20"/>
                <w:highlight w:val="none"/>
              </w:rPr>
              <w:t>影响</w:t>
            </w:r>
          </w:p>
          <w:p>
            <w:pPr>
              <w:jc w:val="center"/>
              <w:rPr>
                <w:rFonts w:ascii="宋体" w:cs="宋体"/>
                <w:color w:val="auto"/>
                <w:sz w:val="20"/>
                <w:szCs w:val="20"/>
                <w:highlight w:val="none"/>
              </w:rPr>
            </w:pPr>
            <w:r>
              <w:rPr>
                <w:rFonts w:hint="eastAsia"/>
                <w:color w:val="auto"/>
                <w:sz w:val="20"/>
                <w:szCs w:val="20"/>
                <w:highlight w:val="none"/>
              </w:rPr>
              <w:t>指标</w:t>
            </w:r>
          </w:p>
        </w:tc>
        <w:tc>
          <w:tcPr>
            <w:tcW w:w="834"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指标</w:t>
            </w:r>
            <w:r>
              <w:rPr>
                <w:color w:val="auto"/>
                <w:sz w:val="20"/>
                <w:szCs w:val="20"/>
                <w:highlight w:val="none"/>
              </w:rPr>
              <w:t>1</w:t>
            </w:r>
            <w:r>
              <w:rPr>
                <w:rFonts w:hint="eastAsia"/>
                <w:color w:val="auto"/>
                <w:sz w:val="20"/>
                <w:szCs w:val="20"/>
                <w:highlight w:val="none"/>
              </w:rPr>
              <w:t>：</w:t>
            </w:r>
          </w:p>
        </w:tc>
        <w:tc>
          <w:tcPr>
            <w:tcW w:w="1991" w:type="dxa"/>
            <w:tcBorders>
              <w:top w:val="nil"/>
              <w:left w:val="nil"/>
              <w:bottom w:val="single" w:color="auto" w:sz="4" w:space="0"/>
              <w:right w:val="single" w:color="auto" w:sz="4" w:space="0"/>
            </w:tcBorders>
            <w:vAlign w:val="center"/>
          </w:tcPr>
          <w:p>
            <w:pPr>
              <w:adjustRightInd w:val="0"/>
              <w:snapToGrid w:val="0"/>
              <w:spacing w:line="600" w:lineRule="exact"/>
              <w:ind w:firstLine="400" w:firstLineChars="200"/>
              <w:rPr>
                <w:rFonts w:ascii="宋体" w:cs="宋体"/>
                <w:color w:val="auto"/>
                <w:sz w:val="20"/>
                <w:szCs w:val="20"/>
                <w:highlight w:val="none"/>
              </w:rPr>
            </w:pPr>
            <w:r>
              <w:rPr>
                <w:rFonts w:hint="eastAsia"/>
                <w:color w:val="auto"/>
                <w:sz w:val="20"/>
                <w:szCs w:val="20"/>
                <w:highlight w:val="none"/>
              </w:rPr>
              <w:t>逐步建立健全完善的农村环境卫生运行、考核和保障机制，促进八公山区城乡环卫一体化深入持续发展</w:t>
            </w:r>
            <w:r>
              <w:rPr>
                <w:rFonts w:hint="eastAsia"/>
                <w:color w:val="auto"/>
                <w:sz w:val="20"/>
                <w:szCs w:val="20"/>
                <w:highlight w:val="none"/>
                <w:lang w:eastAsia="zh-CN"/>
              </w:rPr>
              <w:t>。</w:t>
            </w:r>
            <w:r>
              <w:rPr>
                <w:rFonts w:hint="eastAsia"/>
                <w:color w:val="auto"/>
                <w:sz w:val="20"/>
                <w:szCs w:val="20"/>
                <w:highlight w:val="none"/>
              </w:rPr>
              <w:tab/>
            </w:r>
          </w:p>
        </w:tc>
        <w:tc>
          <w:tcPr>
            <w:tcW w:w="64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color w:val="auto"/>
                <w:sz w:val="20"/>
                <w:szCs w:val="20"/>
                <w:highlight w:val="none"/>
              </w:rPr>
            </w:pPr>
          </w:p>
        </w:tc>
        <w:tc>
          <w:tcPr>
            <w:tcW w:w="650" w:type="dxa"/>
            <w:tcBorders>
              <w:top w:val="nil"/>
              <w:left w:val="single" w:color="auto" w:sz="4" w:space="0"/>
              <w:bottom w:val="single" w:color="000000"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满意度指标</w:t>
            </w:r>
          </w:p>
        </w:tc>
        <w:tc>
          <w:tcPr>
            <w:tcW w:w="660" w:type="dxa"/>
            <w:tcBorders>
              <w:top w:val="nil"/>
              <w:left w:val="single" w:color="auto" w:sz="4" w:space="0"/>
              <w:bottom w:val="single" w:color="000000"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rPr>
              <w:t>服务对象满意度指标</w:t>
            </w:r>
          </w:p>
        </w:tc>
        <w:tc>
          <w:tcPr>
            <w:tcW w:w="828" w:type="dxa"/>
            <w:tcBorders>
              <w:top w:val="nil"/>
              <w:left w:val="nil"/>
              <w:bottom w:val="single" w:color="auto" w:sz="4" w:space="0"/>
              <w:right w:val="single" w:color="auto" w:sz="4" w:space="0"/>
            </w:tcBorders>
            <w:vAlign w:val="center"/>
          </w:tcPr>
          <w:p>
            <w:pPr>
              <w:rPr>
                <w:rFonts w:hint="eastAsia" w:ascii="宋体" w:eastAsia="宋体" w:cs="宋体"/>
                <w:color w:val="auto"/>
                <w:sz w:val="20"/>
                <w:szCs w:val="20"/>
                <w:highlight w:val="none"/>
                <w:lang w:eastAsia="zh-CN"/>
              </w:rPr>
            </w:pPr>
            <w:r>
              <w:rPr>
                <w:color w:val="auto"/>
                <w:sz w:val="20"/>
                <w:szCs w:val="20"/>
                <w:highlight w:val="none"/>
              </w:rPr>
              <w:t xml:space="preserve"> </w:t>
            </w:r>
            <w:r>
              <w:rPr>
                <w:rFonts w:hint="eastAsia"/>
                <w:color w:val="auto"/>
                <w:sz w:val="20"/>
                <w:szCs w:val="20"/>
                <w:highlight w:val="none"/>
              </w:rPr>
              <w:t>指标：</w:t>
            </w:r>
            <w:r>
              <w:rPr>
                <w:rFonts w:hint="eastAsia"/>
                <w:color w:val="auto"/>
                <w:sz w:val="20"/>
                <w:szCs w:val="20"/>
                <w:highlight w:val="none"/>
                <w:lang w:eastAsia="zh-CN"/>
              </w:rPr>
              <w:t>两镇居民对乡镇环卫市场化的满意率</w:t>
            </w:r>
          </w:p>
        </w:tc>
        <w:tc>
          <w:tcPr>
            <w:tcW w:w="1536" w:type="dxa"/>
            <w:tcBorders>
              <w:top w:val="nil"/>
              <w:left w:val="nil"/>
              <w:bottom w:val="single" w:color="auto" w:sz="4" w:space="0"/>
              <w:right w:val="single" w:color="auto" w:sz="4" w:space="0"/>
            </w:tcBorders>
            <w:vAlign w:val="center"/>
          </w:tcPr>
          <w:p>
            <w:pPr>
              <w:jc w:val="center"/>
              <w:rPr>
                <w:rFonts w:hint="default" w:ascii="宋体" w:eastAsia="宋体" w:cs="宋体"/>
                <w:color w:val="auto"/>
                <w:sz w:val="20"/>
                <w:szCs w:val="20"/>
                <w:highlight w:val="none"/>
                <w:lang w:val="en-US" w:eastAsia="zh-CN"/>
              </w:rPr>
            </w:pPr>
            <w:r>
              <w:rPr>
                <w:rFonts w:hint="eastAsia"/>
                <w:color w:val="auto"/>
                <w:sz w:val="20"/>
                <w:szCs w:val="20"/>
                <w:highlight w:val="none"/>
              </w:rPr>
              <w:t>　</w:t>
            </w:r>
            <w:r>
              <w:rPr>
                <w:rFonts w:hint="eastAsia"/>
                <w:color w:val="auto"/>
                <w:sz w:val="20"/>
                <w:szCs w:val="20"/>
                <w:highlight w:val="none"/>
                <w:lang w:eastAsia="zh-CN"/>
              </w:rPr>
              <w:t>不小于</w:t>
            </w:r>
            <w:r>
              <w:rPr>
                <w:rFonts w:hint="eastAsia"/>
                <w:color w:val="auto"/>
                <w:sz w:val="20"/>
                <w:szCs w:val="20"/>
                <w:highlight w:val="none"/>
                <w:lang w:val="en-US" w:eastAsia="zh-CN"/>
              </w:rPr>
              <w:t>95%</w:t>
            </w:r>
          </w:p>
        </w:tc>
        <w:tc>
          <w:tcPr>
            <w:tcW w:w="648" w:type="dxa"/>
            <w:tcBorders>
              <w:top w:val="nil"/>
              <w:left w:val="nil"/>
              <w:bottom w:val="single" w:color="auto" w:sz="4" w:space="0"/>
              <w:right w:val="single" w:color="auto" w:sz="4" w:space="0"/>
            </w:tcBorders>
            <w:vAlign w:val="center"/>
          </w:tcPr>
          <w:p>
            <w:pPr>
              <w:jc w:val="center"/>
              <w:rPr>
                <w:rFonts w:ascii="宋体" w:cs="宋体"/>
                <w:color w:val="auto"/>
                <w:sz w:val="20"/>
                <w:szCs w:val="20"/>
                <w:highlight w:val="none"/>
              </w:rPr>
            </w:pPr>
            <w:r>
              <w:rPr>
                <w:rFonts w:hint="eastAsia"/>
                <w:color w:val="auto"/>
                <w:sz w:val="20"/>
                <w:szCs w:val="20"/>
                <w:highlight w:val="none"/>
                <w:lang w:eastAsia="zh-CN"/>
              </w:rPr>
              <w:t>根据日常考核情况的群众投诉情况</w:t>
            </w:r>
            <w:r>
              <w:rPr>
                <w:rFonts w:hint="eastAsia"/>
                <w:color w:val="auto"/>
                <w:sz w:val="20"/>
                <w:szCs w:val="20"/>
                <w:highlight w:val="none"/>
              </w:rPr>
              <w:t>　</w:t>
            </w:r>
          </w:p>
        </w:tc>
        <w:tc>
          <w:tcPr>
            <w:tcW w:w="816" w:type="dxa"/>
            <w:tcBorders>
              <w:top w:val="nil"/>
              <w:left w:val="single" w:color="auto" w:sz="4" w:space="0"/>
              <w:bottom w:val="single" w:color="000000" w:sz="4" w:space="0"/>
              <w:right w:val="single" w:color="auto" w:sz="4" w:space="0"/>
            </w:tcBorders>
            <w:vAlign w:val="center"/>
          </w:tcPr>
          <w:p>
            <w:pPr>
              <w:jc w:val="center"/>
              <w:rPr>
                <w:color w:val="auto"/>
                <w:sz w:val="20"/>
                <w:szCs w:val="20"/>
                <w:highlight w:val="none"/>
              </w:rPr>
            </w:pPr>
            <w:r>
              <w:rPr>
                <w:rFonts w:hint="eastAsia"/>
                <w:color w:val="auto"/>
                <w:sz w:val="20"/>
                <w:szCs w:val="20"/>
                <w:highlight w:val="none"/>
              </w:rPr>
              <w:t>服务对</w:t>
            </w:r>
          </w:p>
          <w:p>
            <w:pPr>
              <w:jc w:val="center"/>
              <w:rPr>
                <w:color w:val="auto"/>
                <w:sz w:val="20"/>
                <w:szCs w:val="20"/>
                <w:highlight w:val="none"/>
              </w:rPr>
            </w:pPr>
            <w:r>
              <w:rPr>
                <w:rFonts w:hint="eastAsia"/>
                <w:color w:val="auto"/>
                <w:sz w:val="20"/>
                <w:szCs w:val="20"/>
                <w:highlight w:val="none"/>
              </w:rPr>
              <w:t>象满意</w:t>
            </w:r>
          </w:p>
          <w:p>
            <w:pPr>
              <w:jc w:val="center"/>
              <w:rPr>
                <w:rFonts w:ascii="宋体" w:cs="宋体"/>
                <w:color w:val="auto"/>
                <w:sz w:val="20"/>
                <w:szCs w:val="20"/>
                <w:highlight w:val="none"/>
              </w:rPr>
            </w:pPr>
            <w:r>
              <w:rPr>
                <w:rFonts w:hint="eastAsia"/>
                <w:color w:val="auto"/>
                <w:sz w:val="20"/>
                <w:szCs w:val="20"/>
                <w:highlight w:val="none"/>
              </w:rPr>
              <w:t>度指标</w:t>
            </w:r>
          </w:p>
        </w:tc>
        <w:tc>
          <w:tcPr>
            <w:tcW w:w="834"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color w:val="auto"/>
                <w:sz w:val="20"/>
                <w:szCs w:val="20"/>
                <w:highlight w:val="none"/>
              </w:rPr>
              <w:t xml:space="preserve"> </w:t>
            </w:r>
            <w:r>
              <w:rPr>
                <w:rFonts w:hint="eastAsia"/>
                <w:color w:val="auto"/>
                <w:sz w:val="20"/>
                <w:szCs w:val="20"/>
                <w:highlight w:val="none"/>
              </w:rPr>
              <w:t>指标</w:t>
            </w:r>
            <w:r>
              <w:rPr>
                <w:color w:val="auto"/>
                <w:sz w:val="20"/>
                <w:szCs w:val="20"/>
                <w:highlight w:val="none"/>
              </w:rPr>
              <w:t>1</w:t>
            </w:r>
            <w:r>
              <w:rPr>
                <w:rFonts w:hint="eastAsia"/>
                <w:color w:val="auto"/>
                <w:sz w:val="20"/>
                <w:szCs w:val="20"/>
                <w:highlight w:val="none"/>
              </w:rPr>
              <w:t>：</w:t>
            </w:r>
            <w:r>
              <w:rPr>
                <w:rFonts w:hint="eastAsia"/>
                <w:color w:val="auto"/>
                <w:sz w:val="20"/>
                <w:szCs w:val="20"/>
                <w:highlight w:val="none"/>
                <w:lang w:eastAsia="zh-CN"/>
              </w:rPr>
              <w:t>两镇居民对乡镇环卫市场化的满意率</w:t>
            </w:r>
          </w:p>
        </w:tc>
        <w:tc>
          <w:tcPr>
            <w:tcW w:w="1991" w:type="dxa"/>
            <w:tcBorders>
              <w:top w:val="nil"/>
              <w:left w:val="nil"/>
              <w:bottom w:val="single" w:color="auto" w:sz="4" w:space="0"/>
              <w:right w:val="single" w:color="auto" w:sz="4" w:space="0"/>
            </w:tcBorders>
            <w:vAlign w:val="center"/>
          </w:tcPr>
          <w:p>
            <w:pPr>
              <w:rPr>
                <w:rFonts w:hint="default" w:ascii="宋体" w:eastAsia="宋体" w:cs="宋体"/>
                <w:color w:val="auto"/>
                <w:sz w:val="20"/>
                <w:szCs w:val="20"/>
                <w:highlight w:val="none"/>
                <w:lang w:val="en-US" w:eastAsia="zh-CN"/>
              </w:rPr>
            </w:pPr>
            <w:r>
              <w:rPr>
                <w:rFonts w:hint="eastAsia"/>
                <w:color w:val="auto"/>
                <w:sz w:val="20"/>
                <w:szCs w:val="20"/>
                <w:highlight w:val="none"/>
              </w:rPr>
              <w:t>　</w:t>
            </w:r>
            <w:r>
              <w:rPr>
                <w:rFonts w:hint="eastAsia"/>
                <w:color w:val="auto"/>
                <w:sz w:val="20"/>
                <w:szCs w:val="20"/>
                <w:highlight w:val="none"/>
                <w:lang w:eastAsia="zh-CN"/>
              </w:rPr>
              <w:t>不小于</w:t>
            </w:r>
            <w:r>
              <w:rPr>
                <w:rFonts w:hint="eastAsia"/>
                <w:color w:val="auto"/>
                <w:sz w:val="20"/>
                <w:szCs w:val="20"/>
                <w:highlight w:val="none"/>
                <w:lang w:val="en-US" w:eastAsia="zh-CN"/>
              </w:rPr>
              <w:t>95%</w:t>
            </w:r>
          </w:p>
        </w:tc>
        <w:tc>
          <w:tcPr>
            <w:tcW w:w="641" w:type="dxa"/>
            <w:tcBorders>
              <w:top w:val="nil"/>
              <w:left w:val="nil"/>
              <w:bottom w:val="single" w:color="auto" w:sz="4" w:space="0"/>
              <w:right w:val="single" w:color="auto" w:sz="4" w:space="0"/>
            </w:tcBorders>
            <w:vAlign w:val="center"/>
          </w:tcPr>
          <w:p>
            <w:pPr>
              <w:rPr>
                <w:rFonts w:ascii="宋体" w:cs="宋体"/>
                <w:color w:val="auto"/>
                <w:sz w:val="20"/>
                <w:szCs w:val="20"/>
                <w:highlight w:val="none"/>
              </w:rPr>
            </w:pPr>
            <w:r>
              <w:rPr>
                <w:rFonts w:hint="eastAsia"/>
                <w:color w:val="auto"/>
                <w:sz w:val="20"/>
                <w:szCs w:val="20"/>
                <w:highlight w:val="none"/>
              </w:rPr>
              <w:t>　</w:t>
            </w:r>
          </w:p>
        </w:tc>
      </w:tr>
    </w:tbl>
    <w:p>
      <w:pPr>
        <w:adjustRightInd w:val="0"/>
        <w:snapToGrid w:val="0"/>
        <w:spacing w:line="600" w:lineRule="exact"/>
        <w:ind w:firstLine="803" w:firstLineChars="250"/>
        <w:rPr>
          <w:rFonts w:ascii="仿宋_GB2312" w:hAnsi="楷体" w:eastAsia="仿宋_GB2312"/>
          <w:b/>
          <w:color w:val="auto"/>
          <w:sz w:val="32"/>
          <w:szCs w:val="32"/>
          <w:highlight w:val="none"/>
        </w:rPr>
      </w:pPr>
    </w:p>
    <w:p>
      <w:pPr>
        <w:adjustRightInd w:val="0"/>
        <w:snapToGrid w:val="0"/>
        <w:spacing w:line="600" w:lineRule="exact"/>
        <w:ind w:firstLine="643" w:firstLineChars="200"/>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（二）机关运行经费。</w:t>
      </w:r>
    </w:p>
    <w:p>
      <w:pPr>
        <w:adjustRightInd w:val="0"/>
        <w:snapToGrid w:val="0"/>
        <w:spacing w:line="60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s="宋体"/>
          <w:color w:val="auto"/>
          <w:kern w:val="0"/>
          <w:sz w:val="32"/>
          <w:szCs w:val="32"/>
          <w:highlight w:val="none"/>
          <w:lang w:eastAsia="zh-CN"/>
        </w:rPr>
        <w:t>淮南市八公山区环境卫生管理处</w:t>
      </w:r>
      <w:r>
        <w:rPr>
          <w:rFonts w:hint="eastAsia" w:ascii="仿宋_GB2312" w:hAnsi="仿宋" w:eastAsia="仿宋_GB2312"/>
          <w:color w:val="auto"/>
          <w:sz w:val="32"/>
          <w:szCs w:val="32"/>
          <w:highlight w:val="none"/>
          <w:lang w:val="en-US" w:eastAsia="zh-CN"/>
        </w:rPr>
        <w:t>是全额拨款事业单位，不属于机关运行经费统计范畴</w:t>
      </w:r>
      <w:r>
        <w:rPr>
          <w:rFonts w:hint="eastAsia" w:ascii="仿宋_GB2312" w:hAnsi="仿宋" w:eastAsia="仿宋_GB2312"/>
          <w:color w:val="auto"/>
          <w:sz w:val="32"/>
          <w:szCs w:val="32"/>
          <w:highlight w:val="none"/>
        </w:rPr>
        <w:t>。</w:t>
      </w:r>
    </w:p>
    <w:p>
      <w:pPr>
        <w:adjustRightInd w:val="0"/>
        <w:snapToGrid w:val="0"/>
        <w:spacing w:line="600" w:lineRule="exact"/>
        <w:ind w:firstLine="643" w:firstLineChars="200"/>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（三）政府采购情况。</w:t>
      </w:r>
    </w:p>
    <w:p>
      <w:pPr>
        <w:adjustRightInd w:val="0"/>
        <w:snapToGrid w:val="0"/>
        <w:spacing w:line="600" w:lineRule="exact"/>
        <w:ind w:firstLine="640" w:firstLineChars="200"/>
        <w:rPr>
          <w:rFonts w:ascii="仿宋_GB2312" w:hAnsi="楷体" w:eastAsia="仿宋_GB2312"/>
          <w:color w:val="auto"/>
          <w:sz w:val="32"/>
          <w:szCs w:val="32"/>
          <w:highlight w:val="none"/>
        </w:rPr>
      </w:pPr>
      <w:r>
        <w:rPr>
          <w:rFonts w:hint="eastAsia" w:ascii="仿宋_GB2312" w:hAnsi="仿宋" w:eastAsia="仿宋_GB2312" w:cs="宋体"/>
          <w:color w:val="auto"/>
          <w:kern w:val="0"/>
          <w:sz w:val="32"/>
          <w:szCs w:val="32"/>
          <w:highlight w:val="none"/>
          <w:lang w:eastAsia="zh-CN"/>
        </w:rPr>
        <w:t>淮南市八公山区环境卫生管理处</w:t>
      </w:r>
      <w:r>
        <w:rPr>
          <w:rFonts w:ascii="仿宋_GB2312" w:hAnsi="楷体" w:eastAsia="仿宋_GB2312"/>
          <w:color w:val="auto"/>
          <w:sz w:val="32"/>
          <w:szCs w:val="32"/>
          <w:highlight w:val="none"/>
        </w:rPr>
        <w:t>2022</w:t>
      </w:r>
      <w:r>
        <w:rPr>
          <w:rFonts w:hint="eastAsia" w:ascii="仿宋_GB2312" w:hAnsi="楷体" w:eastAsia="仿宋_GB2312"/>
          <w:color w:val="auto"/>
          <w:sz w:val="32"/>
          <w:szCs w:val="32"/>
          <w:highlight w:val="none"/>
        </w:rPr>
        <w:t>年政府采购预算</w:t>
      </w:r>
      <w:r>
        <w:rPr>
          <w:rFonts w:hint="eastAsia" w:ascii="仿宋_GB2312" w:hAnsi="楷体" w:eastAsia="仿宋_GB2312"/>
          <w:color w:val="auto"/>
          <w:sz w:val="32"/>
          <w:szCs w:val="32"/>
          <w:highlight w:val="none"/>
          <w:lang w:val="en-US" w:eastAsia="zh-CN"/>
        </w:rPr>
        <w:t>0</w:t>
      </w:r>
      <w:r>
        <w:rPr>
          <w:rFonts w:hint="eastAsia" w:ascii="仿宋_GB2312" w:hAnsi="楷体" w:eastAsia="仿宋_GB2312"/>
          <w:color w:val="auto"/>
          <w:sz w:val="32"/>
          <w:szCs w:val="32"/>
          <w:highlight w:val="none"/>
        </w:rPr>
        <w:t>万元。</w:t>
      </w:r>
    </w:p>
    <w:p>
      <w:pPr>
        <w:adjustRightInd w:val="0"/>
        <w:snapToGrid w:val="0"/>
        <w:spacing w:line="600" w:lineRule="exact"/>
        <w:ind w:firstLine="643" w:firstLineChars="200"/>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（四）国有资产占有使用情况。</w:t>
      </w:r>
    </w:p>
    <w:p>
      <w:pPr>
        <w:adjustRightInd w:val="0"/>
        <w:snapToGrid w:val="0"/>
        <w:spacing w:line="600" w:lineRule="exact"/>
        <w:ind w:firstLine="640" w:firstLineChars="200"/>
        <w:rPr>
          <w:rFonts w:hint="eastAsia" w:ascii="仿宋_GB2312" w:hAnsi="楷体" w:eastAsia="仿宋_GB2312"/>
          <w:color w:val="auto"/>
          <w:sz w:val="32"/>
          <w:szCs w:val="32"/>
          <w:highlight w:val="none"/>
        </w:rPr>
      </w:pPr>
      <w:r>
        <w:rPr>
          <w:rFonts w:hint="eastAsia" w:ascii="仿宋_GB2312" w:hAnsi="仿宋" w:eastAsia="仿宋_GB2312"/>
          <w:color w:val="auto"/>
          <w:sz w:val="32"/>
          <w:szCs w:val="32"/>
          <w:highlight w:val="none"/>
        </w:rPr>
        <w:t>截</w:t>
      </w:r>
      <w:r>
        <w:rPr>
          <w:rFonts w:hint="eastAsia" w:ascii="仿宋_GB2312" w:hAnsi="楷体" w:eastAsia="仿宋_GB2312"/>
          <w:color w:val="auto"/>
          <w:sz w:val="32"/>
          <w:szCs w:val="32"/>
          <w:highlight w:val="none"/>
        </w:rPr>
        <w:t>至2021年12月31日，淮南市八公山区环境卫生管理处共有车辆33辆，其中：一般公务用车1辆、特种专业技术用车32辆。单位价值50万元以上的通用设备</w:t>
      </w:r>
      <w:r>
        <w:rPr>
          <w:rFonts w:hint="eastAsia" w:ascii="仿宋_GB2312" w:hAnsi="楷体" w:eastAsia="仿宋_GB2312"/>
          <w:color w:val="auto"/>
          <w:sz w:val="32"/>
          <w:szCs w:val="32"/>
          <w:highlight w:val="none"/>
          <w:lang w:val="en-US" w:eastAsia="zh-CN"/>
        </w:rPr>
        <w:t>0</w:t>
      </w:r>
      <w:r>
        <w:rPr>
          <w:rFonts w:hint="eastAsia" w:ascii="仿宋_GB2312" w:hAnsi="楷体" w:eastAsia="仿宋_GB2312"/>
          <w:color w:val="auto"/>
          <w:sz w:val="32"/>
          <w:szCs w:val="32"/>
          <w:highlight w:val="none"/>
        </w:rPr>
        <w:t>台（套），单位价值100万元以上的专用设备</w:t>
      </w:r>
      <w:r>
        <w:rPr>
          <w:rFonts w:hint="eastAsia" w:ascii="仿宋_GB2312" w:hAnsi="楷体" w:eastAsia="仿宋_GB2312"/>
          <w:color w:val="auto"/>
          <w:sz w:val="32"/>
          <w:szCs w:val="32"/>
          <w:highlight w:val="none"/>
          <w:lang w:val="en-US" w:eastAsia="zh-CN"/>
        </w:rPr>
        <w:t>0</w:t>
      </w:r>
      <w:r>
        <w:rPr>
          <w:rFonts w:hint="eastAsia" w:ascii="仿宋_GB2312" w:hAnsi="楷体" w:eastAsia="仿宋_GB2312"/>
          <w:color w:val="auto"/>
          <w:sz w:val="32"/>
          <w:szCs w:val="32"/>
          <w:highlight w:val="none"/>
        </w:rPr>
        <w:t>台（套）。</w:t>
      </w:r>
    </w:p>
    <w:p>
      <w:pPr>
        <w:adjustRightInd w:val="0"/>
        <w:snapToGrid w:val="0"/>
        <w:spacing w:line="600" w:lineRule="exact"/>
        <w:ind w:firstLine="640" w:firstLineChars="200"/>
        <w:rPr>
          <w:rFonts w:ascii="仿宋_GB2312" w:hAnsi="楷体" w:eastAsia="仿宋_GB2312"/>
          <w:color w:val="auto"/>
          <w:sz w:val="32"/>
          <w:szCs w:val="32"/>
          <w:highlight w:val="none"/>
        </w:rPr>
      </w:pPr>
      <w:r>
        <w:rPr>
          <w:rFonts w:ascii="仿宋_GB2312" w:hAnsi="楷体" w:eastAsia="仿宋_GB2312"/>
          <w:color w:val="auto"/>
          <w:sz w:val="32"/>
          <w:szCs w:val="32"/>
          <w:highlight w:val="none"/>
        </w:rPr>
        <w:t>2022</w:t>
      </w:r>
      <w:r>
        <w:rPr>
          <w:rFonts w:hint="eastAsia" w:ascii="仿宋_GB2312" w:hAnsi="楷体" w:eastAsia="仿宋_GB2312"/>
          <w:color w:val="auto"/>
          <w:sz w:val="32"/>
          <w:szCs w:val="32"/>
          <w:highlight w:val="none"/>
        </w:rPr>
        <w:t>年部门</w:t>
      </w:r>
      <w:r>
        <w:rPr>
          <w:rFonts w:hint="eastAsia" w:ascii="仿宋_GB2312" w:hAnsi="楷体" w:eastAsia="仿宋_GB2312"/>
          <w:color w:val="auto"/>
          <w:sz w:val="32"/>
          <w:szCs w:val="32"/>
          <w:highlight w:val="none"/>
          <w:u w:val="none"/>
        </w:rPr>
        <w:t>单位</w:t>
      </w:r>
      <w:r>
        <w:rPr>
          <w:rFonts w:hint="eastAsia" w:ascii="仿宋_GB2312" w:hAnsi="楷体" w:eastAsia="仿宋_GB2312"/>
          <w:color w:val="auto"/>
          <w:sz w:val="32"/>
          <w:szCs w:val="32"/>
          <w:highlight w:val="none"/>
        </w:rPr>
        <w:t>预算安排购置公务用车</w:t>
      </w:r>
      <w:r>
        <w:rPr>
          <w:rFonts w:hint="eastAsia" w:ascii="仿宋_GB2312" w:hAnsi="楷体" w:eastAsia="仿宋_GB2312"/>
          <w:color w:val="auto"/>
          <w:sz w:val="32"/>
          <w:szCs w:val="32"/>
          <w:highlight w:val="none"/>
          <w:lang w:val="en-US" w:eastAsia="zh-CN"/>
        </w:rPr>
        <w:t>0</w:t>
      </w:r>
      <w:r>
        <w:rPr>
          <w:rFonts w:hint="eastAsia" w:ascii="仿宋_GB2312" w:hAnsi="楷体" w:eastAsia="仿宋_GB2312"/>
          <w:color w:val="auto"/>
          <w:sz w:val="32"/>
          <w:szCs w:val="32"/>
          <w:highlight w:val="none"/>
        </w:rPr>
        <w:t>辆，购置费</w:t>
      </w:r>
      <w:r>
        <w:rPr>
          <w:rFonts w:hint="eastAsia" w:ascii="仿宋_GB2312" w:hAnsi="楷体" w:eastAsia="仿宋_GB2312"/>
          <w:color w:val="auto"/>
          <w:sz w:val="32"/>
          <w:szCs w:val="32"/>
          <w:highlight w:val="none"/>
          <w:lang w:val="en-US" w:eastAsia="zh-CN"/>
        </w:rPr>
        <w:t>0</w:t>
      </w:r>
      <w:r>
        <w:rPr>
          <w:rFonts w:hint="eastAsia" w:ascii="仿宋_GB2312" w:hAnsi="楷体" w:eastAsia="仿宋_GB2312"/>
          <w:color w:val="auto"/>
          <w:sz w:val="32"/>
          <w:szCs w:val="32"/>
          <w:highlight w:val="none"/>
        </w:rPr>
        <w:t>万元；安排购置单位价值</w:t>
      </w:r>
      <w:r>
        <w:rPr>
          <w:rFonts w:ascii="仿宋_GB2312" w:hAnsi="楷体" w:eastAsia="仿宋_GB2312"/>
          <w:color w:val="auto"/>
          <w:sz w:val="32"/>
          <w:szCs w:val="32"/>
          <w:highlight w:val="none"/>
        </w:rPr>
        <w:t>50</w:t>
      </w:r>
      <w:r>
        <w:rPr>
          <w:rFonts w:hint="eastAsia" w:ascii="仿宋_GB2312" w:hAnsi="楷体" w:eastAsia="仿宋_GB2312"/>
          <w:color w:val="auto"/>
          <w:sz w:val="32"/>
          <w:szCs w:val="32"/>
          <w:highlight w:val="none"/>
        </w:rPr>
        <w:t>万元以上的通用设备</w:t>
      </w:r>
      <w:r>
        <w:rPr>
          <w:rFonts w:hint="eastAsia" w:ascii="仿宋_GB2312" w:hAnsi="楷体" w:eastAsia="仿宋_GB2312"/>
          <w:color w:val="auto"/>
          <w:sz w:val="32"/>
          <w:szCs w:val="32"/>
          <w:highlight w:val="none"/>
          <w:lang w:val="en-US" w:eastAsia="zh-CN"/>
        </w:rPr>
        <w:t>0</w:t>
      </w:r>
      <w:r>
        <w:rPr>
          <w:rFonts w:hint="eastAsia" w:ascii="仿宋_GB2312" w:hAnsi="楷体" w:eastAsia="仿宋_GB2312"/>
          <w:color w:val="auto"/>
          <w:sz w:val="32"/>
          <w:szCs w:val="32"/>
          <w:highlight w:val="none"/>
        </w:rPr>
        <w:t>台（套），购置费</w:t>
      </w:r>
      <w:r>
        <w:rPr>
          <w:rFonts w:hint="eastAsia" w:ascii="仿宋_GB2312" w:hAnsi="楷体" w:eastAsia="仿宋_GB2312"/>
          <w:color w:val="auto"/>
          <w:sz w:val="32"/>
          <w:szCs w:val="32"/>
          <w:highlight w:val="none"/>
          <w:lang w:val="en-US" w:eastAsia="zh-CN"/>
        </w:rPr>
        <w:t>0</w:t>
      </w:r>
      <w:r>
        <w:rPr>
          <w:rFonts w:hint="eastAsia" w:ascii="仿宋_GB2312" w:hAnsi="楷体" w:eastAsia="仿宋_GB2312"/>
          <w:color w:val="auto"/>
          <w:sz w:val="32"/>
          <w:szCs w:val="32"/>
          <w:highlight w:val="none"/>
        </w:rPr>
        <w:t>万元；安排购置单位价值</w:t>
      </w:r>
      <w:r>
        <w:rPr>
          <w:rFonts w:ascii="仿宋_GB2312" w:hAnsi="楷体" w:eastAsia="仿宋_GB2312"/>
          <w:color w:val="auto"/>
          <w:sz w:val="32"/>
          <w:szCs w:val="32"/>
          <w:highlight w:val="none"/>
        </w:rPr>
        <w:t>100</w:t>
      </w:r>
      <w:r>
        <w:rPr>
          <w:rFonts w:hint="eastAsia" w:ascii="仿宋_GB2312" w:hAnsi="楷体" w:eastAsia="仿宋_GB2312"/>
          <w:color w:val="auto"/>
          <w:sz w:val="32"/>
          <w:szCs w:val="32"/>
          <w:highlight w:val="none"/>
        </w:rPr>
        <w:t>万元以上专用设备</w:t>
      </w:r>
      <w:r>
        <w:rPr>
          <w:rFonts w:hint="eastAsia" w:ascii="仿宋_GB2312" w:hAnsi="楷体" w:eastAsia="仿宋_GB2312"/>
          <w:color w:val="auto"/>
          <w:sz w:val="32"/>
          <w:szCs w:val="32"/>
          <w:highlight w:val="none"/>
          <w:lang w:val="en-US" w:eastAsia="zh-CN"/>
        </w:rPr>
        <w:t>0</w:t>
      </w:r>
      <w:r>
        <w:rPr>
          <w:rFonts w:hint="eastAsia" w:ascii="仿宋_GB2312" w:hAnsi="楷体" w:eastAsia="仿宋_GB2312"/>
          <w:color w:val="auto"/>
          <w:sz w:val="32"/>
          <w:szCs w:val="32"/>
          <w:highlight w:val="none"/>
        </w:rPr>
        <w:t>台（套），购置费</w:t>
      </w:r>
      <w:r>
        <w:rPr>
          <w:rFonts w:hint="eastAsia" w:ascii="仿宋_GB2312" w:hAnsi="楷体" w:eastAsia="仿宋_GB2312"/>
          <w:color w:val="auto"/>
          <w:sz w:val="32"/>
          <w:szCs w:val="32"/>
          <w:highlight w:val="none"/>
          <w:lang w:val="en-US" w:eastAsia="zh-CN"/>
        </w:rPr>
        <w:t>0</w:t>
      </w:r>
      <w:r>
        <w:rPr>
          <w:rFonts w:hint="eastAsia" w:ascii="仿宋_GB2312" w:hAnsi="楷体" w:eastAsia="仿宋_GB2312"/>
          <w:color w:val="auto"/>
          <w:sz w:val="32"/>
          <w:szCs w:val="32"/>
          <w:highlight w:val="none"/>
        </w:rPr>
        <w:t>万元。</w:t>
      </w:r>
    </w:p>
    <w:p>
      <w:pPr>
        <w:adjustRightInd w:val="0"/>
        <w:snapToGrid w:val="0"/>
        <w:spacing w:line="600" w:lineRule="exact"/>
        <w:ind w:firstLine="643" w:firstLineChars="200"/>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（五）绩效目标设置情况。</w:t>
      </w:r>
    </w:p>
    <w:p>
      <w:pPr>
        <w:adjustRightInd w:val="0"/>
        <w:snapToGrid w:val="0"/>
        <w:spacing w:line="600" w:lineRule="exact"/>
        <w:ind w:firstLine="640" w:firstLineChars="200"/>
        <w:outlineLvl w:val="0"/>
        <w:rPr>
          <w:rFonts w:ascii="仿宋_GB2312" w:hAnsi="仿宋" w:eastAsia="仿宋_GB2312"/>
          <w:color w:val="auto"/>
          <w:sz w:val="32"/>
          <w:szCs w:val="32"/>
          <w:highlight w:val="none"/>
        </w:rPr>
      </w:pPr>
      <w:r>
        <w:rPr>
          <w:rFonts w:ascii="仿宋_GB2312" w:hAnsi="仿宋" w:eastAsia="仿宋_GB2312"/>
          <w:color w:val="auto"/>
          <w:sz w:val="32"/>
          <w:szCs w:val="32"/>
          <w:highlight w:val="none"/>
        </w:rPr>
        <w:t>2022</w:t>
      </w:r>
      <w:r>
        <w:rPr>
          <w:rFonts w:hint="eastAsia" w:ascii="仿宋_GB2312" w:hAnsi="仿宋" w:eastAsia="仿宋_GB2312"/>
          <w:color w:val="auto"/>
          <w:sz w:val="32"/>
          <w:szCs w:val="32"/>
          <w:highlight w:val="none"/>
        </w:rPr>
        <w:t>年，</w:t>
      </w:r>
      <w:r>
        <w:rPr>
          <w:rFonts w:hint="eastAsia" w:ascii="仿宋_GB2312" w:hAnsi="仿宋" w:eastAsia="仿宋_GB2312" w:cs="宋体"/>
          <w:color w:val="auto"/>
          <w:kern w:val="0"/>
          <w:sz w:val="32"/>
          <w:szCs w:val="32"/>
          <w:highlight w:val="none"/>
          <w:lang w:eastAsia="zh-CN"/>
        </w:rPr>
        <w:t>淮南市八公山区环境卫生管理处</w:t>
      </w:r>
      <w:r>
        <w:rPr>
          <w:rFonts w:hint="eastAsia" w:ascii="仿宋_GB2312" w:hAnsi="仿宋" w:eastAsia="仿宋_GB2312"/>
          <w:color w:val="auto"/>
          <w:sz w:val="32"/>
          <w:szCs w:val="32"/>
          <w:highlight w:val="none"/>
          <w:lang w:val="en-US" w:eastAsia="zh-CN"/>
        </w:rPr>
        <w:t>2</w:t>
      </w:r>
      <w:r>
        <w:rPr>
          <w:rFonts w:hint="eastAsia" w:ascii="仿宋_GB2312" w:hAnsi="仿宋" w:eastAsia="仿宋_GB2312"/>
          <w:color w:val="auto"/>
          <w:sz w:val="32"/>
          <w:szCs w:val="32"/>
          <w:highlight w:val="none"/>
        </w:rPr>
        <w:t>个项目实行了绩效目标管理，涉及一般公共预算当年财政拨款</w:t>
      </w:r>
      <w:r>
        <w:rPr>
          <w:rFonts w:hint="eastAsia" w:ascii="仿宋_GB2312" w:hAnsi="仿宋" w:eastAsia="仿宋_GB2312"/>
          <w:color w:val="auto"/>
          <w:sz w:val="32"/>
          <w:szCs w:val="32"/>
          <w:highlight w:val="none"/>
          <w:lang w:val="en-US" w:eastAsia="zh-CN"/>
        </w:rPr>
        <w:t>859.76</w:t>
      </w:r>
      <w:r>
        <w:rPr>
          <w:rFonts w:hint="eastAsia" w:ascii="仿宋_GB2312" w:hAnsi="仿宋" w:eastAsia="仿宋_GB2312"/>
          <w:color w:val="auto"/>
          <w:sz w:val="32"/>
          <w:szCs w:val="32"/>
          <w:highlight w:val="none"/>
        </w:rPr>
        <w:t>万元、政府性基金预算当年财政拨款</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rPr>
        <w:t>万元、国有资本经营预算当年财政拨款</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rPr>
        <w:t>万元、财政专户管理资金当年安排</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rPr>
        <w:t>万元和单位资金安排安排</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rPr>
        <w:t>万元。</w:t>
      </w:r>
    </w:p>
    <w:p>
      <w:pPr>
        <w:adjustRightInd w:val="0"/>
        <w:snapToGrid w:val="0"/>
        <w:spacing w:line="600" w:lineRule="exact"/>
        <w:jc w:val="both"/>
        <w:rPr>
          <w:rFonts w:ascii="黑体" w:eastAsia="黑体" w:cs="宋体"/>
          <w:color w:val="auto"/>
          <w:sz w:val="36"/>
          <w:szCs w:val="36"/>
          <w:highlight w:val="none"/>
        </w:rPr>
      </w:pPr>
    </w:p>
    <w:p>
      <w:pPr>
        <w:adjustRightInd w:val="0"/>
        <w:snapToGrid w:val="0"/>
        <w:spacing w:line="600" w:lineRule="exact"/>
        <w:jc w:val="center"/>
        <w:rPr>
          <w:rFonts w:ascii="黑体" w:hAnsi="黑体" w:eastAsia="黑体"/>
          <w:color w:val="auto"/>
          <w:sz w:val="32"/>
          <w:szCs w:val="32"/>
          <w:highlight w:val="none"/>
        </w:rPr>
      </w:pPr>
      <w:r>
        <w:rPr>
          <w:rFonts w:hint="eastAsia" w:ascii="黑体" w:eastAsia="黑体" w:cs="宋体"/>
          <w:color w:val="auto"/>
          <w:sz w:val="36"/>
          <w:szCs w:val="36"/>
          <w:highlight w:val="none"/>
        </w:rPr>
        <w:t>第四部分</w:t>
      </w:r>
      <w:r>
        <w:rPr>
          <w:rFonts w:ascii="黑体" w:eastAsia="黑体" w:cs="宋体"/>
          <w:color w:val="auto"/>
          <w:sz w:val="36"/>
          <w:szCs w:val="36"/>
          <w:highlight w:val="none"/>
        </w:rPr>
        <w:t xml:space="preserve"> </w:t>
      </w:r>
      <w:r>
        <w:rPr>
          <w:rFonts w:hint="eastAsia" w:ascii="黑体" w:eastAsia="黑体" w:cs="宋体"/>
          <w:color w:val="auto"/>
          <w:sz w:val="36"/>
          <w:szCs w:val="36"/>
          <w:highlight w:val="none"/>
        </w:rPr>
        <w:t>名词解释</w:t>
      </w:r>
    </w:p>
    <w:p>
      <w:pPr>
        <w:adjustRightInd w:val="0"/>
        <w:snapToGrid w:val="0"/>
        <w:spacing w:line="600" w:lineRule="exact"/>
        <w:ind w:firstLine="640" w:firstLineChars="200"/>
        <w:rPr>
          <w:rFonts w:ascii="仿宋_GB2312" w:hAnsi="仿宋" w:eastAsia="仿宋_GB2312"/>
          <w:color w:val="auto"/>
          <w:sz w:val="32"/>
          <w:szCs w:val="32"/>
          <w:highlight w:val="none"/>
        </w:rPr>
      </w:pPr>
      <w:r>
        <w:rPr>
          <w:rFonts w:hint="eastAsia" w:ascii="黑体" w:hAnsi="仿宋" w:eastAsia="黑体"/>
          <w:color w:val="auto"/>
          <w:sz w:val="32"/>
          <w:szCs w:val="32"/>
          <w:highlight w:val="none"/>
        </w:rPr>
        <w:t>一、财政拨款收入</w:t>
      </w:r>
      <w:r>
        <w:rPr>
          <w:rFonts w:hint="eastAsia" w:ascii="仿宋_GB2312" w:hAnsi="仿宋" w:eastAsia="仿宋_GB2312"/>
          <w:b/>
          <w:color w:val="auto"/>
          <w:sz w:val="32"/>
          <w:szCs w:val="32"/>
          <w:highlight w:val="none"/>
        </w:rPr>
        <w:t>：</w:t>
      </w:r>
      <w:r>
        <w:rPr>
          <w:rFonts w:hint="eastAsia" w:ascii="仿宋_GB2312" w:hAnsi="仿宋" w:eastAsia="仿宋_GB2312"/>
          <w:color w:val="auto"/>
          <w:sz w:val="32"/>
          <w:szCs w:val="32"/>
          <w:highlight w:val="none"/>
        </w:rPr>
        <w:t>指部门或单位从同级财政部门取得的财政预算资金。</w:t>
      </w:r>
    </w:p>
    <w:p>
      <w:pPr>
        <w:pStyle w:val="4"/>
        <w:adjustRightInd w:val="0"/>
        <w:snapToGrid w:val="0"/>
        <w:spacing w:line="600" w:lineRule="exact"/>
        <w:ind w:firstLine="627" w:firstLineChars="196"/>
        <w:rPr>
          <w:rFonts w:ascii="黑体" w:hAnsi="黑体" w:eastAsia="黑体"/>
          <w:color w:val="auto"/>
          <w:sz w:val="32"/>
          <w:szCs w:val="32"/>
          <w:highlight w:val="none"/>
        </w:rPr>
      </w:pPr>
      <w:r>
        <w:rPr>
          <w:rFonts w:hint="eastAsia" w:ascii="黑体" w:hAnsi="仿宋" w:eastAsia="黑体" w:cs="Times New Roman"/>
          <w:color w:val="auto"/>
          <w:kern w:val="2"/>
          <w:sz w:val="32"/>
          <w:szCs w:val="32"/>
          <w:highlight w:val="none"/>
        </w:rPr>
        <w:t>二、事业收入：</w:t>
      </w:r>
      <w:r>
        <w:rPr>
          <w:rFonts w:hint="eastAsia" w:ascii="仿宋_GB2312" w:hAnsi="仿宋" w:eastAsia="仿宋_GB2312" w:cs="Times New Roman"/>
          <w:color w:val="auto"/>
          <w:kern w:val="2"/>
          <w:sz w:val="32"/>
          <w:szCs w:val="32"/>
          <w:highlight w:val="none"/>
        </w:rPr>
        <w:t>指事业单位开展专业业务活动及辅助活动所取得的收入。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color w:val="auto"/>
          <w:kern w:val="2"/>
          <w:sz w:val="32"/>
          <w:szCs w:val="32"/>
          <w:highlight w:val="none"/>
        </w:rPr>
      </w:pPr>
      <w:r>
        <w:rPr>
          <w:rFonts w:hint="eastAsia" w:ascii="黑体" w:hAnsi="黑体" w:eastAsia="黑体"/>
          <w:color w:val="auto"/>
          <w:sz w:val="32"/>
          <w:szCs w:val="32"/>
          <w:highlight w:val="none"/>
        </w:rPr>
        <w:t>三、财政专户管理资金：</w:t>
      </w:r>
      <w:r>
        <w:rPr>
          <w:rFonts w:hint="eastAsia" w:ascii="仿宋_GB2312" w:hAnsi="仿宋" w:eastAsia="仿宋_GB2312" w:cs="Times New Roman"/>
          <w:color w:val="auto"/>
          <w:kern w:val="2"/>
          <w:sz w:val="32"/>
          <w:szCs w:val="32"/>
          <w:highlight w:val="none"/>
        </w:rPr>
        <w:t>指按照非税收入管理相关规定，纳入财政专户管理的教育收费等。</w:t>
      </w:r>
    </w:p>
    <w:p>
      <w:pPr>
        <w:pStyle w:val="4"/>
        <w:adjustRightInd w:val="0"/>
        <w:snapToGrid w:val="0"/>
        <w:spacing w:line="600" w:lineRule="exact"/>
        <w:ind w:firstLine="627" w:firstLineChars="196"/>
        <w:rPr>
          <w:rFonts w:ascii="仿宋_GB2312" w:hAnsi="仿宋" w:eastAsia="仿宋_GB2312" w:cs="Times New Roman"/>
          <w:color w:val="auto"/>
          <w:kern w:val="2"/>
          <w:sz w:val="32"/>
          <w:szCs w:val="32"/>
          <w:highlight w:val="none"/>
        </w:rPr>
      </w:pPr>
      <w:r>
        <w:rPr>
          <w:rFonts w:hint="eastAsia" w:ascii="黑体" w:hAnsi="黑体" w:eastAsia="黑体"/>
          <w:color w:val="auto"/>
          <w:sz w:val="32"/>
          <w:szCs w:val="32"/>
          <w:highlight w:val="none"/>
        </w:rPr>
        <w:t>四、事业单位经营收入：</w:t>
      </w:r>
      <w:r>
        <w:rPr>
          <w:rFonts w:hint="eastAsia" w:ascii="仿宋_GB2312" w:hAnsi="仿宋" w:eastAsia="仿宋_GB2312" w:cs="Times New Roman"/>
          <w:color w:val="auto"/>
          <w:kern w:val="2"/>
          <w:sz w:val="32"/>
          <w:szCs w:val="32"/>
          <w:highlight w:val="none"/>
        </w:rPr>
        <w:t>指事业单位在专业业务活动及其辅助活动之外开展非独立核算经营活动取得的收入。</w:t>
      </w:r>
    </w:p>
    <w:p>
      <w:pPr>
        <w:pStyle w:val="4"/>
        <w:adjustRightInd w:val="0"/>
        <w:snapToGrid w:val="0"/>
        <w:spacing w:line="600" w:lineRule="exact"/>
        <w:ind w:firstLine="627" w:firstLineChars="196"/>
        <w:rPr>
          <w:rFonts w:ascii="仿宋_GB2312" w:hAnsi="仿宋" w:eastAsia="仿宋_GB2312" w:cs="Times New Roman"/>
          <w:color w:val="auto"/>
          <w:kern w:val="2"/>
          <w:sz w:val="32"/>
          <w:szCs w:val="32"/>
          <w:highlight w:val="none"/>
        </w:rPr>
      </w:pPr>
      <w:r>
        <w:rPr>
          <w:rFonts w:hint="eastAsia" w:ascii="黑体" w:hAnsi="黑体" w:eastAsia="黑体"/>
          <w:color w:val="auto"/>
          <w:sz w:val="32"/>
          <w:szCs w:val="32"/>
          <w:highlight w:val="none"/>
        </w:rPr>
        <w:t>五、附属单位上缴收入：</w:t>
      </w:r>
      <w:r>
        <w:rPr>
          <w:rFonts w:hint="eastAsia" w:ascii="仿宋_GB2312" w:hAnsi="仿宋" w:eastAsia="仿宋_GB2312" w:cs="Times New Roman"/>
          <w:color w:val="auto"/>
          <w:kern w:val="2"/>
          <w:sz w:val="32"/>
          <w:szCs w:val="32"/>
          <w:highlight w:val="none"/>
        </w:rPr>
        <w:t>本单位所属下级单位上缴给本单位的全部收入。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color w:val="auto"/>
          <w:kern w:val="2"/>
          <w:sz w:val="32"/>
          <w:szCs w:val="32"/>
          <w:highlight w:val="none"/>
        </w:rPr>
      </w:pPr>
      <w:r>
        <w:rPr>
          <w:rFonts w:hint="eastAsia" w:ascii="黑体" w:hAnsi="黑体" w:eastAsia="黑体"/>
          <w:color w:val="auto"/>
          <w:sz w:val="32"/>
          <w:szCs w:val="32"/>
          <w:highlight w:val="none"/>
        </w:rPr>
        <w:t>六、上年结转：</w:t>
      </w:r>
      <w:r>
        <w:rPr>
          <w:rFonts w:hint="eastAsia" w:ascii="仿宋_GB2312" w:hAnsi="仿宋" w:eastAsia="仿宋_GB2312" w:cs="Times New Roman"/>
          <w:color w:val="auto"/>
          <w:kern w:val="2"/>
          <w:sz w:val="32"/>
          <w:szCs w:val="32"/>
          <w:highlight w:val="none"/>
        </w:rPr>
        <w:t>指以前年度安排、结转到本年仍按原用途继续使用的资金。</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color w:val="auto"/>
          <w:kern w:val="2"/>
          <w:sz w:val="32"/>
          <w:szCs w:val="32"/>
          <w:highlight w:val="none"/>
        </w:rPr>
      </w:pPr>
      <w:r>
        <w:rPr>
          <w:rFonts w:hint="eastAsia" w:ascii="黑体" w:hAnsi="黑体" w:eastAsia="黑体"/>
          <w:color w:val="auto"/>
          <w:sz w:val="32"/>
          <w:szCs w:val="32"/>
          <w:highlight w:val="none"/>
        </w:rPr>
        <w:t>七、结转下年：</w:t>
      </w:r>
      <w:r>
        <w:rPr>
          <w:rFonts w:hint="eastAsia" w:ascii="仿宋_GB2312" w:hAnsi="仿宋" w:eastAsia="仿宋_GB2312" w:cs="Times New Roman"/>
          <w:color w:val="auto"/>
          <w:kern w:val="2"/>
          <w:sz w:val="32"/>
          <w:szCs w:val="32"/>
          <w:highlight w:val="none"/>
        </w:rPr>
        <w:t>指以前年度预算安排、因客观条件发生变化无法按原计划实施，需以后年度按原用途继续使用的资金。</w:t>
      </w:r>
    </w:p>
    <w:p>
      <w:pPr>
        <w:pStyle w:val="4"/>
        <w:adjustRightInd w:val="0"/>
        <w:snapToGrid w:val="0"/>
        <w:spacing w:before="0" w:beforeAutospacing="0" w:after="0" w:afterAutospacing="0" w:line="600" w:lineRule="exact"/>
        <w:ind w:firstLine="627" w:firstLineChars="196"/>
        <w:rPr>
          <w:rFonts w:ascii="仿宋_GB2312" w:hAnsi="黑体" w:eastAsia="仿宋_GB2312"/>
          <w:color w:val="auto"/>
          <w:sz w:val="32"/>
          <w:szCs w:val="32"/>
          <w:highlight w:val="none"/>
        </w:rPr>
      </w:pPr>
      <w:r>
        <w:rPr>
          <w:rFonts w:hint="eastAsia" w:ascii="黑体" w:hAnsi="黑体" w:eastAsia="黑体"/>
          <w:color w:val="auto"/>
          <w:sz w:val="32"/>
          <w:szCs w:val="32"/>
          <w:highlight w:val="none"/>
        </w:rPr>
        <w:t>八、基本支出</w:t>
      </w:r>
      <w:r>
        <w:rPr>
          <w:rFonts w:hint="eastAsia" w:ascii="仿宋_GB2312" w:hAnsi="黑体" w:eastAsia="仿宋_GB2312"/>
          <w:b/>
          <w:color w:val="auto"/>
          <w:sz w:val="32"/>
          <w:szCs w:val="32"/>
          <w:highlight w:val="none"/>
        </w:rPr>
        <w:t>：</w:t>
      </w:r>
      <w:r>
        <w:rPr>
          <w:rFonts w:hint="eastAsia" w:ascii="仿宋_GB2312" w:hAnsi="黑体" w:eastAsia="仿宋_GB2312"/>
          <w:color w:val="auto"/>
          <w:sz w:val="32"/>
          <w:szCs w:val="32"/>
          <w:highlight w:val="none"/>
        </w:rPr>
        <w:t>指为保障机构正常运转、完成日常工作任务而发生的人员支出和公用支出。</w:t>
      </w:r>
    </w:p>
    <w:p>
      <w:pPr>
        <w:pStyle w:val="4"/>
        <w:spacing w:before="0" w:beforeAutospacing="0" w:after="0" w:afterAutospacing="0" w:line="600" w:lineRule="exact"/>
        <w:ind w:firstLine="627" w:firstLineChars="196"/>
        <w:jc w:val="both"/>
        <w:rPr>
          <w:rFonts w:hint="eastAsia" w:ascii="仿宋_GB2312" w:hAnsi="黑体" w:eastAsia="仿宋_GB2312"/>
          <w:color w:val="auto"/>
          <w:sz w:val="32"/>
          <w:szCs w:val="32"/>
          <w:highlight w:val="none"/>
          <w:lang w:eastAsia="zh-CN"/>
        </w:rPr>
      </w:pPr>
      <w:r>
        <w:rPr>
          <w:rFonts w:hint="eastAsia" w:ascii="黑体" w:hAnsi="黑体" w:eastAsia="黑体"/>
          <w:color w:val="auto"/>
          <w:sz w:val="32"/>
          <w:szCs w:val="32"/>
          <w:highlight w:val="none"/>
        </w:rPr>
        <w:t>九、项目支出</w:t>
      </w:r>
      <w:r>
        <w:rPr>
          <w:rFonts w:hint="eastAsia" w:ascii="仿宋_GB2312" w:hAnsi="黑体" w:eastAsia="仿宋_GB2312"/>
          <w:b/>
          <w:color w:val="auto"/>
          <w:sz w:val="32"/>
          <w:szCs w:val="32"/>
          <w:highlight w:val="none"/>
        </w:rPr>
        <w:t>：</w:t>
      </w:r>
      <w:r>
        <w:rPr>
          <w:rFonts w:hint="eastAsia" w:ascii="仿宋_GB2312" w:hAnsi="黑体" w:eastAsia="仿宋_GB2312"/>
          <w:color w:val="auto"/>
          <w:sz w:val="32"/>
          <w:szCs w:val="32"/>
          <w:highlight w:val="none"/>
        </w:rPr>
        <w:t>指在除基本支出之外的支出，主要用于完成特定的工作任务和事业发展目标。</w:t>
      </w:r>
    </w:p>
    <w:p>
      <w:pPr>
        <w:pStyle w:val="4"/>
        <w:spacing w:before="0" w:beforeAutospacing="0" w:after="0" w:afterAutospacing="0" w:line="600" w:lineRule="exact"/>
        <w:ind w:firstLine="627" w:firstLineChars="196"/>
        <w:jc w:val="both"/>
        <w:rPr>
          <w:rFonts w:ascii="仿宋_GB2312" w:hAnsi="黑体" w:eastAsia="仿宋_GB2312"/>
          <w:color w:val="auto"/>
          <w:sz w:val="32"/>
          <w:szCs w:val="32"/>
          <w:highlight w:val="none"/>
        </w:rPr>
      </w:pPr>
      <w:r>
        <w:rPr>
          <w:rFonts w:ascii="黑体" w:hAnsi="黑体" w:eastAsia="黑体"/>
          <w:color w:val="auto"/>
          <w:sz w:val="32"/>
          <w:szCs w:val="32"/>
          <w:highlight w:val="none"/>
        </w:rPr>
        <w:t xml:space="preserve"> </w:t>
      </w:r>
      <w:r>
        <w:rPr>
          <w:rFonts w:hint="eastAsia" w:ascii="黑体" w:hAnsi="黑体" w:eastAsia="黑体"/>
          <w:color w:val="auto"/>
          <w:sz w:val="32"/>
          <w:szCs w:val="32"/>
          <w:highlight w:val="none"/>
        </w:rPr>
        <w:t>十、机关运行经费</w:t>
      </w:r>
      <w:r>
        <w:rPr>
          <w:rFonts w:ascii="黑体" w:hAnsi="黑体" w:eastAsia="黑体"/>
          <w:color w:val="auto"/>
          <w:sz w:val="32"/>
          <w:szCs w:val="32"/>
          <w:highlight w:val="none"/>
        </w:rPr>
        <w:t>:</w:t>
      </w:r>
      <w:r>
        <w:rPr>
          <w:rFonts w:hint="eastAsia" w:ascii="仿宋_GB2312" w:hAnsi="黑体" w:eastAsia="仿宋_GB2312"/>
          <w:color w:val="auto"/>
          <w:sz w:val="32"/>
          <w:szCs w:val="32"/>
          <w:highlight w:val="none"/>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4"/>
        <w:adjustRightInd w:val="0"/>
        <w:snapToGrid w:val="0"/>
        <w:spacing w:before="0" w:beforeAutospacing="0" w:after="0" w:afterAutospacing="0" w:line="360" w:lineRule="auto"/>
        <w:ind w:left="359" w:leftChars="171"/>
        <w:jc w:val="both"/>
        <w:rPr>
          <w:color w:val="auto"/>
          <w:highlight w:val="none"/>
        </w:rPr>
      </w:pPr>
    </w:p>
    <w:p>
      <w:pPr>
        <w:rPr>
          <w:color w:val="auto"/>
          <w:highlight w:val="none"/>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703F6"/>
    <w:multiLevelType w:val="singleLevel"/>
    <w:tmpl w:val="9D9703F6"/>
    <w:lvl w:ilvl="0" w:tentative="0">
      <w:start w:val="2"/>
      <w:numFmt w:val="chineseCounting"/>
      <w:suff w:val="space"/>
      <w:lvlText w:val="第%1部分"/>
      <w:lvlJc w:val="left"/>
      <w:rPr>
        <w:rFonts w:hint="eastAsia"/>
      </w:rPr>
    </w:lvl>
  </w:abstractNum>
  <w:abstractNum w:abstractNumId="1">
    <w:nsid w:val="61F34332"/>
    <w:multiLevelType w:val="singleLevel"/>
    <w:tmpl w:val="61F34332"/>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053255"/>
    <w:rsid w:val="01596278"/>
    <w:rsid w:val="01FF05B0"/>
    <w:rsid w:val="02AE7D27"/>
    <w:rsid w:val="03081A34"/>
    <w:rsid w:val="031228B1"/>
    <w:rsid w:val="04847570"/>
    <w:rsid w:val="06B51019"/>
    <w:rsid w:val="09B65654"/>
    <w:rsid w:val="0A0D4F19"/>
    <w:rsid w:val="0A2037DA"/>
    <w:rsid w:val="0BFD636E"/>
    <w:rsid w:val="0C234325"/>
    <w:rsid w:val="0D9C7FD3"/>
    <w:rsid w:val="0E283076"/>
    <w:rsid w:val="0F9B506E"/>
    <w:rsid w:val="106D0FD1"/>
    <w:rsid w:val="11435034"/>
    <w:rsid w:val="14377D86"/>
    <w:rsid w:val="14F02EC1"/>
    <w:rsid w:val="166158D1"/>
    <w:rsid w:val="1AD46292"/>
    <w:rsid w:val="1B735DC4"/>
    <w:rsid w:val="1BB8713B"/>
    <w:rsid w:val="1C4F0C9B"/>
    <w:rsid w:val="1FA40D08"/>
    <w:rsid w:val="2158364C"/>
    <w:rsid w:val="2347066D"/>
    <w:rsid w:val="234863C1"/>
    <w:rsid w:val="24A26144"/>
    <w:rsid w:val="251D2029"/>
    <w:rsid w:val="28CD4594"/>
    <w:rsid w:val="29366156"/>
    <w:rsid w:val="29564D54"/>
    <w:rsid w:val="29DC0E2E"/>
    <w:rsid w:val="2A703C9F"/>
    <w:rsid w:val="2B341894"/>
    <w:rsid w:val="2BF75BEF"/>
    <w:rsid w:val="2C5F4091"/>
    <w:rsid w:val="34E03158"/>
    <w:rsid w:val="352F0DFC"/>
    <w:rsid w:val="35707421"/>
    <w:rsid w:val="358D3B28"/>
    <w:rsid w:val="373C29F8"/>
    <w:rsid w:val="380A1889"/>
    <w:rsid w:val="38704314"/>
    <w:rsid w:val="3B7C3B77"/>
    <w:rsid w:val="3C346BF5"/>
    <w:rsid w:val="3C4036DC"/>
    <w:rsid w:val="3E4B7EE3"/>
    <w:rsid w:val="3E7E3A39"/>
    <w:rsid w:val="3FB337BE"/>
    <w:rsid w:val="468E4393"/>
    <w:rsid w:val="48F32361"/>
    <w:rsid w:val="494A0E00"/>
    <w:rsid w:val="4B597CBF"/>
    <w:rsid w:val="4CFF70C4"/>
    <w:rsid w:val="50920865"/>
    <w:rsid w:val="52E80BEB"/>
    <w:rsid w:val="54E26ED0"/>
    <w:rsid w:val="55061433"/>
    <w:rsid w:val="55302C55"/>
    <w:rsid w:val="55F74D1B"/>
    <w:rsid w:val="57813241"/>
    <w:rsid w:val="58174560"/>
    <w:rsid w:val="58B806B0"/>
    <w:rsid w:val="597B7BEF"/>
    <w:rsid w:val="5BC93AD3"/>
    <w:rsid w:val="5D075BDA"/>
    <w:rsid w:val="5E6C2A09"/>
    <w:rsid w:val="5F7B0CD8"/>
    <w:rsid w:val="60D97EB0"/>
    <w:rsid w:val="635B5F4F"/>
    <w:rsid w:val="63756674"/>
    <w:rsid w:val="643D0718"/>
    <w:rsid w:val="65F25193"/>
    <w:rsid w:val="670009BB"/>
    <w:rsid w:val="67A9053E"/>
    <w:rsid w:val="68220032"/>
    <w:rsid w:val="69171D2F"/>
    <w:rsid w:val="69B9159D"/>
    <w:rsid w:val="6A3E1105"/>
    <w:rsid w:val="6C797180"/>
    <w:rsid w:val="6C8F229A"/>
    <w:rsid w:val="6CC04FDB"/>
    <w:rsid w:val="70E33F4F"/>
    <w:rsid w:val="72882D68"/>
    <w:rsid w:val="72CC459A"/>
    <w:rsid w:val="73652C13"/>
    <w:rsid w:val="738C2757"/>
    <w:rsid w:val="78620F7F"/>
    <w:rsid w:val="7A7532DA"/>
    <w:rsid w:val="7D3F4010"/>
    <w:rsid w:val="7E19249B"/>
    <w:rsid w:val="7E515144"/>
    <w:rsid w:val="7E732594"/>
    <w:rsid w:val="7F90011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rPr>
  </w:style>
  <w:style w:type="character" w:customStyle="1" w:styleId="8">
    <w:name w:val="页脚 Char"/>
    <w:basedOn w:val="6"/>
    <w:link w:val="2"/>
    <w:qFormat/>
    <w:locked/>
    <w:uiPriority w:val="99"/>
    <w:rPr>
      <w:rFonts w:cs="Times New Roman"/>
      <w:sz w:val="18"/>
      <w:szCs w:val="18"/>
    </w:rPr>
  </w:style>
  <w:style w:type="character" w:customStyle="1" w:styleId="9">
    <w:name w:val="页眉 Char"/>
    <w:basedOn w:val="6"/>
    <w:link w:val="3"/>
    <w:semiHidden/>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7803</Words>
  <Characters>8670</Characters>
  <Lines>113</Lines>
  <Paragraphs>31</Paragraphs>
  <TotalTime>5</TotalTime>
  <ScaleCrop>false</ScaleCrop>
  <LinksUpToDate>false</LinksUpToDate>
  <CharactersWithSpaces>11378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hw</cp:lastModifiedBy>
  <cp:lastPrinted>2022-03-21T01:55:00Z</cp:lastPrinted>
  <dcterms:modified xsi:type="dcterms:W3CDTF">2022-03-23T23:36:08Z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67F67D55D18B48F88BF82DFA85621269</vt:lpwstr>
  </property>
</Properties>
</file>