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20"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t>八公山区</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t>司法局</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t>202</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t>1</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t>年政府信息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880" w:firstLineChars="20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t>公开工作年度报告</w:t>
      </w:r>
    </w:p>
    <w:p>
      <w:pPr>
        <w:pStyle w:val="4"/>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rPr>
      </w:pPr>
    </w:p>
    <w:p>
      <w:pPr>
        <w:pStyle w:val="4"/>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仿宋" w:hAnsi="仿宋" w:eastAsia="仿宋" w:cs="仿宋"/>
          <w:i w:val="0"/>
          <w:iCs w:val="0"/>
          <w:caps w:val="0"/>
          <w:color w:val="000000" w:themeColor="text1"/>
          <w:spacing w:val="0"/>
          <w:kern w:val="0"/>
          <w:sz w:val="32"/>
          <w:szCs w:val="32"/>
          <w:shd w:val="clear" w:color="auto" w:fill="FFFFFF"/>
          <w:lang w:val="en-US" w:eastAsia="zh-CN"/>
          <w14:textFill>
            <w14:solidFill>
              <w14:schemeClr w14:val="tx1"/>
            </w14:solidFill>
          </w14:textFill>
        </w:rPr>
      </w:pPr>
      <w:r>
        <w:rPr>
          <w:rFonts w:hint="eastAsia" w:ascii="仿宋" w:hAnsi="仿宋" w:eastAsia="仿宋" w:cs="仿宋"/>
          <w:sz w:val="32"/>
          <w:szCs w:val="32"/>
        </w:rPr>
        <w:t>本报告依据《中华人民共和国政府信息公开条例》（国务院令第711号，以下简称《条例》）、《国务院办公厅政府信息与政务公开办公室关于印发&lt;中华人民共和国政府信息公开工作年度报告格式&gt;的通知》（国办公开办函〔2021〕30号）及《安徽省政务公开办公室关于做好2021年度政府信息公开工作年度报告编制和发布工作的通知》（皖政务办秘〔2021〕37号）要求，结合我单位政府信息公开工作有关统计数据撰写。报告主要包括：总体情况、主动公开政府信息情况、收到和处理政府信息公开申请情况、因政府信息公开被申请行政复议和提起行政诉讼情况、政府信息公开工作存在主要问题及改进情况和其他需要报告事项。本报告中使用数据统计期限为2021年1月1日至12月31日。报告的电子版可在淮南市八公山区政府信息公开网“政府信息公开年报”栏目中下载</w:t>
      </w:r>
      <w:r>
        <w:rPr>
          <w:rFonts w:hint="eastAsia" w:ascii="仿宋" w:hAnsi="仿宋" w:eastAsia="仿宋" w:cs="仿宋"/>
          <w:sz w:val="32"/>
          <w:szCs w:val="32"/>
          <w:lang w:val="en-US" w:eastAsia="zh-CN"/>
        </w:rPr>
        <w:t xml:space="preserve"> </w:t>
      </w:r>
      <w:r>
        <w:rPr>
          <w:rFonts w:hint="eastAsia" w:ascii="仿宋" w:hAnsi="仿宋" w:eastAsia="仿宋" w:cs="仿宋"/>
          <w:color w:val="000000" w:themeColor="text1"/>
          <w:sz w:val="32"/>
          <w:szCs w:val="32"/>
          <w14:textFill>
            <w14:solidFill>
              <w14:schemeClr w14:val="tx1"/>
            </w14:solidFill>
          </w14:textFill>
        </w:rPr>
        <w:t>（http://www.bagongshan.gov.cn）。</w:t>
      </w:r>
      <w:r>
        <w:rPr>
          <w:rFonts w:hint="eastAsia" w:ascii="仿宋" w:hAnsi="仿宋" w:eastAsia="仿宋" w:cs="仿宋"/>
          <w:i w:val="0"/>
          <w:iCs w:val="0"/>
          <w:caps w:val="0"/>
          <w:color w:val="000000" w:themeColor="text1"/>
          <w:spacing w:val="0"/>
          <w:kern w:val="0"/>
          <w:sz w:val="32"/>
          <w:szCs w:val="32"/>
          <w:shd w:val="clear" w:color="auto" w:fill="FFFFFF"/>
          <w:lang w:val="en-US" w:eastAsia="zh-CN"/>
          <w14:textFill>
            <w14:solidFill>
              <w14:schemeClr w14:val="tx1"/>
            </w14:solidFill>
          </w14:textFill>
        </w:rPr>
        <w:t>（地址：淮南市八公山区淮凤路八公山区第四中学西南侧约130米，电话：0554-2795288，邮编：232072）。</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333333"/>
          <w:spacing w:val="0"/>
          <w:kern w:val="0"/>
          <w:sz w:val="32"/>
          <w:szCs w:val="32"/>
          <w:shd w:val="clear" w:color="auto" w:fill="FFFFFF"/>
          <w:lang w:val="en-US" w:eastAsia="zh-CN"/>
        </w:rPr>
      </w:pPr>
      <w:r>
        <w:rPr>
          <w:rFonts w:hint="eastAsia" w:ascii="黑体" w:hAnsi="黑体" w:eastAsia="黑体" w:cs="黑体"/>
          <w:b w:val="0"/>
          <w:bCs w:val="0"/>
          <w:i w:val="0"/>
          <w:iCs w:val="0"/>
          <w:caps w:val="0"/>
          <w:color w:val="333333"/>
          <w:spacing w:val="0"/>
          <w:kern w:val="0"/>
          <w:sz w:val="32"/>
          <w:szCs w:val="32"/>
          <w:shd w:val="clear" w:color="auto" w:fill="FFFFFF"/>
          <w:lang w:val="en-US" w:eastAsia="zh-CN"/>
        </w:rPr>
        <w:t>总体情况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560" w:lineRule="exact"/>
        <w:ind w:right="0" w:rightChars="0" w:firstLine="320" w:firstLineChars="100"/>
        <w:jc w:val="both"/>
        <w:textAlignment w:val="auto"/>
        <w:rPr>
          <w:rFonts w:hint="eastAsia" w:ascii="仿宋_GB2312" w:hAnsi="仿宋_GB2312" w:eastAsia="仿宋_GB2312" w:cs="仿宋_GB2312"/>
          <w:i w:val="0"/>
          <w:iCs w:val="0"/>
          <w:caps w:val="0"/>
          <w:color w:val="282828"/>
          <w:spacing w:val="0"/>
          <w:sz w:val="32"/>
          <w:szCs w:val="32"/>
          <w:shd w:val="clear" w:fill="FFFFFF"/>
        </w:rPr>
      </w:pPr>
      <w:r>
        <w:rPr>
          <w:rFonts w:hint="eastAsia" w:ascii="仿宋_GB2312" w:hAnsi="仿宋_GB2312" w:eastAsia="仿宋_GB2312" w:cs="仿宋_GB2312"/>
          <w:i w:val="0"/>
          <w:iCs w:val="0"/>
          <w:caps w:val="0"/>
          <w:color w:val="282828"/>
          <w:spacing w:val="0"/>
          <w:sz w:val="32"/>
          <w:szCs w:val="32"/>
          <w:shd w:val="clear" w:fill="FFFFFF"/>
        </w:rPr>
        <w:t>2021年，区司法局始终围绕区委和区政府中心工作，认真贯彻落实《中华人民共和国政府信息公开条例》等相关文件的规定和精神，围绕“公开为原则，不公开为例外”的总体要求，充分发挥政务公开区直部门的重要作用，以社会需求为导向，以规范促落实，以服务求实效，坚持以人为本，着力解决群众最关心、最直接、最现实的利益问题，不断提高政务公开工作的科学化、规范化、制度化水平。</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560" w:lineRule="exact"/>
        <w:ind w:right="0" w:rightChars="0" w:firstLine="321" w:firstLineChars="100"/>
        <w:jc w:val="both"/>
        <w:textAlignment w:val="auto"/>
        <w:rPr>
          <w:rFonts w:hint="eastAsia" w:ascii="仿宋_GB2312" w:hAnsi="仿宋_GB2312" w:eastAsia="仿宋_GB2312" w:cs="仿宋_GB2312"/>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_GB2312" w:hAnsi="仿宋_GB2312" w:eastAsia="仿宋_GB2312" w:cs="仿宋_GB2312"/>
          <w:b/>
          <w:bCs/>
          <w:i w:val="0"/>
          <w:iCs w:val="0"/>
          <w:caps w:val="0"/>
          <w:color w:val="333333"/>
          <w:spacing w:val="0"/>
          <w:kern w:val="0"/>
          <w:sz w:val="32"/>
          <w:szCs w:val="32"/>
          <w:shd w:val="clear" w:color="auto" w:fill="FFFFFF"/>
          <w:lang w:val="en-US" w:eastAsia="zh-CN"/>
        </w:rPr>
        <w:t>（一）主动公开情况。</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14:textFill>
            <w14:solidFill>
              <w14:schemeClr w14:val="tx1"/>
            </w14:solidFill>
          </w14:textFill>
        </w:rPr>
        <w:t>区司法局主要通过政务公开宣传栏、微博媒体、主动公开本局的政府信息。主动公开</w:t>
      </w:r>
      <w:r>
        <w:rPr>
          <w:rFonts w:hint="eastAsia" w:ascii="仿宋_GB2312" w:hAnsi="仿宋_GB2312" w:eastAsia="仿宋_GB2312" w:cs="仿宋_GB2312"/>
          <w:b w:val="0"/>
          <w:bCs w:val="0"/>
          <w:i w:val="0"/>
          <w:iCs w:val="0"/>
          <w:caps w:val="0"/>
          <w:color w:val="000000" w:themeColor="text1"/>
          <w:spacing w:val="0"/>
          <w:sz w:val="32"/>
          <w:szCs w:val="32"/>
          <w:shd w:val="clear" w:color="auto" w:fill="FFFFFF"/>
          <w14:textFill>
            <w14:solidFill>
              <w14:schemeClr w14:val="tx1"/>
            </w14:solidFill>
          </w14:textFill>
        </w:rPr>
        <w:t>司法行政队伍主动公开整改报告，让群众了解2021年度各</w:t>
      </w:r>
      <w:r>
        <w:rPr>
          <w:rFonts w:hint="eastAsia" w:ascii="仿宋_GB2312" w:hAnsi="仿宋_GB2312" w:eastAsia="仿宋_GB2312" w:cs="仿宋_GB2312"/>
          <w:b w:val="0"/>
          <w:bCs w:val="0"/>
          <w:i w:val="0"/>
          <w:iCs w:val="0"/>
          <w:caps w:val="0"/>
          <w:color w:val="000000" w:themeColor="text1"/>
          <w:spacing w:val="0"/>
          <w:sz w:val="32"/>
          <w:szCs w:val="32"/>
          <w:shd w:val="clear" w:color="auto" w:fill="FFFFFF"/>
          <w:lang w:val="en-US" w:eastAsia="zh-CN"/>
          <w14:textFill>
            <w14:solidFill>
              <w14:schemeClr w14:val="tx1"/>
            </w14:solidFill>
          </w14:textFill>
        </w:rPr>
        <w:t>司法</w:t>
      </w:r>
      <w:r>
        <w:rPr>
          <w:rFonts w:hint="eastAsia" w:ascii="仿宋_GB2312" w:hAnsi="仿宋_GB2312" w:eastAsia="仿宋_GB2312" w:cs="仿宋_GB2312"/>
          <w:b w:val="0"/>
          <w:bCs w:val="0"/>
          <w:i w:val="0"/>
          <w:iCs w:val="0"/>
          <w:caps w:val="0"/>
          <w:color w:val="000000" w:themeColor="text1"/>
          <w:spacing w:val="0"/>
          <w:sz w:val="32"/>
          <w:szCs w:val="32"/>
          <w:shd w:val="clear" w:color="auto" w:fill="FFFFFF"/>
          <w14:textFill>
            <w14:solidFill>
              <w14:schemeClr w14:val="tx1"/>
            </w14:solidFill>
          </w14:textFill>
        </w:rPr>
        <w:t>项目的整改情况。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color="auto" w:fill="FFFFFF"/>
          <w14:textFill>
            <w14:solidFill>
              <w14:schemeClr w14:val="tx1"/>
            </w14:solidFill>
          </w14:textFill>
        </w:rPr>
        <w:t>（二）依申请公开情况。</w:t>
      </w:r>
      <w:r>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color="auto" w:fill="FFFFFF"/>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t>年，收到政府信息依申请公开</w:t>
      </w:r>
      <w:r>
        <w:rPr>
          <w:rFonts w:hint="eastAsia" w:ascii="仿宋_GB2312" w:hAnsi="仿宋_GB2312" w:eastAsia="仿宋_GB2312" w:cs="仿宋_GB2312"/>
          <w:i w:val="0"/>
          <w:iCs w:val="0"/>
          <w:caps w:val="0"/>
          <w:color w:val="000000" w:themeColor="text1"/>
          <w:spacing w:val="0"/>
          <w:sz w:val="32"/>
          <w:szCs w:val="32"/>
          <w:shd w:val="clear" w:color="auto" w:fill="FFFFFF"/>
          <w:lang w:val="en-US" w:eastAsia="zh-CN"/>
          <w14:textFill>
            <w14:solidFill>
              <w14:schemeClr w14:val="tx1"/>
            </w14:solidFill>
          </w14:textFill>
        </w:rPr>
        <w:t>0</w:t>
      </w:r>
      <w:r>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t>件，无行政复议、行政诉讼案件。上年度结转0件，按时办结件</w:t>
      </w:r>
      <w:r>
        <w:rPr>
          <w:rFonts w:hint="eastAsia" w:ascii="仿宋_GB2312" w:hAnsi="仿宋_GB2312" w:eastAsia="仿宋_GB2312" w:cs="仿宋_GB2312"/>
          <w:i w:val="0"/>
          <w:iCs w:val="0"/>
          <w:caps w:val="0"/>
          <w:color w:val="000000" w:themeColor="text1"/>
          <w:spacing w:val="0"/>
          <w:sz w:val="32"/>
          <w:szCs w:val="32"/>
          <w:shd w:val="clear" w:color="auto" w:fill="FFFFFF"/>
          <w:lang w:val="en-US" w:eastAsia="zh-CN"/>
          <w14:textFill>
            <w14:solidFill>
              <w14:schemeClr w14:val="tx1"/>
            </w14:solidFill>
          </w14:textFill>
        </w:rPr>
        <w:t>0</w:t>
      </w:r>
      <w:r>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t>件，结转下年度办理0件。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iCs w:val="0"/>
          <w:caps w:val="0"/>
          <w:color w:val="000000" w:themeColor="text1"/>
          <w:spacing w:val="0"/>
          <w:sz w:val="32"/>
          <w:szCs w:val="32"/>
          <w:shd w:val="clear" w:color="auto" w:fill="FFFFFF"/>
          <w14:textFill>
            <w14:solidFill>
              <w14:schemeClr w14:val="tx1"/>
            </w14:solidFill>
          </w14:textFill>
        </w:rPr>
        <w:t>（三）政府信息管理情况。</w:t>
      </w:r>
      <w:r>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t>进一步规范信息发布和管理，确保信息发布准确、安全、高效，严格落实“三审”制度，加强信息发布审核把关，严格执行“分级审核、先审后发”程序。</w:t>
      </w:r>
      <w:r>
        <w:rPr>
          <w:rFonts w:hint="eastAsia" w:ascii="仿宋_GB2312" w:hAnsi="仿宋_GB2312" w:eastAsia="仿宋_GB2312" w:cs="仿宋_GB2312"/>
          <w:i w:val="0"/>
          <w:iCs w:val="0"/>
          <w:caps w:val="0"/>
          <w:color w:val="333333"/>
          <w:spacing w:val="0"/>
          <w:sz w:val="32"/>
          <w:szCs w:val="32"/>
          <w:shd w:val="clear" w:color="auto" w:fill="FFFFFF"/>
        </w:rPr>
        <w:t>进一步落实信息公文公开属性源头认定制度，建立健全信息制作、公开、存档等制度，同时按照立改废的要求对规范性文件进行动态调整。</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以政府信息公开带动办事公开，以办事公开带动便民服务，进一步推动政府信息公开与网上办事电子政务的结合。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（四）</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rPr>
        <w:t>政府信息公开平台建设。</w:t>
      </w:r>
      <w:r>
        <w:rPr>
          <w:rFonts w:hint="eastAsia" w:ascii="仿宋_GB2312" w:hAnsi="仿宋_GB2312" w:eastAsia="仿宋_GB2312" w:cs="仿宋_GB2312"/>
          <w:i w:val="0"/>
          <w:iCs w:val="0"/>
          <w:caps w:val="0"/>
          <w:color w:val="000000"/>
          <w:spacing w:val="0"/>
          <w:sz w:val="32"/>
          <w:szCs w:val="32"/>
          <w:shd w:val="clear" w:color="auto" w:fill="FFFFFF"/>
        </w:rPr>
        <w:t>对信息公开栏目进行重新梳理，以一般公开内容</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和司法</w:t>
      </w:r>
      <w:r>
        <w:rPr>
          <w:rFonts w:hint="eastAsia" w:ascii="仿宋_GB2312" w:hAnsi="仿宋_GB2312" w:eastAsia="仿宋_GB2312" w:cs="仿宋_GB2312"/>
          <w:i w:val="0"/>
          <w:iCs w:val="0"/>
          <w:caps w:val="0"/>
          <w:color w:val="000000"/>
          <w:spacing w:val="0"/>
          <w:sz w:val="32"/>
          <w:szCs w:val="32"/>
          <w:shd w:val="clear" w:color="auto" w:fill="FFFFFF"/>
        </w:rPr>
        <w:t>特色事项为主要内容制定公开事项清</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单</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规范政务信息公开栏目设置，加强政务信息公开栏目，努力提升平台建设水平。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（五）</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rPr>
        <w:t>监督保障。</w:t>
      </w:r>
      <w:r>
        <w:rPr>
          <w:rFonts w:hint="eastAsia" w:ascii="仿宋_GB2312" w:hAnsi="仿宋_GB2312" w:eastAsia="仿宋_GB2312" w:cs="仿宋_GB2312"/>
          <w:b w:val="0"/>
          <w:bCs w:val="0"/>
          <w:i w:val="0"/>
          <w:iCs w:val="0"/>
          <w:caps w:val="0"/>
          <w:color w:val="000000"/>
          <w:spacing w:val="0"/>
          <w:sz w:val="32"/>
          <w:szCs w:val="32"/>
        </w:rPr>
        <w:t>加大自查力度</w:t>
      </w: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lang w:val="en-US" w:eastAsia="zh-CN"/>
        </w:rPr>
        <w:t>加强组织领导建设，完善政务公开机制的</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rPr>
        <w:t>同时重视业务能力的培训，加强法制宣传，加大政府信息公开有关信息的普及力度，把政务公开由“一阵风”模式转变成常态化工作。</w:t>
      </w:r>
    </w:p>
    <w:p>
      <w:pPr>
        <w:pStyle w:val="3"/>
        <w:spacing w:before="168"/>
        <w:ind w:left="579"/>
        <w:rPr>
          <w:rFonts w:hint="eastAsia" w:ascii="黑体" w:eastAsia="黑体"/>
        </w:rPr>
      </w:pPr>
      <w:r>
        <w:rPr>
          <w:rFonts w:hint="eastAsia" w:ascii="黑体" w:eastAsia="黑体"/>
          <w:color w:val="333333"/>
        </w:rPr>
        <w:t>二、主动公开政府信息情况</w:t>
      </w:r>
    </w:p>
    <w:p>
      <w:pPr>
        <w:pStyle w:val="3"/>
        <w:ind w:left="0"/>
        <w:rPr>
          <w:rFonts w:ascii="黑体"/>
          <w:sz w:val="22"/>
        </w:rPr>
      </w:pPr>
    </w:p>
    <w:tbl>
      <w:tblPr>
        <w:tblStyle w:val="6"/>
        <w:tblW w:w="0" w:type="auto"/>
        <w:tblInd w:w="41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25"/>
        <w:gridCol w:w="2025"/>
        <w:gridCol w:w="2025"/>
        <w:gridCol w:w="20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8100" w:type="dxa"/>
            <w:gridSpan w:val="4"/>
            <w:shd w:val="clear" w:color="auto" w:fill="C5D9F0"/>
          </w:tcPr>
          <w:p>
            <w:pPr>
              <w:pStyle w:val="8"/>
              <w:spacing w:before="58"/>
              <w:ind w:left="3076" w:right="3059"/>
              <w:jc w:val="center"/>
              <w:rPr>
                <w:sz w:val="20"/>
              </w:rPr>
            </w:pPr>
            <w:r>
              <w:rPr>
                <w:sz w:val="20"/>
              </w:rPr>
              <w:t>第二十条第</w:t>
            </w:r>
            <w:r>
              <w:rPr>
                <w:w w:val="65"/>
                <w:sz w:val="20"/>
              </w:rPr>
              <w:t>（</w:t>
            </w:r>
            <w:r>
              <w:rPr>
                <w:spacing w:val="59"/>
                <w:w w:val="65"/>
                <w:sz w:val="20"/>
              </w:rPr>
              <w:t xml:space="preserve"> </w:t>
            </w:r>
            <w:r>
              <w:rPr>
                <w:w w:val="90"/>
                <w:sz w:val="20"/>
              </w:rPr>
              <w:t xml:space="preserve">一） </w:t>
            </w:r>
            <w:r>
              <w:rPr>
                <w:sz w:val="20"/>
              </w:rPr>
              <w:t>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2025" w:type="dxa"/>
          </w:tcPr>
          <w:p>
            <w:pPr>
              <w:pStyle w:val="8"/>
              <w:spacing w:before="60"/>
              <w:ind w:right="592"/>
              <w:jc w:val="right"/>
              <w:rPr>
                <w:sz w:val="20"/>
              </w:rPr>
            </w:pPr>
            <w:r>
              <w:rPr>
                <w:w w:val="95"/>
                <w:sz w:val="20"/>
              </w:rPr>
              <w:t>信息内容</w:t>
            </w:r>
          </w:p>
        </w:tc>
        <w:tc>
          <w:tcPr>
            <w:tcW w:w="2025" w:type="dxa"/>
          </w:tcPr>
          <w:p>
            <w:pPr>
              <w:pStyle w:val="8"/>
              <w:spacing w:before="60"/>
              <w:ind w:left="410"/>
              <w:rPr>
                <w:sz w:val="20"/>
              </w:rPr>
            </w:pPr>
            <w:r>
              <w:rPr>
                <w:sz w:val="20"/>
              </w:rPr>
              <w:t>本年制发件数</w:t>
            </w:r>
          </w:p>
        </w:tc>
        <w:tc>
          <w:tcPr>
            <w:tcW w:w="2025" w:type="dxa"/>
          </w:tcPr>
          <w:p>
            <w:pPr>
              <w:pStyle w:val="8"/>
              <w:spacing w:before="60"/>
              <w:ind w:left="411"/>
              <w:rPr>
                <w:sz w:val="20"/>
              </w:rPr>
            </w:pPr>
            <w:r>
              <w:rPr>
                <w:sz w:val="20"/>
              </w:rPr>
              <w:t>本年废止件数</w:t>
            </w:r>
          </w:p>
        </w:tc>
        <w:tc>
          <w:tcPr>
            <w:tcW w:w="2025" w:type="dxa"/>
          </w:tcPr>
          <w:p>
            <w:pPr>
              <w:pStyle w:val="8"/>
              <w:spacing w:before="60"/>
              <w:ind w:left="412"/>
              <w:rPr>
                <w:sz w:val="20"/>
              </w:rPr>
            </w:pPr>
            <w:r>
              <w:rPr>
                <w:sz w:val="20"/>
              </w:rPr>
              <w:t>现行有效件数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2025" w:type="dxa"/>
          </w:tcPr>
          <w:p>
            <w:pPr>
              <w:pStyle w:val="8"/>
              <w:spacing w:before="59"/>
              <w:ind w:left="57"/>
              <w:rPr>
                <w:sz w:val="20"/>
              </w:rPr>
            </w:pPr>
            <w:r>
              <w:rPr>
                <w:sz w:val="20"/>
              </w:rPr>
              <w:t>规章</w:t>
            </w:r>
          </w:p>
        </w:tc>
        <w:tc>
          <w:tcPr>
            <w:tcW w:w="2025" w:type="dxa"/>
          </w:tcPr>
          <w:p>
            <w:pPr>
              <w:pStyle w:val="8"/>
              <w:jc w:val="center"/>
              <w:rPr>
                <w:rFonts w:hint="eastAsia" w:ascii="Times New Roman" w:eastAsia="宋体"/>
                <w:sz w:val="24"/>
                <w:lang w:val="en-US" w:eastAsia="zh-CN"/>
              </w:rPr>
            </w:pPr>
            <w:r>
              <w:rPr>
                <w:rFonts w:hint="eastAsia" w:ascii="Times New Roman"/>
                <w:sz w:val="24"/>
                <w:lang w:val="en-US" w:eastAsia="zh-CN"/>
              </w:rPr>
              <w:t>0</w:t>
            </w:r>
          </w:p>
        </w:tc>
        <w:tc>
          <w:tcPr>
            <w:tcW w:w="2025" w:type="dxa"/>
          </w:tcPr>
          <w:p>
            <w:pPr>
              <w:pStyle w:val="8"/>
              <w:jc w:val="center"/>
              <w:rPr>
                <w:rFonts w:hint="eastAsia" w:ascii="Times New Roman" w:eastAsia="宋体"/>
                <w:sz w:val="24"/>
                <w:lang w:val="en-US" w:eastAsia="zh-CN"/>
              </w:rPr>
            </w:pPr>
            <w:r>
              <w:rPr>
                <w:rFonts w:hint="eastAsia" w:ascii="Times New Roman"/>
                <w:sz w:val="24"/>
                <w:lang w:val="en-US" w:eastAsia="zh-CN"/>
              </w:rPr>
              <w:t>0</w:t>
            </w:r>
          </w:p>
        </w:tc>
        <w:tc>
          <w:tcPr>
            <w:tcW w:w="2025" w:type="dxa"/>
          </w:tcPr>
          <w:p>
            <w:pPr>
              <w:pStyle w:val="8"/>
              <w:jc w:val="center"/>
              <w:rPr>
                <w:rFonts w:hint="eastAsia" w:ascii="Times New Roman" w:eastAsia="宋体"/>
                <w:sz w:val="24"/>
                <w:lang w:val="en-US" w:eastAsia="zh-CN"/>
              </w:rPr>
            </w:pPr>
            <w:r>
              <w:rPr>
                <w:rFonts w:hint="eastAsia" w:ascii="Times New Roman"/>
                <w:sz w:val="24"/>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2025" w:type="dxa"/>
          </w:tcPr>
          <w:p>
            <w:pPr>
              <w:pStyle w:val="8"/>
              <w:spacing w:before="58"/>
              <w:ind w:left="57"/>
              <w:rPr>
                <w:sz w:val="20"/>
              </w:rPr>
            </w:pPr>
            <w:r>
              <w:rPr>
                <w:sz w:val="20"/>
              </w:rPr>
              <w:t>行政规范性文件</w:t>
            </w:r>
          </w:p>
        </w:tc>
        <w:tc>
          <w:tcPr>
            <w:tcW w:w="2025" w:type="dxa"/>
          </w:tcPr>
          <w:p>
            <w:pPr>
              <w:pStyle w:val="8"/>
              <w:jc w:val="center"/>
              <w:rPr>
                <w:rFonts w:hint="eastAsia" w:ascii="Times New Roman" w:eastAsia="宋体"/>
                <w:sz w:val="24"/>
                <w:lang w:val="en-US" w:eastAsia="zh-CN"/>
              </w:rPr>
            </w:pPr>
            <w:r>
              <w:rPr>
                <w:rFonts w:hint="eastAsia" w:ascii="Times New Roman" w:eastAsia="宋体"/>
                <w:sz w:val="24"/>
                <w:lang w:val="en-US" w:eastAsia="zh-CN"/>
              </w:rPr>
              <w:t xml:space="preserve"> </w:t>
            </w:r>
            <w:r>
              <w:rPr>
                <w:rFonts w:hint="default" w:ascii="Times New Roman" w:eastAsia="宋体"/>
                <w:sz w:val="24"/>
                <w:lang w:val="en-US" w:eastAsia="zh-CN"/>
              </w:rPr>
              <w:t>0</w:t>
            </w:r>
          </w:p>
        </w:tc>
        <w:tc>
          <w:tcPr>
            <w:tcW w:w="2025" w:type="dxa"/>
          </w:tcPr>
          <w:p>
            <w:pPr>
              <w:pStyle w:val="8"/>
              <w:jc w:val="center"/>
              <w:rPr>
                <w:rFonts w:hint="default" w:ascii="Times New Roman" w:eastAsia="宋体"/>
                <w:sz w:val="24"/>
                <w:lang w:val="en-US" w:eastAsia="zh-CN"/>
              </w:rPr>
            </w:pPr>
            <w:r>
              <w:rPr>
                <w:rFonts w:hint="eastAsia" w:ascii="Times New Roman"/>
                <w:sz w:val="24"/>
                <w:lang w:val="en-US" w:eastAsia="zh-CN"/>
              </w:rPr>
              <w:t>0</w:t>
            </w:r>
          </w:p>
        </w:tc>
        <w:tc>
          <w:tcPr>
            <w:tcW w:w="2025" w:type="dxa"/>
          </w:tcPr>
          <w:p>
            <w:pPr>
              <w:pStyle w:val="8"/>
              <w:jc w:val="center"/>
              <w:rPr>
                <w:rFonts w:hint="eastAsia" w:ascii="Times New Roman" w:eastAsia="宋体"/>
                <w:sz w:val="24"/>
                <w:lang w:val="en-US" w:eastAsia="zh-CN"/>
              </w:rPr>
            </w:pPr>
            <w:r>
              <w:rPr>
                <w:rFonts w:hint="eastAsia" w:ascii="Times New Roman"/>
                <w:sz w:val="24"/>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8100" w:type="dxa"/>
            <w:gridSpan w:val="4"/>
            <w:shd w:val="clear" w:color="auto" w:fill="C5D9F0"/>
          </w:tcPr>
          <w:p>
            <w:pPr>
              <w:pStyle w:val="8"/>
              <w:spacing w:before="59"/>
              <w:ind w:left="3076" w:right="3059"/>
              <w:jc w:val="center"/>
              <w:rPr>
                <w:sz w:val="20"/>
              </w:rPr>
            </w:pPr>
            <w:r>
              <w:rPr>
                <w:sz w:val="20"/>
              </w:rPr>
              <w:t>第二十条第</w:t>
            </w:r>
            <w:r>
              <w:rPr>
                <w:w w:val="65"/>
                <w:sz w:val="20"/>
              </w:rPr>
              <w:t>（</w:t>
            </w:r>
            <w:r>
              <w:rPr>
                <w:spacing w:val="59"/>
                <w:w w:val="65"/>
                <w:sz w:val="20"/>
              </w:rPr>
              <w:t xml:space="preserve"> </w:t>
            </w:r>
            <w:r>
              <w:rPr>
                <w:w w:val="90"/>
                <w:sz w:val="20"/>
              </w:rPr>
              <w:t xml:space="preserve">五） </w:t>
            </w:r>
            <w:r>
              <w:rPr>
                <w:sz w:val="20"/>
              </w:rPr>
              <w:t>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2025" w:type="dxa"/>
          </w:tcPr>
          <w:p>
            <w:pPr>
              <w:pStyle w:val="8"/>
              <w:spacing w:before="58"/>
              <w:ind w:right="592"/>
              <w:jc w:val="right"/>
              <w:rPr>
                <w:sz w:val="20"/>
              </w:rPr>
            </w:pPr>
            <w:r>
              <w:rPr>
                <w:w w:val="95"/>
                <w:sz w:val="20"/>
              </w:rPr>
              <w:t>信息内容</w:t>
            </w:r>
          </w:p>
        </w:tc>
        <w:tc>
          <w:tcPr>
            <w:tcW w:w="6075" w:type="dxa"/>
            <w:gridSpan w:val="3"/>
          </w:tcPr>
          <w:p>
            <w:pPr>
              <w:pStyle w:val="8"/>
              <w:spacing w:before="58"/>
              <w:ind w:left="2216" w:right="2199"/>
              <w:jc w:val="center"/>
              <w:rPr>
                <w:sz w:val="20"/>
              </w:rPr>
            </w:pPr>
            <w:r>
              <w:rPr>
                <w:sz w:val="20"/>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2025" w:type="dxa"/>
          </w:tcPr>
          <w:p>
            <w:pPr>
              <w:pStyle w:val="8"/>
              <w:spacing w:before="60"/>
              <w:ind w:left="57"/>
              <w:rPr>
                <w:sz w:val="20"/>
              </w:rPr>
            </w:pPr>
            <w:r>
              <w:rPr>
                <w:sz w:val="20"/>
              </w:rPr>
              <w:t>行政许可</w:t>
            </w:r>
          </w:p>
        </w:tc>
        <w:tc>
          <w:tcPr>
            <w:tcW w:w="6075" w:type="dxa"/>
            <w:gridSpan w:val="3"/>
          </w:tcPr>
          <w:p>
            <w:pPr>
              <w:pStyle w:val="8"/>
              <w:jc w:val="center"/>
              <w:rPr>
                <w:rFonts w:hint="eastAsia" w:ascii="Times New Roman" w:eastAsia="宋体"/>
                <w:sz w:val="24"/>
                <w:lang w:val="en-US" w:eastAsia="zh-CN"/>
              </w:rPr>
            </w:pPr>
            <w:r>
              <w:rPr>
                <w:rFonts w:hint="default" w:ascii="Times New Roman" w:eastAsia="宋体"/>
                <w:sz w:val="24"/>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8100" w:type="dxa"/>
            <w:gridSpan w:val="4"/>
            <w:shd w:val="clear" w:color="auto" w:fill="C5D9F0"/>
          </w:tcPr>
          <w:p>
            <w:pPr>
              <w:pStyle w:val="8"/>
              <w:spacing w:before="59"/>
              <w:ind w:left="3076" w:right="3059"/>
              <w:jc w:val="center"/>
              <w:rPr>
                <w:sz w:val="20"/>
              </w:rPr>
            </w:pPr>
            <w:r>
              <w:rPr>
                <w:sz w:val="20"/>
              </w:rPr>
              <w:t>第二十条第</w:t>
            </w:r>
            <w:r>
              <w:rPr>
                <w:w w:val="65"/>
                <w:sz w:val="20"/>
              </w:rPr>
              <w:t>（</w:t>
            </w:r>
            <w:r>
              <w:rPr>
                <w:spacing w:val="59"/>
                <w:w w:val="65"/>
                <w:sz w:val="20"/>
              </w:rPr>
              <w:t xml:space="preserve"> </w:t>
            </w:r>
            <w:r>
              <w:rPr>
                <w:w w:val="90"/>
                <w:sz w:val="20"/>
              </w:rPr>
              <w:t xml:space="preserve">六） </w:t>
            </w:r>
            <w:r>
              <w:rPr>
                <w:sz w:val="20"/>
              </w:rPr>
              <w:t>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2025" w:type="dxa"/>
          </w:tcPr>
          <w:p>
            <w:pPr>
              <w:pStyle w:val="8"/>
              <w:spacing w:before="60"/>
              <w:ind w:right="592"/>
              <w:jc w:val="right"/>
              <w:rPr>
                <w:sz w:val="20"/>
              </w:rPr>
            </w:pPr>
            <w:r>
              <w:rPr>
                <w:w w:val="95"/>
                <w:sz w:val="20"/>
              </w:rPr>
              <w:t>信息内容</w:t>
            </w:r>
          </w:p>
        </w:tc>
        <w:tc>
          <w:tcPr>
            <w:tcW w:w="6075" w:type="dxa"/>
            <w:gridSpan w:val="3"/>
          </w:tcPr>
          <w:p>
            <w:pPr>
              <w:pStyle w:val="8"/>
              <w:spacing w:before="60"/>
              <w:ind w:left="2216" w:right="2199"/>
              <w:jc w:val="center"/>
              <w:rPr>
                <w:sz w:val="20"/>
              </w:rPr>
            </w:pPr>
            <w:r>
              <w:rPr>
                <w:sz w:val="20"/>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2025" w:type="dxa"/>
          </w:tcPr>
          <w:p>
            <w:pPr>
              <w:pStyle w:val="8"/>
              <w:spacing w:before="59"/>
              <w:ind w:left="57"/>
              <w:rPr>
                <w:sz w:val="20"/>
              </w:rPr>
            </w:pPr>
            <w:r>
              <w:rPr>
                <w:sz w:val="20"/>
              </w:rPr>
              <w:t>行政处罚</w:t>
            </w:r>
          </w:p>
        </w:tc>
        <w:tc>
          <w:tcPr>
            <w:tcW w:w="6075" w:type="dxa"/>
            <w:gridSpan w:val="3"/>
          </w:tcPr>
          <w:p>
            <w:pPr>
              <w:pStyle w:val="8"/>
              <w:jc w:val="center"/>
              <w:rPr>
                <w:rFonts w:hint="eastAsia" w:ascii="Times New Roman" w:eastAsia="宋体"/>
                <w:sz w:val="24"/>
                <w:lang w:val="en-US" w:eastAsia="zh-CN"/>
              </w:rPr>
            </w:pPr>
            <w:r>
              <w:rPr>
                <w:rFonts w:hint="default" w:ascii="Times New Roman" w:eastAsia="宋体"/>
                <w:sz w:val="24"/>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2025" w:type="dxa"/>
          </w:tcPr>
          <w:p>
            <w:pPr>
              <w:pStyle w:val="8"/>
              <w:spacing w:before="58"/>
              <w:ind w:left="57"/>
              <w:rPr>
                <w:sz w:val="20"/>
              </w:rPr>
            </w:pPr>
            <w:r>
              <w:rPr>
                <w:sz w:val="20"/>
              </w:rPr>
              <w:t>行政强制</w:t>
            </w:r>
          </w:p>
        </w:tc>
        <w:tc>
          <w:tcPr>
            <w:tcW w:w="6075" w:type="dxa"/>
            <w:gridSpan w:val="3"/>
          </w:tcPr>
          <w:p>
            <w:pPr>
              <w:pStyle w:val="8"/>
              <w:jc w:val="center"/>
              <w:rPr>
                <w:rFonts w:hint="eastAsia" w:ascii="Times New Roman" w:eastAsia="宋体"/>
                <w:sz w:val="24"/>
                <w:lang w:val="en-US" w:eastAsia="zh-CN"/>
              </w:rPr>
            </w:pPr>
            <w:r>
              <w:rPr>
                <w:rFonts w:hint="eastAsia" w:ascii="Times New Roman"/>
                <w:sz w:val="24"/>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8100" w:type="dxa"/>
            <w:gridSpan w:val="4"/>
            <w:shd w:val="clear" w:color="auto" w:fill="C5D9F0"/>
          </w:tcPr>
          <w:p>
            <w:pPr>
              <w:pStyle w:val="8"/>
              <w:spacing w:before="59"/>
              <w:ind w:left="3076" w:right="3059"/>
              <w:jc w:val="center"/>
              <w:rPr>
                <w:sz w:val="20"/>
              </w:rPr>
            </w:pPr>
            <w:r>
              <w:rPr>
                <w:sz w:val="20"/>
              </w:rPr>
              <w:t>第二十条第</w:t>
            </w:r>
            <w:r>
              <w:rPr>
                <w:w w:val="65"/>
                <w:sz w:val="20"/>
              </w:rPr>
              <w:t>（</w:t>
            </w:r>
            <w:r>
              <w:rPr>
                <w:spacing w:val="59"/>
                <w:w w:val="65"/>
                <w:sz w:val="20"/>
              </w:rPr>
              <w:t xml:space="preserve"> </w:t>
            </w:r>
            <w:r>
              <w:rPr>
                <w:w w:val="90"/>
                <w:sz w:val="20"/>
              </w:rPr>
              <w:t xml:space="preserve">八） </w:t>
            </w:r>
            <w:r>
              <w:rPr>
                <w:sz w:val="20"/>
              </w:rPr>
              <w:t>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2025" w:type="dxa"/>
          </w:tcPr>
          <w:p>
            <w:pPr>
              <w:pStyle w:val="8"/>
              <w:spacing w:before="58"/>
              <w:ind w:right="592"/>
              <w:jc w:val="right"/>
              <w:rPr>
                <w:sz w:val="20"/>
              </w:rPr>
            </w:pPr>
            <w:r>
              <w:rPr>
                <w:w w:val="95"/>
                <w:sz w:val="20"/>
              </w:rPr>
              <w:t>信息内容</w:t>
            </w:r>
          </w:p>
        </w:tc>
        <w:tc>
          <w:tcPr>
            <w:tcW w:w="6075" w:type="dxa"/>
            <w:gridSpan w:val="3"/>
          </w:tcPr>
          <w:p>
            <w:pPr>
              <w:pStyle w:val="8"/>
              <w:spacing w:before="58"/>
              <w:ind w:left="1735"/>
              <w:rPr>
                <w:sz w:val="20"/>
              </w:rPr>
            </w:pPr>
            <w:r>
              <w:rPr>
                <w:w w:val="95"/>
                <w:sz w:val="20"/>
              </w:rPr>
              <w:t>本年收费金额（ 单位： 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2025" w:type="dxa"/>
          </w:tcPr>
          <w:p>
            <w:pPr>
              <w:pStyle w:val="8"/>
              <w:spacing w:before="79"/>
              <w:ind w:left="57"/>
              <w:rPr>
                <w:sz w:val="20"/>
              </w:rPr>
            </w:pPr>
            <w:r>
              <w:rPr>
                <w:sz w:val="20"/>
              </w:rPr>
              <w:t>行政事业性收费</w:t>
            </w:r>
          </w:p>
        </w:tc>
        <w:tc>
          <w:tcPr>
            <w:tcW w:w="6075" w:type="dxa"/>
            <w:gridSpan w:val="3"/>
          </w:tcPr>
          <w:p>
            <w:pPr>
              <w:pStyle w:val="8"/>
              <w:jc w:val="center"/>
              <w:rPr>
                <w:rFonts w:hint="default" w:ascii="Times New Roman" w:eastAsia="宋体"/>
                <w:sz w:val="24"/>
                <w:lang w:val="en-US" w:eastAsia="zh-CN"/>
              </w:rPr>
            </w:pPr>
            <w:r>
              <w:rPr>
                <w:rFonts w:hint="eastAsia" w:ascii="Times New Roman"/>
                <w:sz w:val="24"/>
                <w:lang w:val="en-US" w:eastAsia="zh-CN"/>
              </w:rPr>
              <w:t>0</w:t>
            </w:r>
          </w:p>
        </w:tc>
      </w:tr>
    </w:tbl>
    <w:p>
      <w:pPr>
        <w:spacing w:after="0"/>
        <w:rPr>
          <w:rFonts w:ascii="Times New Roman"/>
          <w:sz w:val="24"/>
        </w:rPr>
        <w:sectPr>
          <w:pgSz w:w="11910" w:h="16840"/>
          <w:pgMar w:top="1580" w:right="1520" w:bottom="280" w:left="1640" w:header="720" w:footer="720" w:gutter="0"/>
          <w:cols w:space="720" w:num="1"/>
        </w:sectPr>
      </w:pPr>
    </w:p>
    <w:p>
      <w:pPr>
        <w:pStyle w:val="3"/>
        <w:spacing w:before="43" w:after="27"/>
        <w:ind w:left="579"/>
        <w:rPr>
          <w:rFonts w:hint="eastAsia" w:ascii="黑体" w:eastAsia="黑体"/>
        </w:rPr>
      </w:pPr>
      <w:r>
        <w:rPr>
          <w:rFonts w:hint="eastAsia" w:ascii="黑体" w:eastAsia="黑体"/>
          <w:color w:val="333333"/>
        </w:rPr>
        <w:t>三、收到和处理政府信息公开申请情况</w:t>
      </w:r>
    </w:p>
    <w:tbl>
      <w:tblPr>
        <w:tblStyle w:val="6"/>
        <w:tblW w:w="0" w:type="auto"/>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4239" w:type="dxa"/>
            <w:gridSpan w:val="3"/>
            <w:vMerge w:val="restart"/>
          </w:tcPr>
          <w:p>
            <w:pPr>
              <w:pStyle w:val="8"/>
              <w:rPr>
                <w:rFonts w:ascii="黑体"/>
                <w:sz w:val="20"/>
              </w:rPr>
            </w:pPr>
          </w:p>
          <w:p>
            <w:pPr>
              <w:pStyle w:val="8"/>
              <w:spacing w:before="5"/>
              <w:rPr>
                <w:rFonts w:ascii="黑体"/>
                <w:sz w:val="22"/>
              </w:rPr>
            </w:pPr>
          </w:p>
          <w:p>
            <w:pPr>
              <w:pStyle w:val="8"/>
              <w:spacing w:before="1" w:line="292" w:lineRule="auto"/>
              <w:ind w:left="108" w:right="111"/>
              <w:rPr>
                <w:rFonts w:hint="eastAsia" w:ascii="楷体" w:eastAsia="楷体"/>
                <w:sz w:val="20"/>
              </w:rPr>
            </w:pPr>
            <w:r>
              <w:rPr>
                <w:rFonts w:hint="eastAsia" w:ascii="楷体" w:eastAsia="楷体"/>
                <w:sz w:val="20"/>
              </w:rPr>
              <w:t>（本列数据的勾稽关系为：第一项加第二项之和，等于第三项加第四项之和）</w:t>
            </w:r>
          </w:p>
        </w:tc>
        <w:tc>
          <w:tcPr>
            <w:tcW w:w="4140" w:type="dxa"/>
            <w:gridSpan w:val="7"/>
          </w:tcPr>
          <w:p>
            <w:pPr>
              <w:pStyle w:val="8"/>
              <w:spacing w:before="37"/>
              <w:ind w:left="1548" w:right="1532"/>
              <w:jc w:val="center"/>
              <w:rPr>
                <w:sz w:val="20"/>
              </w:rPr>
            </w:pPr>
            <w:r>
              <w:rPr>
                <w:sz w:val="20"/>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4239" w:type="dxa"/>
            <w:gridSpan w:val="3"/>
            <w:vMerge w:val="continue"/>
            <w:tcBorders>
              <w:top w:val="nil"/>
            </w:tcBorders>
          </w:tcPr>
          <w:p>
            <w:pPr>
              <w:rPr>
                <w:sz w:val="2"/>
                <w:szCs w:val="2"/>
              </w:rPr>
            </w:pPr>
          </w:p>
        </w:tc>
        <w:tc>
          <w:tcPr>
            <w:tcW w:w="591" w:type="dxa"/>
            <w:vMerge w:val="restart"/>
          </w:tcPr>
          <w:p>
            <w:pPr>
              <w:pStyle w:val="8"/>
              <w:spacing w:before="8"/>
              <w:rPr>
                <w:rFonts w:ascii="黑体"/>
                <w:sz w:val="28"/>
              </w:rPr>
            </w:pPr>
          </w:p>
          <w:p>
            <w:pPr>
              <w:pStyle w:val="8"/>
              <w:spacing w:line="292" w:lineRule="auto"/>
              <w:ind w:left="194" w:right="77" w:hanging="101"/>
              <w:rPr>
                <w:sz w:val="20"/>
              </w:rPr>
            </w:pPr>
            <w:r>
              <w:rPr>
                <w:sz w:val="20"/>
              </w:rPr>
              <w:t>自然人</w:t>
            </w:r>
          </w:p>
        </w:tc>
        <w:tc>
          <w:tcPr>
            <w:tcW w:w="2957" w:type="dxa"/>
            <w:gridSpan w:val="5"/>
          </w:tcPr>
          <w:p>
            <w:pPr>
              <w:pStyle w:val="8"/>
              <w:spacing w:before="38"/>
              <w:ind w:left="776"/>
              <w:rPr>
                <w:sz w:val="20"/>
              </w:rPr>
            </w:pPr>
            <w:r>
              <w:rPr>
                <w:sz w:val="20"/>
              </w:rPr>
              <w:t>法人或其他组织</w:t>
            </w:r>
          </w:p>
        </w:tc>
        <w:tc>
          <w:tcPr>
            <w:tcW w:w="592" w:type="dxa"/>
            <w:vMerge w:val="restart"/>
          </w:tcPr>
          <w:p>
            <w:pPr>
              <w:pStyle w:val="8"/>
              <w:rPr>
                <w:rFonts w:ascii="黑体"/>
                <w:sz w:val="20"/>
              </w:rPr>
            </w:pPr>
          </w:p>
          <w:p>
            <w:pPr>
              <w:pStyle w:val="8"/>
              <w:spacing w:before="10"/>
              <w:rPr>
                <w:rFonts w:ascii="黑体"/>
                <w:sz w:val="20"/>
              </w:rPr>
            </w:pPr>
          </w:p>
          <w:p>
            <w:pPr>
              <w:pStyle w:val="8"/>
              <w:ind w:left="95"/>
              <w:rPr>
                <w:sz w:val="20"/>
              </w:rPr>
            </w:pPr>
            <w:r>
              <w:rPr>
                <w:sz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4" w:hRule="atLeast"/>
        </w:trPr>
        <w:tc>
          <w:tcPr>
            <w:tcW w:w="4239" w:type="dxa"/>
            <w:gridSpan w:val="3"/>
            <w:vMerge w:val="continue"/>
            <w:tcBorders>
              <w:top w:val="nil"/>
            </w:tcBorders>
          </w:tcPr>
          <w:p>
            <w:pPr>
              <w:rPr>
                <w:sz w:val="2"/>
                <w:szCs w:val="2"/>
              </w:rPr>
            </w:pPr>
          </w:p>
        </w:tc>
        <w:tc>
          <w:tcPr>
            <w:tcW w:w="591" w:type="dxa"/>
            <w:vMerge w:val="continue"/>
            <w:tcBorders>
              <w:top w:val="nil"/>
            </w:tcBorders>
          </w:tcPr>
          <w:p>
            <w:pPr>
              <w:rPr>
                <w:sz w:val="2"/>
                <w:szCs w:val="2"/>
              </w:rPr>
            </w:pPr>
          </w:p>
        </w:tc>
        <w:tc>
          <w:tcPr>
            <w:tcW w:w="591" w:type="dxa"/>
          </w:tcPr>
          <w:p>
            <w:pPr>
              <w:pStyle w:val="8"/>
              <w:rPr>
                <w:rFonts w:ascii="黑体"/>
                <w:sz w:val="15"/>
              </w:rPr>
            </w:pPr>
          </w:p>
          <w:p>
            <w:pPr>
              <w:pStyle w:val="8"/>
              <w:spacing w:line="292" w:lineRule="auto"/>
              <w:ind w:left="95" w:right="75"/>
              <w:rPr>
                <w:sz w:val="20"/>
              </w:rPr>
            </w:pPr>
            <w:r>
              <w:rPr>
                <w:sz w:val="20"/>
              </w:rPr>
              <w:t>商业企业</w:t>
            </w:r>
          </w:p>
        </w:tc>
        <w:tc>
          <w:tcPr>
            <w:tcW w:w="591" w:type="dxa"/>
          </w:tcPr>
          <w:p>
            <w:pPr>
              <w:pStyle w:val="8"/>
              <w:rPr>
                <w:rFonts w:ascii="黑体"/>
                <w:sz w:val="15"/>
              </w:rPr>
            </w:pPr>
          </w:p>
          <w:p>
            <w:pPr>
              <w:pStyle w:val="8"/>
              <w:spacing w:line="292" w:lineRule="auto"/>
              <w:ind w:left="94" w:right="76"/>
              <w:rPr>
                <w:sz w:val="20"/>
              </w:rPr>
            </w:pPr>
            <w:r>
              <w:rPr>
                <w:sz w:val="20"/>
              </w:rPr>
              <w:t>科研机构</w:t>
            </w:r>
          </w:p>
        </w:tc>
        <w:tc>
          <w:tcPr>
            <w:tcW w:w="591" w:type="dxa"/>
          </w:tcPr>
          <w:p>
            <w:pPr>
              <w:pStyle w:val="8"/>
              <w:spacing w:before="36" w:line="292" w:lineRule="auto"/>
              <w:ind w:left="94" w:right="76"/>
              <w:rPr>
                <w:sz w:val="20"/>
              </w:rPr>
            </w:pPr>
            <w:r>
              <w:rPr>
                <w:spacing w:val="-9"/>
                <w:sz w:val="20"/>
              </w:rPr>
              <w:t>社会</w:t>
            </w:r>
            <w:r>
              <w:rPr>
                <w:spacing w:val="-9"/>
                <w:w w:val="95"/>
                <w:sz w:val="20"/>
              </w:rPr>
              <w:t>公益</w:t>
            </w:r>
          </w:p>
          <w:p>
            <w:pPr>
              <w:pStyle w:val="8"/>
              <w:spacing w:line="255" w:lineRule="exact"/>
              <w:ind w:left="94"/>
              <w:rPr>
                <w:sz w:val="20"/>
              </w:rPr>
            </w:pPr>
            <w:r>
              <w:rPr>
                <w:w w:val="95"/>
                <w:sz w:val="20"/>
              </w:rPr>
              <w:t>组织</w:t>
            </w:r>
          </w:p>
        </w:tc>
        <w:tc>
          <w:tcPr>
            <w:tcW w:w="591" w:type="dxa"/>
          </w:tcPr>
          <w:p>
            <w:pPr>
              <w:pStyle w:val="8"/>
              <w:spacing w:before="36" w:line="292" w:lineRule="auto"/>
              <w:ind w:left="93" w:right="77"/>
              <w:rPr>
                <w:sz w:val="20"/>
              </w:rPr>
            </w:pPr>
            <w:r>
              <w:rPr>
                <w:spacing w:val="-9"/>
                <w:sz w:val="20"/>
              </w:rPr>
              <w:t>法律</w:t>
            </w:r>
            <w:r>
              <w:rPr>
                <w:spacing w:val="-9"/>
                <w:w w:val="95"/>
                <w:sz w:val="20"/>
              </w:rPr>
              <w:t>服务</w:t>
            </w:r>
          </w:p>
          <w:p>
            <w:pPr>
              <w:pStyle w:val="8"/>
              <w:spacing w:line="255" w:lineRule="exact"/>
              <w:ind w:left="93"/>
              <w:rPr>
                <w:sz w:val="20"/>
              </w:rPr>
            </w:pPr>
            <w:r>
              <w:rPr>
                <w:w w:val="95"/>
                <w:sz w:val="20"/>
              </w:rPr>
              <w:t>机构</w:t>
            </w:r>
          </w:p>
        </w:tc>
        <w:tc>
          <w:tcPr>
            <w:tcW w:w="593" w:type="dxa"/>
          </w:tcPr>
          <w:p>
            <w:pPr>
              <w:pStyle w:val="8"/>
              <w:spacing w:before="2"/>
              <w:rPr>
                <w:rFonts w:ascii="黑体"/>
                <w:sz w:val="27"/>
              </w:rPr>
            </w:pPr>
          </w:p>
          <w:p>
            <w:pPr>
              <w:pStyle w:val="8"/>
              <w:spacing w:before="1"/>
              <w:ind w:left="95"/>
              <w:rPr>
                <w:sz w:val="20"/>
              </w:rPr>
            </w:pPr>
            <w:r>
              <w:rPr>
                <w:sz w:val="20"/>
              </w:rPr>
              <w:t>其他</w:t>
            </w:r>
          </w:p>
        </w:tc>
        <w:tc>
          <w:tcPr>
            <w:tcW w:w="592"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4239" w:type="dxa"/>
            <w:gridSpan w:val="3"/>
          </w:tcPr>
          <w:p>
            <w:pPr>
              <w:pStyle w:val="8"/>
              <w:spacing w:before="36"/>
              <w:ind w:left="55"/>
              <w:rPr>
                <w:sz w:val="20"/>
              </w:rPr>
            </w:pPr>
            <w:r>
              <w:rPr>
                <w:sz w:val="20"/>
              </w:rPr>
              <w:t>一、本年新收政府信息公开申请数量</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hint="default" w:ascii="Times New Roman" w:eastAsia="宋体"/>
                <w:sz w:val="20"/>
                <w:lang w:val="en-US" w:eastAsia="zh-CN"/>
              </w:rPr>
            </w:pPr>
            <w:r>
              <w:rPr>
                <w:rFonts w:hint="eastAsia" w:ascii="Times New Roman"/>
                <w:sz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hint="eastAsia" w:ascii="Times New Roman" w:eastAsia="宋体"/>
                <w:sz w:val="20"/>
                <w:lang w:val="en-US" w:eastAsia="zh-CN"/>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4239" w:type="dxa"/>
            <w:gridSpan w:val="3"/>
          </w:tcPr>
          <w:p>
            <w:pPr>
              <w:pStyle w:val="8"/>
              <w:spacing w:before="37"/>
              <w:ind w:left="55"/>
              <w:rPr>
                <w:sz w:val="20"/>
              </w:rPr>
            </w:pPr>
            <w:r>
              <w:rPr>
                <w:sz w:val="20"/>
              </w:rPr>
              <w:t>二、上年结转政府信息公开申请数量</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restart"/>
          </w:tcPr>
          <w:p>
            <w:pPr>
              <w:pStyle w:val="8"/>
              <w:rPr>
                <w:rFonts w:ascii="黑体"/>
                <w:sz w:val="20"/>
              </w:rPr>
            </w:pPr>
          </w:p>
          <w:p>
            <w:pPr>
              <w:pStyle w:val="8"/>
              <w:rPr>
                <w:rFonts w:ascii="黑体"/>
                <w:sz w:val="20"/>
              </w:rPr>
            </w:pPr>
          </w:p>
          <w:p>
            <w:pPr>
              <w:pStyle w:val="8"/>
              <w:rPr>
                <w:rFonts w:ascii="黑体"/>
                <w:sz w:val="20"/>
              </w:rPr>
            </w:pPr>
          </w:p>
          <w:p>
            <w:pPr>
              <w:pStyle w:val="8"/>
              <w:rPr>
                <w:rFonts w:ascii="黑体"/>
                <w:sz w:val="20"/>
              </w:rPr>
            </w:pPr>
          </w:p>
          <w:p>
            <w:pPr>
              <w:pStyle w:val="8"/>
              <w:rPr>
                <w:rFonts w:ascii="黑体"/>
                <w:sz w:val="20"/>
              </w:rPr>
            </w:pPr>
          </w:p>
          <w:p>
            <w:pPr>
              <w:pStyle w:val="8"/>
              <w:rPr>
                <w:rFonts w:ascii="黑体"/>
                <w:sz w:val="20"/>
              </w:rPr>
            </w:pPr>
          </w:p>
          <w:p>
            <w:pPr>
              <w:pStyle w:val="8"/>
              <w:rPr>
                <w:rFonts w:ascii="黑体"/>
                <w:sz w:val="20"/>
              </w:rPr>
            </w:pPr>
          </w:p>
          <w:p>
            <w:pPr>
              <w:pStyle w:val="8"/>
              <w:rPr>
                <w:rFonts w:ascii="黑体"/>
                <w:sz w:val="20"/>
              </w:rPr>
            </w:pPr>
          </w:p>
          <w:p>
            <w:pPr>
              <w:pStyle w:val="8"/>
              <w:rPr>
                <w:rFonts w:ascii="黑体"/>
                <w:sz w:val="20"/>
              </w:rPr>
            </w:pPr>
          </w:p>
          <w:p>
            <w:pPr>
              <w:pStyle w:val="8"/>
              <w:rPr>
                <w:rFonts w:ascii="黑体"/>
                <w:sz w:val="20"/>
              </w:rPr>
            </w:pPr>
          </w:p>
          <w:p>
            <w:pPr>
              <w:pStyle w:val="8"/>
              <w:rPr>
                <w:rFonts w:ascii="黑体"/>
                <w:sz w:val="20"/>
              </w:rPr>
            </w:pPr>
          </w:p>
          <w:p>
            <w:pPr>
              <w:pStyle w:val="8"/>
              <w:rPr>
                <w:rFonts w:ascii="黑体"/>
                <w:sz w:val="20"/>
              </w:rPr>
            </w:pPr>
          </w:p>
          <w:p>
            <w:pPr>
              <w:pStyle w:val="8"/>
              <w:rPr>
                <w:rFonts w:ascii="黑体"/>
                <w:sz w:val="20"/>
              </w:rPr>
            </w:pPr>
          </w:p>
          <w:p>
            <w:pPr>
              <w:pStyle w:val="8"/>
              <w:rPr>
                <w:rFonts w:ascii="黑体"/>
                <w:sz w:val="20"/>
              </w:rPr>
            </w:pPr>
          </w:p>
          <w:p>
            <w:pPr>
              <w:pStyle w:val="8"/>
              <w:rPr>
                <w:rFonts w:ascii="黑体"/>
                <w:sz w:val="20"/>
              </w:rPr>
            </w:pPr>
          </w:p>
          <w:p>
            <w:pPr>
              <w:pStyle w:val="8"/>
              <w:rPr>
                <w:rFonts w:ascii="黑体"/>
                <w:sz w:val="20"/>
              </w:rPr>
            </w:pPr>
          </w:p>
          <w:p>
            <w:pPr>
              <w:pStyle w:val="8"/>
              <w:spacing w:before="176" w:line="292" w:lineRule="auto"/>
              <w:ind w:left="55" w:right="37"/>
              <w:rPr>
                <w:sz w:val="20"/>
              </w:rPr>
            </w:pPr>
            <w:r>
              <w:rPr>
                <w:spacing w:val="-24"/>
                <w:sz w:val="20"/>
              </w:rPr>
              <w:t>三、本</w:t>
            </w:r>
            <w:r>
              <w:rPr>
                <w:sz w:val="20"/>
              </w:rPr>
              <w:t>年度办理结果</w:t>
            </w:r>
          </w:p>
        </w:tc>
        <w:tc>
          <w:tcPr>
            <w:tcW w:w="3579" w:type="dxa"/>
            <w:gridSpan w:val="2"/>
          </w:tcPr>
          <w:p>
            <w:pPr>
              <w:pStyle w:val="8"/>
              <w:spacing w:before="37"/>
              <w:ind w:left="55"/>
              <w:rPr>
                <w:sz w:val="20"/>
              </w:rPr>
            </w:pPr>
            <w:r>
              <w:rPr>
                <w:w w:val="65"/>
                <w:sz w:val="20"/>
              </w:rPr>
              <w:t>（</w:t>
            </w:r>
            <w:r>
              <w:rPr>
                <w:spacing w:val="58"/>
                <w:w w:val="65"/>
                <w:sz w:val="20"/>
              </w:rPr>
              <w:t xml:space="preserve"> </w:t>
            </w:r>
            <w:r>
              <w:rPr>
                <w:sz w:val="20"/>
              </w:rPr>
              <w:t>一</w:t>
            </w:r>
            <w:r>
              <w:rPr>
                <w:w w:val="65"/>
                <w:sz w:val="20"/>
              </w:rPr>
              <w:t>）</w:t>
            </w:r>
            <w:r>
              <w:rPr>
                <w:spacing w:val="58"/>
                <w:w w:val="65"/>
                <w:sz w:val="20"/>
              </w:rPr>
              <w:t xml:space="preserve"> </w:t>
            </w:r>
            <w:r>
              <w:rPr>
                <w:sz w:val="20"/>
              </w:rPr>
              <w:t>予以公开</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hint="eastAsia" w:ascii="Times New Roman" w:eastAsia="宋体"/>
                <w:sz w:val="20"/>
                <w:lang w:val="en-US" w:eastAsia="zh-CN"/>
              </w:rPr>
            </w:pPr>
            <w:r>
              <w:rPr>
                <w:rFonts w:hint="eastAsia" w:ascii="Times New Roman"/>
                <w:sz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hint="eastAsia" w:ascii="Times New Roman" w:eastAsia="宋体"/>
                <w:sz w:val="20"/>
                <w:lang w:val="en-US" w:eastAsia="zh-CN"/>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3" w:hRule="atLeast"/>
        </w:trPr>
        <w:tc>
          <w:tcPr>
            <w:tcW w:w="660" w:type="dxa"/>
            <w:vMerge w:val="continue"/>
            <w:tcBorders>
              <w:top w:val="nil"/>
            </w:tcBorders>
          </w:tcPr>
          <w:p>
            <w:pPr>
              <w:rPr>
                <w:sz w:val="2"/>
                <w:szCs w:val="2"/>
              </w:rPr>
            </w:pPr>
          </w:p>
        </w:tc>
        <w:tc>
          <w:tcPr>
            <w:tcW w:w="3579" w:type="dxa"/>
            <w:gridSpan w:val="2"/>
          </w:tcPr>
          <w:p>
            <w:pPr>
              <w:pStyle w:val="8"/>
              <w:spacing w:before="36"/>
              <w:ind w:left="55"/>
              <w:rPr>
                <w:rFonts w:hint="eastAsia" w:ascii="楷体" w:eastAsia="楷体"/>
                <w:sz w:val="20"/>
              </w:rPr>
            </w:pPr>
            <w:r>
              <w:rPr>
                <w:w w:val="65"/>
                <w:sz w:val="20"/>
              </w:rPr>
              <w:t xml:space="preserve">（ </w:t>
            </w:r>
            <w:r>
              <w:rPr>
                <w:sz w:val="20"/>
              </w:rPr>
              <w:t>二</w:t>
            </w:r>
            <w:r>
              <w:rPr>
                <w:w w:val="65"/>
                <w:sz w:val="20"/>
              </w:rPr>
              <w:t xml:space="preserve">） </w:t>
            </w:r>
            <w:r>
              <w:rPr>
                <w:sz w:val="20"/>
              </w:rPr>
              <w:t>部分公开</w:t>
            </w:r>
            <w:r>
              <w:rPr>
                <w:rFonts w:hint="eastAsia" w:ascii="楷体" w:eastAsia="楷体"/>
                <w:sz w:val="20"/>
              </w:rPr>
              <w:t>（区分处理的，只计这</w:t>
            </w:r>
          </w:p>
          <w:p>
            <w:pPr>
              <w:pStyle w:val="8"/>
              <w:spacing w:before="56"/>
              <w:ind w:left="55"/>
              <w:rPr>
                <w:rFonts w:hint="eastAsia" w:ascii="楷体" w:eastAsia="楷体"/>
                <w:sz w:val="20"/>
              </w:rPr>
            </w:pPr>
            <w:r>
              <w:rPr>
                <w:rFonts w:hint="eastAsia" w:ascii="楷体" w:eastAsia="楷体"/>
                <w:sz w:val="20"/>
              </w:rPr>
              <w:t>一情形，不计其他情形）</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rPr>
                <w:sz w:val="2"/>
                <w:szCs w:val="2"/>
              </w:rPr>
            </w:pPr>
          </w:p>
        </w:tc>
        <w:tc>
          <w:tcPr>
            <w:tcW w:w="810" w:type="dxa"/>
            <w:vMerge w:val="restart"/>
          </w:tcPr>
          <w:p>
            <w:pPr>
              <w:pStyle w:val="8"/>
              <w:rPr>
                <w:rFonts w:ascii="黑体"/>
                <w:sz w:val="20"/>
              </w:rPr>
            </w:pPr>
          </w:p>
          <w:p>
            <w:pPr>
              <w:pStyle w:val="8"/>
              <w:rPr>
                <w:rFonts w:ascii="黑体"/>
                <w:sz w:val="20"/>
              </w:rPr>
            </w:pPr>
          </w:p>
          <w:p>
            <w:pPr>
              <w:pStyle w:val="8"/>
              <w:rPr>
                <w:rFonts w:ascii="黑体"/>
                <w:sz w:val="20"/>
              </w:rPr>
            </w:pPr>
          </w:p>
          <w:p>
            <w:pPr>
              <w:pStyle w:val="8"/>
              <w:spacing w:before="8"/>
              <w:rPr>
                <w:rFonts w:ascii="黑体"/>
                <w:sz w:val="14"/>
              </w:rPr>
            </w:pPr>
          </w:p>
          <w:p>
            <w:pPr>
              <w:pStyle w:val="8"/>
              <w:spacing w:line="292" w:lineRule="auto"/>
              <w:ind w:left="55" w:right="132"/>
              <w:rPr>
                <w:sz w:val="20"/>
              </w:rPr>
            </w:pPr>
            <w:r>
              <w:rPr>
                <w:w w:val="65"/>
                <w:sz w:val="20"/>
              </w:rPr>
              <w:t xml:space="preserve">（ </w:t>
            </w:r>
            <w:r>
              <w:rPr>
                <w:sz w:val="20"/>
              </w:rPr>
              <w:t>三</w:t>
            </w:r>
            <w:r>
              <w:rPr>
                <w:w w:val="65"/>
                <w:sz w:val="20"/>
              </w:rPr>
              <w:t xml:space="preserve">） </w:t>
            </w:r>
            <w:r>
              <w:rPr>
                <w:sz w:val="20"/>
              </w:rPr>
              <w:t>不予公开</w:t>
            </w:r>
          </w:p>
        </w:tc>
        <w:tc>
          <w:tcPr>
            <w:tcW w:w="2769" w:type="dxa"/>
          </w:tcPr>
          <w:p>
            <w:pPr>
              <w:pStyle w:val="8"/>
              <w:spacing w:before="27"/>
              <w:ind w:left="56"/>
              <w:rPr>
                <w:sz w:val="20"/>
              </w:rPr>
            </w:pPr>
            <w:r>
              <w:rPr>
                <w:sz w:val="20"/>
              </w:rPr>
              <w:t>1.属于国家秘密</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rPr>
                <w:sz w:val="2"/>
                <w:szCs w:val="2"/>
              </w:rPr>
            </w:pPr>
          </w:p>
        </w:tc>
        <w:tc>
          <w:tcPr>
            <w:tcW w:w="810" w:type="dxa"/>
            <w:vMerge w:val="continue"/>
            <w:tcBorders>
              <w:top w:val="nil"/>
            </w:tcBorders>
          </w:tcPr>
          <w:p>
            <w:pPr>
              <w:rPr>
                <w:sz w:val="2"/>
                <w:szCs w:val="2"/>
              </w:rPr>
            </w:pPr>
          </w:p>
        </w:tc>
        <w:tc>
          <w:tcPr>
            <w:tcW w:w="2769" w:type="dxa"/>
          </w:tcPr>
          <w:p>
            <w:pPr>
              <w:pStyle w:val="8"/>
              <w:spacing w:before="28"/>
              <w:ind w:left="56"/>
              <w:rPr>
                <w:sz w:val="20"/>
              </w:rPr>
            </w:pPr>
            <w:r>
              <w:rPr>
                <w:sz w:val="20"/>
              </w:rPr>
              <w:t>2.其他法律行政法规禁止公开</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rPr>
                <w:sz w:val="2"/>
                <w:szCs w:val="2"/>
              </w:rPr>
            </w:pPr>
          </w:p>
        </w:tc>
        <w:tc>
          <w:tcPr>
            <w:tcW w:w="810" w:type="dxa"/>
            <w:vMerge w:val="continue"/>
            <w:tcBorders>
              <w:top w:val="nil"/>
            </w:tcBorders>
          </w:tcPr>
          <w:p>
            <w:pPr>
              <w:rPr>
                <w:sz w:val="2"/>
                <w:szCs w:val="2"/>
              </w:rPr>
            </w:pPr>
          </w:p>
        </w:tc>
        <w:tc>
          <w:tcPr>
            <w:tcW w:w="2769" w:type="dxa"/>
          </w:tcPr>
          <w:p>
            <w:pPr>
              <w:pStyle w:val="8"/>
              <w:spacing w:before="26"/>
              <w:ind w:left="56"/>
              <w:rPr>
                <w:sz w:val="20"/>
              </w:rPr>
            </w:pPr>
            <w:r>
              <w:rPr>
                <w:sz w:val="20"/>
              </w:rPr>
              <w:t>3.危及“三安全一稳定”</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rPr>
                <w:sz w:val="2"/>
                <w:szCs w:val="2"/>
              </w:rPr>
            </w:pPr>
          </w:p>
        </w:tc>
        <w:tc>
          <w:tcPr>
            <w:tcW w:w="810" w:type="dxa"/>
            <w:vMerge w:val="continue"/>
            <w:tcBorders>
              <w:top w:val="nil"/>
            </w:tcBorders>
          </w:tcPr>
          <w:p>
            <w:pPr>
              <w:rPr>
                <w:sz w:val="2"/>
                <w:szCs w:val="2"/>
              </w:rPr>
            </w:pPr>
          </w:p>
        </w:tc>
        <w:tc>
          <w:tcPr>
            <w:tcW w:w="2769" w:type="dxa"/>
          </w:tcPr>
          <w:p>
            <w:pPr>
              <w:pStyle w:val="8"/>
              <w:spacing w:before="27"/>
              <w:ind w:left="56"/>
              <w:rPr>
                <w:sz w:val="20"/>
              </w:rPr>
            </w:pPr>
            <w:r>
              <w:rPr>
                <w:sz w:val="20"/>
              </w:rPr>
              <w:t>4.保护第三方合法权益</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rPr>
                <w:sz w:val="2"/>
                <w:szCs w:val="2"/>
              </w:rPr>
            </w:pPr>
          </w:p>
        </w:tc>
        <w:tc>
          <w:tcPr>
            <w:tcW w:w="810" w:type="dxa"/>
            <w:vMerge w:val="continue"/>
            <w:tcBorders>
              <w:top w:val="nil"/>
            </w:tcBorders>
          </w:tcPr>
          <w:p>
            <w:pPr>
              <w:rPr>
                <w:sz w:val="2"/>
                <w:szCs w:val="2"/>
              </w:rPr>
            </w:pPr>
          </w:p>
        </w:tc>
        <w:tc>
          <w:tcPr>
            <w:tcW w:w="2769" w:type="dxa"/>
          </w:tcPr>
          <w:p>
            <w:pPr>
              <w:pStyle w:val="8"/>
              <w:spacing w:before="28"/>
              <w:ind w:left="56"/>
              <w:rPr>
                <w:sz w:val="20"/>
              </w:rPr>
            </w:pPr>
            <w:r>
              <w:rPr>
                <w:sz w:val="20"/>
              </w:rPr>
              <w:t>5.属于三类内部事务信息</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rPr>
                <w:sz w:val="2"/>
                <w:szCs w:val="2"/>
              </w:rPr>
            </w:pPr>
          </w:p>
        </w:tc>
        <w:tc>
          <w:tcPr>
            <w:tcW w:w="810" w:type="dxa"/>
            <w:vMerge w:val="continue"/>
            <w:tcBorders>
              <w:top w:val="nil"/>
            </w:tcBorders>
          </w:tcPr>
          <w:p>
            <w:pPr>
              <w:rPr>
                <w:sz w:val="2"/>
                <w:szCs w:val="2"/>
              </w:rPr>
            </w:pPr>
          </w:p>
        </w:tc>
        <w:tc>
          <w:tcPr>
            <w:tcW w:w="2769" w:type="dxa"/>
          </w:tcPr>
          <w:p>
            <w:pPr>
              <w:pStyle w:val="8"/>
              <w:spacing w:before="26"/>
              <w:ind w:left="56"/>
              <w:rPr>
                <w:sz w:val="20"/>
              </w:rPr>
            </w:pPr>
            <w:r>
              <w:rPr>
                <w:sz w:val="20"/>
              </w:rPr>
              <w:t>6.属于四类过程性信息</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rPr>
                <w:sz w:val="2"/>
                <w:szCs w:val="2"/>
              </w:rPr>
            </w:pPr>
          </w:p>
        </w:tc>
        <w:tc>
          <w:tcPr>
            <w:tcW w:w="810" w:type="dxa"/>
            <w:vMerge w:val="continue"/>
            <w:tcBorders>
              <w:top w:val="nil"/>
            </w:tcBorders>
          </w:tcPr>
          <w:p>
            <w:pPr>
              <w:rPr>
                <w:sz w:val="2"/>
                <w:szCs w:val="2"/>
              </w:rPr>
            </w:pPr>
          </w:p>
        </w:tc>
        <w:tc>
          <w:tcPr>
            <w:tcW w:w="2769" w:type="dxa"/>
          </w:tcPr>
          <w:p>
            <w:pPr>
              <w:pStyle w:val="8"/>
              <w:spacing w:before="27"/>
              <w:ind w:left="56"/>
              <w:rPr>
                <w:sz w:val="20"/>
              </w:rPr>
            </w:pPr>
            <w:r>
              <w:rPr>
                <w:sz w:val="20"/>
              </w:rPr>
              <w:t>7.属于行政执法案卷</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rPr>
                <w:sz w:val="2"/>
                <w:szCs w:val="2"/>
              </w:rPr>
            </w:pPr>
          </w:p>
        </w:tc>
        <w:tc>
          <w:tcPr>
            <w:tcW w:w="810" w:type="dxa"/>
            <w:vMerge w:val="continue"/>
            <w:tcBorders>
              <w:top w:val="nil"/>
            </w:tcBorders>
          </w:tcPr>
          <w:p>
            <w:pPr>
              <w:rPr>
                <w:sz w:val="2"/>
                <w:szCs w:val="2"/>
              </w:rPr>
            </w:pPr>
          </w:p>
        </w:tc>
        <w:tc>
          <w:tcPr>
            <w:tcW w:w="2769" w:type="dxa"/>
          </w:tcPr>
          <w:p>
            <w:pPr>
              <w:pStyle w:val="8"/>
              <w:spacing w:before="28"/>
              <w:ind w:left="56"/>
              <w:rPr>
                <w:sz w:val="20"/>
              </w:rPr>
            </w:pPr>
            <w:r>
              <w:rPr>
                <w:sz w:val="20"/>
              </w:rPr>
              <w:t>8.属于行政查询事项</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rPr>
                <w:sz w:val="2"/>
                <w:szCs w:val="2"/>
              </w:rPr>
            </w:pPr>
          </w:p>
        </w:tc>
        <w:tc>
          <w:tcPr>
            <w:tcW w:w="810" w:type="dxa"/>
            <w:vMerge w:val="restart"/>
          </w:tcPr>
          <w:p>
            <w:pPr>
              <w:pStyle w:val="8"/>
              <w:spacing w:before="77" w:line="292" w:lineRule="auto"/>
              <w:ind w:left="55" w:right="132"/>
              <w:rPr>
                <w:sz w:val="20"/>
              </w:rPr>
            </w:pPr>
            <w:r>
              <w:rPr>
                <w:w w:val="65"/>
                <w:sz w:val="20"/>
              </w:rPr>
              <w:t xml:space="preserve">（ </w:t>
            </w:r>
            <w:r>
              <w:rPr>
                <w:sz w:val="20"/>
              </w:rPr>
              <w:t>四</w:t>
            </w:r>
            <w:r>
              <w:rPr>
                <w:w w:val="65"/>
                <w:sz w:val="20"/>
              </w:rPr>
              <w:t xml:space="preserve">） </w:t>
            </w:r>
            <w:r>
              <w:rPr>
                <w:sz w:val="20"/>
              </w:rPr>
              <w:t>无法提供</w:t>
            </w:r>
          </w:p>
        </w:tc>
        <w:tc>
          <w:tcPr>
            <w:tcW w:w="2769" w:type="dxa"/>
          </w:tcPr>
          <w:p>
            <w:pPr>
              <w:pStyle w:val="8"/>
              <w:spacing w:before="26"/>
              <w:ind w:left="56"/>
              <w:rPr>
                <w:sz w:val="20"/>
              </w:rPr>
            </w:pPr>
            <w:r>
              <w:rPr>
                <w:sz w:val="20"/>
              </w:rPr>
              <w:t>1.本机关不掌握相关政府信息</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rPr>
                <w:sz w:val="2"/>
                <w:szCs w:val="2"/>
              </w:rPr>
            </w:pPr>
          </w:p>
        </w:tc>
        <w:tc>
          <w:tcPr>
            <w:tcW w:w="810" w:type="dxa"/>
            <w:vMerge w:val="continue"/>
            <w:tcBorders>
              <w:top w:val="nil"/>
            </w:tcBorders>
          </w:tcPr>
          <w:p>
            <w:pPr>
              <w:rPr>
                <w:sz w:val="2"/>
                <w:szCs w:val="2"/>
              </w:rPr>
            </w:pPr>
          </w:p>
        </w:tc>
        <w:tc>
          <w:tcPr>
            <w:tcW w:w="2769" w:type="dxa"/>
          </w:tcPr>
          <w:p>
            <w:pPr>
              <w:pStyle w:val="8"/>
              <w:spacing w:before="27"/>
              <w:ind w:left="56"/>
              <w:rPr>
                <w:sz w:val="20"/>
              </w:rPr>
            </w:pPr>
            <w:r>
              <w:rPr>
                <w:sz w:val="20"/>
              </w:rPr>
              <w:t>2.没有现成信息需要另行制作</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rPr>
                <w:sz w:val="2"/>
                <w:szCs w:val="2"/>
              </w:rPr>
            </w:pPr>
          </w:p>
        </w:tc>
        <w:tc>
          <w:tcPr>
            <w:tcW w:w="810" w:type="dxa"/>
            <w:vMerge w:val="continue"/>
            <w:tcBorders>
              <w:top w:val="nil"/>
            </w:tcBorders>
          </w:tcPr>
          <w:p>
            <w:pPr>
              <w:rPr>
                <w:sz w:val="2"/>
                <w:szCs w:val="2"/>
              </w:rPr>
            </w:pPr>
          </w:p>
        </w:tc>
        <w:tc>
          <w:tcPr>
            <w:tcW w:w="2769" w:type="dxa"/>
          </w:tcPr>
          <w:p>
            <w:pPr>
              <w:pStyle w:val="8"/>
              <w:spacing w:before="28"/>
              <w:ind w:left="56"/>
              <w:rPr>
                <w:sz w:val="20"/>
              </w:rPr>
            </w:pPr>
            <w:r>
              <w:rPr>
                <w:sz w:val="20"/>
              </w:rPr>
              <w:t>3.补正后申请内容仍不明确</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rPr>
                <w:sz w:val="2"/>
                <w:szCs w:val="2"/>
              </w:rPr>
            </w:pPr>
          </w:p>
        </w:tc>
        <w:tc>
          <w:tcPr>
            <w:tcW w:w="810" w:type="dxa"/>
            <w:vMerge w:val="restart"/>
          </w:tcPr>
          <w:p>
            <w:pPr>
              <w:pStyle w:val="8"/>
              <w:rPr>
                <w:rFonts w:ascii="黑体"/>
                <w:sz w:val="20"/>
              </w:rPr>
            </w:pPr>
          </w:p>
          <w:p>
            <w:pPr>
              <w:pStyle w:val="8"/>
              <w:rPr>
                <w:rFonts w:ascii="黑体"/>
                <w:sz w:val="20"/>
              </w:rPr>
            </w:pPr>
          </w:p>
          <w:p>
            <w:pPr>
              <w:pStyle w:val="8"/>
              <w:spacing w:before="150" w:line="292" w:lineRule="auto"/>
              <w:ind w:left="55" w:right="132"/>
              <w:rPr>
                <w:sz w:val="20"/>
              </w:rPr>
            </w:pPr>
            <w:r>
              <w:rPr>
                <w:w w:val="65"/>
                <w:sz w:val="20"/>
              </w:rPr>
              <w:t xml:space="preserve">（ </w:t>
            </w:r>
            <w:r>
              <w:rPr>
                <w:sz w:val="20"/>
              </w:rPr>
              <w:t>五</w:t>
            </w:r>
            <w:r>
              <w:rPr>
                <w:w w:val="65"/>
                <w:sz w:val="20"/>
              </w:rPr>
              <w:t xml:space="preserve">） </w:t>
            </w:r>
            <w:r>
              <w:rPr>
                <w:sz w:val="20"/>
              </w:rPr>
              <w:t>不予处理</w:t>
            </w:r>
          </w:p>
        </w:tc>
        <w:tc>
          <w:tcPr>
            <w:tcW w:w="2769" w:type="dxa"/>
          </w:tcPr>
          <w:p>
            <w:pPr>
              <w:pStyle w:val="8"/>
              <w:spacing w:before="26"/>
              <w:ind w:left="56"/>
              <w:rPr>
                <w:sz w:val="20"/>
              </w:rPr>
            </w:pPr>
            <w:r>
              <w:rPr>
                <w:sz w:val="20"/>
              </w:rPr>
              <w:t>1.信访举报投诉类申请</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rPr>
                <w:sz w:val="2"/>
                <w:szCs w:val="2"/>
              </w:rPr>
            </w:pPr>
          </w:p>
        </w:tc>
        <w:tc>
          <w:tcPr>
            <w:tcW w:w="810" w:type="dxa"/>
            <w:vMerge w:val="continue"/>
            <w:tcBorders>
              <w:top w:val="nil"/>
            </w:tcBorders>
          </w:tcPr>
          <w:p>
            <w:pPr>
              <w:rPr>
                <w:sz w:val="2"/>
                <w:szCs w:val="2"/>
              </w:rPr>
            </w:pPr>
          </w:p>
        </w:tc>
        <w:tc>
          <w:tcPr>
            <w:tcW w:w="2769" w:type="dxa"/>
          </w:tcPr>
          <w:p>
            <w:pPr>
              <w:pStyle w:val="8"/>
              <w:spacing w:before="27"/>
              <w:ind w:left="56"/>
              <w:rPr>
                <w:sz w:val="20"/>
              </w:rPr>
            </w:pPr>
            <w:r>
              <w:rPr>
                <w:sz w:val="20"/>
              </w:rPr>
              <w:t>2.重复申请</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rPr>
                <w:sz w:val="2"/>
                <w:szCs w:val="2"/>
              </w:rPr>
            </w:pPr>
          </w:p>
        </w:tc>
        <w:tc>
          <w:tcPr>
            <w:tcW w:w="810" w:type="dxa"/>
            <w:vMerge w:val="continue"/>
            <w:tcBorders>
              <w:top w:val="nil"/>
            </w:tcBorders>
          </w:tcPr>
          <w:p>
            <w:pPr>
              <w:rPr>
                <w:sz w:val="2"/>
                <w:szCs w:val="2"/>
              </w:rPr>
            </w:pPr>
          </w:p>
        </w:tc>
        <w:tc>
          <w:tcPr>
            <w:tcW w:w="2769" w:type="dxa"/>
          </w:tcPr>
          <w:p>
            <w:pPr>
              <w:pStyle w:val="8"/>
              <w:spacing w:before="28"/>
              <w:ind w:left="56"/>
              <w:rPr>
                <w:sz w:val="20"/>
              </w:rPr>
            </w:pPr>
            <w:r>
              <w:rPr>
                <w:sz w:val="20"/>
              </w:rPr>
              <w:t>3.要求提供公开出版物</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rPr>
                <w:sz w:val="2"/>
                <w:szCs w:val="2"/>
              </w:rPr>
            </w:pPr>
          </w:p>
        </w:tc>
        <w:tc>
          <w:tcPr>
            <w:tcW w:w="810" w:type="dxa"/>
            <w:vMerge w:val="continue"/>
            <w:tcBorders>
              <w:top w:val="nil"/>
            </w:tcBorders>
          </w:tcPr>
          <w:p>
            <w:pPr>
              <w:rPr>
                <w:sz w:val="2"/>
                <w:szCs w:val="2"/>
              </w:rPr>
            </w:pPr>
          </w:p>
        </w:tc>
        <w:tc>
          <w:tcPr>
            <w:tcW w:w="2769" w:type="dxa"/>
          </w:tcPr>
          <w:p>
            <w:pPr>
              <w:pStyle w:val="8"/>
              <w:spacing w:before="26"/>
              <w:ind w:left="56"/>
              <w:rPr>
                <w:sz w:val="20"/>
              </w:rPr>
            </w:pPr>
            <w:r>
              <w:rPr>
                <w:sz w:val="20"/>
              </w:rPr>
              <w:t>4.无正当理由大量反复申请</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8" w:hRule="atLeast"/>
        </w:trPr>
        <w:tc>
          <w:tcPr>
            <w:tcW w:w="660" w:type="dxa"/>
            <w:vMerge w:val="continue"/>
            <w:tcBorders>
              <w:top w:val="nil"/>
            </w:tcBorders>
          </w:tcPr>
          <w:p>
            <w:pPr>
              <w:rPr>
                <w:sz w:val="2"/>
                <w:szCs w:val="2"/>
              </w:rPr>
            </w:pPr>
          </w:p>
        </w:tc>
        <w:tc>
          <w:tcPr>
            <w:tcW w:w="810" w:type="dxa"/>
            <w:vMerge w:val="continue"/>
            <w:tcBorders>
              <w:top w:val="nil"/>
            </w:tcBorders>
          </w:tcPr>
          <w:p>
            <w:pPr>
              <w:rPr>
                <w:sz w:val="2"/>
                <w:szCs w:val="2"/>
              </w:rPr>
            </w:pPr>
          </w:p>
        </w:tc>
        <w:tc>
          <w:tcPr>
            <w:tcW w:w="2769" w:type="dxa"/>
          </w:tcPr>
          <w:p>
            <w:pPr>
              <w:pStyle w:val="8"/>
              <w:spacing w:before="113" w:line="292" w:lineRule="auto"/>
              <w:ind w:left="56" w:right="34"/>
              <w:rPr>
                <w:sz w:val="20"/>
              </w:rPr>
            </w:pPr>
            <w:r>
              <w:rPr>
                <w:sz w:val="20"/>
              </w:rPr>
              <w:t>5.要求行政机关确认或重新出具已获取信息</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4" w:hRule="atLeast"/>
        </w:trPr>
        <w:tc>
          <w:tcPr>
            <w:tcW w:w="660" w:type="dxa"/>
            <w:vMerge w:val="continue"/>
            <w:tcBorders>
              <w:top w:val="nil"/>
            </w:tcBorders>
          </w:tcPr>
          <w:p>
            <w:pPr>
              <w:rPr>
                <w:sz w:val="2"/>
                <w:szCs w:val="2"/>
              </w:rPr>
            </w:pPr>
          </w:p>
        </w:tc>
        <w:tc>
          <w:tcPr>
            <w:tcW w:w="810" w:type="dxa"/>
            <w:vMerge w:val="restart"/>
          </w:tcPr>
          <w:p>
            <w:pPr>
              <w:pStyle w:val="8"/>
              <w:rPr>
                <w:rFonts w:ascii="黑体"/>
                <w:sz w:val="20"/>
              </w:rPr>
            </w:pPr>
          </w:p>
          <w:p>
            <w:pPr>
              <w:pStyle w:val="8"/>
              <w:rPr>
                <w:rFonts w:ascii="黑体"/>
                <w:sz w:val="20"/>
              </w:rPr>
            </w:pPr>
          </w:p>
          <w:p>
            <w:pPr>
              <w:pStyle w:val="8"/>
              <w:spacing w:before="9"/>
              <w:rPr>
                <w:rFonts w:ascii="黑体"/>
                <w:sz w:val="14"/>
              </w:rPr>
            </w:pPr>
          </w:p>
          <w:p>
            <w:pPr>
              <w:pStyle w:val="8"/>
              <w:spacing w:line="292" w:lineRule="auto"/>
              <w:ind w:left="55" w:right="132"/>
              <w:rPr>
                <w:sz w:val="20"/>
              </w:rPr>
            </w:pPr>
            <w:r>
              <w:rPr>
                <w:w w:val="65"/>
                <w:sz w:val="20"/>
              </w:rPr>
              <w:t xml:space="preserve">（ </w:t>
            </w:r>
            <w:r>
              <w:rPr>
                <w:sz w:val="20"/>
              </w:rPr>
              <w:t>六</w:t>
            </w:r>
            <w:r>
              <w:rPr>
                <w:w w:val="65"/>
                <w:sz w:val="20"/>
              </w:rPr>
              <w:t xml:space="preserve">） </w:t>
            </w:r>
            <w:r>
              <w:rPr>
                <w:sz w:val="20"/>
              </w:rPr>
              <w:t>其他处理</w:t>
            </w:r>
          </w:p>
        </w:tc>
        <w:tc>
          <w:tcPr>
            <w:tcW w:w="2769" w:type="dxa"/>
          </w:tcPr>
          <w:p>
            <w:pPr>
              <w:pStyle w:val="8"/>
              <w:spacing w:before="36" w:line="292" w:lineRule="auto"/>
              <w:ind w:left="56" w:right="33"/>
              <w:rPr>
                <w:sz w:val="20"/>
              </w:rPr>
            </w:pPr>
            <w:r>
              <w:rPr>
                <w:sz w:val="20"/>
              </w:rPr>
              <w:t>1.申请人无正当理由逾期不补正、行政机关不再处理其政府</w:t>
            </w:r>
          </w:p>
          <w:p>
            <w:pPr>
              <w:pStyle w:val="8"/>
              <w:spacing w:line="255" w:lineRule="exact"/>
              <w:ind w:left="56"/>
              <w:rPr>
                <w:sz w:val="20"/>
              </w:rPr>
            </w:pPr>
            <w:r>
              <w:rPr>
                <w:sz w:val="20"/>
              </w:rPr>
              <w:t>信息公开申请</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4" w:hRule="atLeast"/>
        </w:trPr>
        <w:tc>
          <w:tcPr>
            <w:tcW w:w="660" w:type="dxa"/>
            <w:vMerge w:val="continue"/>
            <w:tcBorders>
              <w:top w:val="nil"/>
            </w:tcBorders>
          </w:tcPr>
          <w:p>
            <w:pPr>
              <w:rPr>
                <w:sz w:val="2"/>
                <w:szCs w:val="2"/>
              </w:rPr>
            </w:pPr>
          </w:p>
        </w:tc>
        <w:tc>
          <w:tcPr>
            <w:tcW w:w="810" w:type="dxa"/>
            <w:vMerge w:val="continue"/>
            <w:tcBorders>
              <w:top w:val="nil"/>
            </w:tcBorders>
          </w:tcPr>
          <w:p>
            <w:pPr>
              <w:rPr>
                <w:sz w:val="2"/>
                <w:szCs w:val="2"/>
              </w:rPr>
            </w:pPr>
          </w:p>
        </w:tc>
        <w:tc>
          <w:tcPr>
            <w:tcW w:w="2769" w:type="dxa"/>
          </w:tcPr>
          <w:p>
            <w:pPr>
              <w:pStyle w:val="8"/>
              <w:spacing w:before="35" w:line="292" w:lineRule="auto"/>
              <w:ind w:left="56" w:right="33"/>
              <w:rPr>
                <w:sz w:val="20"/>
              </w:rPr>
            </w:pPr>
            <w:r>
              <w:rPr>
                <w:sz w:val="20"/>
              </w:rPr>
              <w:t>2.申请人逾期未按收费通知要求缴纳费用、行政机关不再处</w:t>
            </w:r>
          </w:p>
          <w:p>
            <w:pPr>
              <w:pStyle w:val="8"/>
              <w:spacing w:line="255" w:lineRule="exact"/>
              <w:ind w:left="56"/>
              <w:rPr>
                <w:sz w:val="20"/>
              </w:rPr>
            </w:pPr>
            <w:r>
              <w:rPr>
                <w:sz w:val="20"/>
              </w:rPr>
              <w:t>理其政府信息公开申请</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rPr>
                <w:sz w:val="2"/>
                <w:szCs w:val="2"/>
              </w:rPr>
            </w:pPr>
          </w:p>
        </w:tc>
        <w:tc>
          <w:tcPr>
            <w:tcW w:w="810" w:type="dxa"/>
            <w:vMerge w:val="continue"/>
            <w:tcBorders>
              <w:top w:val="nil"/>
            </w:tcBorders>
          </w:tcPr>
          <w:p>
            <w:pPr>
              <w:rPr>
                <w:sz w:val="2"/>
                <w:szCs w:val="2"/>
              </w:rPr>
            </w:pPr>
          </w:p>
        </w:tc>
        <w:tc>
          <w:tcPr>
            <w:tcW w:w="2769" w:type="dxa"/>
          </w:tcPr>
          <w:p>
            <w:pPr>
              <w:pStyle w:val="8"/>
              <w:spacing w:before="37"/>
              <w:ind w:left="56"/>
              <w:rPr>
                <w:sz w:val="20"/>
              </w:rPr>
            </w:pPr>
            <w:r>
              <w:rPr>
                <w:sz w:val="20"/>
              </w:rPr>
              <w:t>3.其他</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660" w:type="dxa"/>
            <w:vMerge w:val="continue"/>
            <w:tcBorders>
              <w:top w:val="nil"/>
            </w:tcBorders>
          </w:tcPr>
          <w:p>
            <w:pPr>
              <w:rPr>
                <w:sz w:val="2"/>
                <w:szCs w:val="2"/>
              </w:rPr>
            </w:pPr>
          </w:p>
        </w:tc>
        <w:tc>
          <w:tcPr>
            <w:tcW w:w="3579" w:type="dxa"/>
            <w:gridSpan w:val="2"/>
          </w:tcPr>
          <w:p>
            <w:pPr>
              <w:pStyle w:val="8"/>
              <w:spacing w:before="38"/>
              <w:ind w:left="55"/>
              <w:rPr>
                <w:sz w:val="20"/>
              </w:rPr>
            </w:pPr>
            <w:r>
              <w:rPr>
                <w:w w:val="65"/>
                <w:sz w:val="20"/>
              </w:rPr>
              <w:t>（</w:t>
            </w:r>
            <w:r>
              <w:rPr>
                <w:spacing w:val="60"/>
                <w:w w:val="65"/>
                <w:sz w:val="20"/>
              </w:rPr>
              <w:t xml:space="preserve"> </w:t>
            </w:r>
            <w:r>
              <w:rPr>
                <w:w w:val="95"/>
                <w:sz w:val="20"/>
              </w:rPr>
              <w:t>七</w:t>
            </w:r>
            <w:r>
              <w:rPr>
                <w:w w:val="65"/>
                <w:sz w:val="20"/>
              </w:rPr>
              <w:t>）</w:t>
            </w:r>
            <w:r>
              <w:rPr>
                <w:spacing w:val="61"/>
                <w:w w:val="65"/>
                <w:sz w:val="20"/>
              </w:rPr>
              <w:t xml:space="preserve"> </w:t>
            </w:r>
            <w:r>
              <w:rPr>
                <w:w w:val="95"/>
                <w:sz w:val="20"/>
              </w:rPr>
              <w:t>总计</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hint="eastAsia" w:ascii="Times New Roman" w:eastAsia="宋体"/>
                <w:sz w:val="20"/>
                <w:lang w:val="en-US" w:eastAsia="zh-CN"/>
              </w:rPr>
            </w:pPr>
            <w:r>
              <w:rPr>
                <w:rFonts w:hint="eastAsia" w:ascii="Times New Roman"/>
                <w:sz w:val="20"/>
                <w:lang w:val="en-US" w:eastAsia="zh-CN"/>
              </w:rPr>
              <w:t>0</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hint="eastAsia" w:ascii="Times New Roman" w:eastAsia="宋体"/>
                <w:sz w:val="20"/>
                <w:lang w:val="en-US" w:eastAsia="zh-CN"/>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1" w:hRule="atLeast"/>
        </w:trPr>
        <w:tc>
          <w:tcPr>
            <w:tcW w:w="4239" w:type="dxa"/>
            <w:gridSpan w:val="3"/>
          </w:tcPr>
          <w:p>
            <w:pPr>
              <w:pStyle w:val="8"/>
              <w:spacing w:before="46"/>
              <w:ind w:left="55"/>
              <w:rPr>
                <w:sz w:val="20"/>
              </w:rPr>
            </w:pPr>
            <w:r>
              <w:rPr>
                <w:sz w:val="20"/>
              </w:rPr>
              <w:t>四、结转下年度继续办理</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c>
          <w:tcPr>
            <w:tcW w:w="591"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p>
        </w:tc>
        <w:tc>
          <w:tcPr>
            <w:tcW w:w="59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default" w:ascii="Calibri" w:hAnsi="Calibri" w:eastAsia="微软雅黑" w:cs="Calibri"/>
                <w:i w:val="0"/>
                <w:iCs w:val="0"/>
                <w:caps w:val="0"/>
                <w:color w:val="333333"/>
                <w:spacing w:val="0"/>
                <w:kern w:val="0"/>
                <w:sz w:val="20"/>
                <w:szCs w:val="20"/>
                <w:lang w:val="en-US" w:eastAsia="zh-CN"/>
              </w:rPr>
              <w:t> </w:t>
            </w:r>
            <w:r>
              <w:rPr>
                <w:rFonts w:hint="eastAsia" w:ascii="宋体" w:hAnsi="宋体" w:eastAsia="宋体" w:cs="宋体"/>
                <w:i w:val="0"/>
                <w:iCs w:val="0"/>
                <w:caps w:val="0"/>
                <w:color w:val="333333"/>
                <w:spacing w:val="0"/>
                <w:kern w:val="0"/>
                <w:sz w:val="20"/>
                <w:szCs w:val="20"/>
                <w:lang w:val="en-US" w:eastAsia="zh-CN"/>
              </w:rPr>
              <w:t>0</w:t>
            </w:r>
          </w:p>
        </w:tc>
        <w:tc>
          <w:tcPr>
            <w:tcW w:w="59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leftChars="0" w:right="0" w:rightChars="0"/>
              <w:jc w:val="center"/>
              <w:rPr>
                <w:rFonts w:ascii="Times New Roman"/>
                <w:sz w:val="20"/>
              </w:rPr>
            </w:pPr>
            <w:r>
              <w:rPr>
                <w:rFonts w:hint="eastAsia" w:ascii="宋体" w:hAnsi="宋体" w:eastAsia="宋体" w:cs="宋体"/>
                <w:i w:val="0"/>
                <w:iCs w:val="0"/>
                <w:caps w:val="0"/>
                <w:color w:val="333333"/>
                <w:spacing w:val="0"/>
                <w:kern w:val="0"/>
                <w:sz w:val="20"/>
                <w:szCs w:val="20"/>
                <w:lang w:val="en-US" w:eastAsia="zh-CN"/>
              </w:rPr>
              <w:t>0</w:t>
            </w:r>
            <w:r>
              <w:rPr>
                <w:rFonts w:hint="default" w:ascii="Calibri" w:hAnsi="Calibri" w:eastAsia="微软雅黑" w:cs="Calibri"/>
                <w:i w:val="0"/>
                <w:iCs w:val="0"/>
                <w:caps w:val="0"/>
                <w:color w:val="333333"/>
                <w:spacing w:val="0"/>
                <w:kern w:val="0"/>
                <w:sz w:val="20"/>
                <w:szCs w:val="20"/>
                <w:lang w:val="en-US" w:eastAsia="zh-CN"/>
              </w:rPr>
              <w:t> </w:t>
            </w:r>
          </w:p>
        </w:tc>
      </w:tr>
    </w:tbl>
    <w:p/>
    <w:tbl>
      <w:tblPr>
        <w:tblStyle w:val="6"/>
        <w:tblpPr w:leftFromText="180" w:rightFromText="180" w:vertAnchor="text" w:horzAnchor="page" w:tblpX="2234" w:tblpY="1455"/>
        <w:tblOverlap w:val="never"/>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19"/>
        <w:gridCol w:w="519"/>
        <w:gridCol w:w="519"/>
        <w:gridCol w:w="519"/>
        <w:gridCol w:w="520"/>
        <w:gridCol w:w="519"/>
        <w:gridCol w:w="519"/>
        <w:gridCol w:w="520"/>
        <w:gridCol w:w="520"/>
        <w:gridCol w:w="520"/>
        <w:gridCol w:w="520"/>
        <w:gridCol w:w="520"/>
        <w:gridCol w:w="520"/>
        <w:gridCol w:w="520"/>
        <w:gridCol w:w="5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9" w:hRule="atLeast"/>
        </w:trPr>
        <w:tc>
          <w:tcPr>
            <w:tcW w:w="2596" w:type="dxa"/>
            <w:gridSpan w:val="5"/>
          </w:tcPr>
          <w:p>
            <w:pPr>
              <w:pStyle w:val="8"/>
              <w:spacing w:before="37"/>
              <w:ind w:left="877" w:right="858"/>
              <w:jc w:val="center"/>
              <w:rPr>
                <w:sz w:val="20"/>
              </w:rPr>
            </w:pPr>
            <w:r>
              <w:rPr>
                <w:sz w:val="20"/>
              </w:rPr>
              <w:t>行政复议</w:t>
            </w:r>
          </w:p>
        </w:tc>
        <w:tc>
          <w:tcPr>
            <w:tcW w:w="5203" w:type="dxa"/>
            <w:gridSpan w:val="10"/>
          </w:tcPr>
          <w:p>
            <w:pPr>
              <w:pStyle w:val="8"/>
              <w:spacing w:before="37"/>
              <w:ind w:left="2179" w:right="2163"/>
              <w:jc w:val="center"/>
              <w:rPr>
                <w:sz w:val="20"/>
              </w:rPr>
            </w:pPr>
            <w:r>
              <w:rPr>
                <w:sz w:val="20"/>
              </w:rPr>
              <w:t>行政诉讼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9" w:hRule="atLeast"/>
        </w:trPr>
        <w:tc>
          <w:tcPr>
            <w:tcW w:w="519" w:type="dxa"/>
            <w:vMerge w:val="restart"/>
          </w:tcPr>
          <w:p>
            <w:pPr>
              <w:pStyle w:val="8"/>
              <w:spacing w:before="11"/>
              <w:rPr>
                <w:rFonts w:ascii="黑体"/>
                <w:sz w:val="15"/>
              </w:rPr>
            </w:pPr>
          </w:p>
          <w:p>
            <w:pPr>
              <w:pStyle w:val="8"/>
              <w:spacing w:line="292" w:lineRule="auto"/>
              <w:ind w:left="159" w:right="138"/>
              <w:jc w:val="both"/>
              <w:rPr>
                <w:sz w:val="20"/>
              </w:rPr>
            </w:pPr>
            <w:r>
              <w:rPr>
                <w:sz w:val="20"/>
              </w:rPr>
              <w:t>结果维持</w:t>
            </w:r>
          </w:p>
        </w:tc>
        <w:tc>
          <w:tcPr>
            <w:tcW w:w="519" w:type="dxa"/>
            <w:vMerge w:val="restart"/>
          </w:tcPr>
          <w:p>
            <w:pPr>
              <w:pStyle w:val="8"/>
              <w:spacing w:before="11"/>
              <w:rPr>
                <w:rFonts w:ascii="黑体"/>
                <w:sz w:val="15"/>
              </w:rPr>
            </w:pPr>
          </w:p>
          <w:p>
            <w:pPr>
              <w:pStyle w:val="8"/>
              <w:spacing w:line="292" w:lineRule="auto"/>
              <w:ind w:left="158" w:right="139"/>
              <w:jc w:val="both"/>
              <w:rPr>
                <w:sz w:val="20"/>
              </w:rPr>
            </w:pPr>
            <w:r>
              <w:rPr>
                <w:sz w:val="20"/>
              </w:rPr>
              <w:t>结果纠正</w:t>
            </w:r>
          </w:p>
        </w:tc>
        <w:tc>
          <w:tcPr>
            <w:tcW w:w="519" w:type="dxa"/>
            <w:vMerge w:val="restart"/>
          </w:tcPr>
          <w:p>
            <w:pPr>
              <w:pStyle w:val="8"/>
              <w:spacing w:before="11"/>
              <w:rPr>
                <w:rFonts w:ascii="黑体"/>
                <w:sz w:val="15"/>
              </w:rPr>
            </w:pPr>
          </w:p>
          <w:p>
            <w:pPr>
              <w:pStyle w:val="8"/>
              <w:spacing w:line="292" w:lineRule="auto"/>
              <w:ind w:left="158" w:right="139"/>
              <w:jc w:val="both"/>
              <w:rPr>
                <w:sz w:val="20"/>
              </w:rPr>
            </w:pPr>
            <w:r>
              <w:rPr>
                <w:sz w:val="20"/>
              </w:rPr>
              <w:t>其他结果</w:t>
            </w:r>
          </w:p>
        </w:tc>
        <w:tc>
          <w:tcPr>
            <w:tcW w:w="519" w:type="dxa"/>
            <w:vMerge w:val="restart"/>
          </w:tcPr>
          <w:p>
            <w:pPr>
              <w:pStyle w:val="8"/>
              <w:spacing w:before="11"/>
              <w:rPr>
                <w:rFonts w:ascii="黑体"/>
                <w:sz w:val="15"/>
              </w:rPr>
            </w:pPr>
          </w:p>
          <w:p>
            <w:pPr>
              <w:pStyle w:val="8"/>
              <w:spacing w:line="292" w:lineRule="auto"/>
              <w:ind w:left="157" w:right="140"/>
              <w:jc w:val="both"/>
              <w:rPr>
                <w:sz w:val="20"/>
              </w:rPr>
            </w:pPr>
            <w:r>
              <w:rPr>
                <w:sz w:val="20"/>
              </w:rPr>
              <w:t>尚未审结</w:t>
            </w:r>
          </w:p>
        </w:tc>
        <w:tc>
          <w:tcPr>
            <w:tcW w:w="520" w:type="dxa"/>
            <w:vMerge w:val="restart"/>
          </w:tcPr>
          <w:p>
            <w:pPr>
              <w:pStyle w:val="8"/>
              <w:rPr>
                <w:rFonts w:ascii="黑体"/>
                <w:sz w:val="20"/>
              </w:rPr>
            </w:pPr>
          </w:p>
          <w:p>
            <w:pPr>
              <w:pStyle w:val="8"/>
              <w:spacing w:before="2"/>
              <w:rPr>
                <w:rFonts w:ascii="黑体"/>
                <w:sz w:val="20"/>
              </w:rPr>
            </w:pPr>
          </w:p>
          <w:p>
            <w:pPr>
              <w:pStyle w:val="8"/>
              <w:spacing w:line="292" w:lineRule="auto"/>
              <w:ind w:left="159" w:right="139"/>
              <w:rPr>
                <w:sz w:val="20"/>
              </w:rPr>
            </w:pPr>
            <w:r>
              <w:rPr>
                <w:sz w:val="20"/>
              </w:rPr>
              <w:t>总计</w:t>
            </w:r>
          </w:p>
        </w:tc>
        <w:tc>
          <w:tcPr>
            <w:tcW w:w="2598" w:type="dxa"/>
            <w:gridSpan w:val="5"/>
          </w:tcPr>
          <w:p>
            <w:pPr>
              <w:pStyle w:val="8"/>
              <w:spacing w:before="35"/>
              <w:ind w:left="498"/>
              <w:rPr>
                <w:sz w:val="20"/>
              </w:rPr>
            </w:pPr>
            <w:r>
              <w:rPr>
                <w:sz w:val="20"/>
              </w:rPr>
              <w:t>未经复议直接起诉</w:t>
            </w:r>
          </w:p>
        </w:tc>
        <w:tc>
          <w:tcPr>
            <w:tcW w:w="2605" w:type="dxa"/>
            <w:gridSpan w:val="5"/>
          </w:tcPr>
          <w:p>
            <w:pPr>
              <w:pStyle w:val="8"/>
              <w:spacing w:before="35"/>
              <w:ind w:left="802"/>
              <w:rPr>
                <w:sz w:val="20"/>
              </w:rPr>
            </w:pPr>
            <w:r>
              <w:rPr>
                <w:sz w:val="20"/>
              </w:rPr>
              <w:t>复议后起诉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7" w:hRule="atLeast"/>
        </w:trPr>
        <w:tc>
          <w:tcPr>
            <w:tcW w:w="519" w:type="dxa"/>
            <w:vMerge w:val="continue"/>
            <w:tcBorders>
              <w:top w:val="nil"/>
            </w:tcBorders>
          </w:tcPr>
          <w:p>
            <w:pPr>
              <w:rPr>
                <w:sz w:val="2"/>
                <w:szCs w:val="2"/>
              </w:rPr>
            </w:pPr>
          </w:p>
        </w:tc>
        <w:tc>
          <w:tcPr>
            <w:tcW w:w="519" w:type="dxa"/>
            <w:vMerge w:val="continue"/>
            <w:tcBorders>
              <w:top w:val="nil"/>
            </w:tcBorders>
          </w:tcPr>
          <w:p>
            <w:pPr>
              <w:rPr>
                <w:sz w:val="2"/>
                <w:szCs w:val="2"/>
              </w:rPr>
            </w:pPr>
          </w:p>
        </w:tc>
        <w:tc>
          <w:tcPr>
            <w:tcW w:w="519" w:type="dxa"/>
            <w:vMerge w:val="continue"/>
            <w:tcBorders>
              <w:top w:val="nil"/>
            </w:tcBorders>
          </w:tcPr>
          <w:p>
            <w:pPr>
              <w:rPr>
                <w:sz w:val="2"/>
                <w:szCs w:val="2"/>
              </w:rPr>
            </w:pPr>
          </w:p>
        </w:tc>
        <w:tc>
          <w:tcPr>
            <w:tcW w:w="519" w:type="dxa"/>
            <w:vMerge w:val="continue"/>
            <w:tcBorders>
              <w:top w:val="nil"/>
            </w:tcBorders>
          </w:tcPr>
          <w:p>
            <w:pPr>
              <w:rPr>
                <w:sz w:val="2"/>
                <w:szCs w:val="2"/>
              </w:rPr>
            </w:pPr>
          </w:p>
        </w:tc>
        <w:tc>
          <w:tcPr>
            <w:tcW w:w="520" w:type="dxa"/>
            <w:vMerge w:val="continue"/>
            <w:tcBorders>
              <w:top w:val="nil"/>
            </w:tcBorders>
          </w:tcPr>
          <w:p>
            <w:pPr>
              <w:rPr>
                <w:sz w:val="2"/>
                <w:szCs w:val="2"/>
              </w:rPr>
            </w:pPr>
          </w:p>
        </w:tc>
        <w:tc>
          <w:tcPr>
            <w:tcW w:w="519" w:type="dxa"/>
          </w:tcPr>
          <w:p>
            <w:pPr>
              <w:pStyle w:val="8"/>
              <w:spacing w:before="28" w:line="292" w:lineRule="auto"/>
              <w:ind w:left="157" w:right="140"/>
              <w:jc w:val="both"/>
              <w:rPr>
                <w:sz w:val="20"/>
              </w:rPr>
            </w:pPr>
            <w:r>
              <w:rPr>
                <w:sz w:val="20"/>
              </w:rPr>
              <w:t>结果维</w:t>
            </w:r>
          </w:p>
          <w:p>
            <w:pPr>
              <w:pStyle w:val="8"/>
              <w:spacing w:line="254" w:lineRule="exact"/>
              <w:ind w:left="157"/>
              <w:jc w:val="both"/>
              <w:rPr>
                <w:sz w:val="20"/>
              </w:rPr>
            </w:pPr>
            <w:r>
              <w:rPr>
                <w:w w:val="99"/>
                <w:sz w:val="20"/>
              </w:rPr>
              <w:t>持</w:t>
            </w:r>
          </w:p>
        </w:tc>
        <w:tc>
          <w:tcPr>
            <w:tcW w:w="519" w:type="dxa"/>
          </w:tcPr>
          <w:p>
            <w:pPr>
              <w:pStyle w:val="8"/>
              <w:spacing w:before="28" w:line="292" w:lineRule="auto"/>
              <w:ind w:left="159" w:right="138"/>
              <w:jc w:val="both"/>
              <w:rPr>
                <w:sz w:val="20"/>
              </w:rPr>
            </w:pPr>
            <w:r>
              <w:rPr>
                <w:sz w:val="20"/>
              </w:rPr>
              <w:t>结果纠</w:t>
            </w:r>
          </w:p>
          <w:p>
            <w:pPr>
              <w:pStyle w:val="8"/>
              <w:spacing w:line="254" w:lineRule="exact"/>
              <w:ind w:left="159"/>
              <w:jc w:val="both"/>
              <w:rPr>
                <w:sz w:val="20"/>
              </w:rPr>
            </w:pPr>
            <w:r>
              <w:rPr>
                <w:w w:val="99"/>
                <w:sz w:val="20"/>
              </w:rPr>
              <w:t>正</w:t>
            </w:r>
          </w:p>
        </w:tc>
        <w:tc>
          <w:tcPr>
            <w:tcW w:w="520" w:type="dxa"/>
          </w:tcPr>
          <w:p>
            <w:pPr>
              <w:pStyle w:val="8"/>
              <w:spacing w:before="28" w:line="292" w:lineRule="auto"/>
              <w:ind w:left="158" w:right="140"/>
              <w:jc w:val="both"/>
              <w:rPr>
                <w:sz w:val="20"/>
              </w:rPr>
            </w:pPr>
            <w:r>
              <w:rPr>
                <w:sz w:val="20"/>
              </w:rPr>
              <w:t>其他结</w:t>
            </w:r>
          </w:p>
          <w:p>
            <w:pPr>
              <w:pStyle w:val="8"/>
              <w:spacing w:line="254" w:lineRule="exact"/>
              <w:ind w:left="158"/>
              <w:jc w:val="both"/>
              <w:rPr>
                <w:sz w:val="20"/>
              </w:rPr>
            </w:pPr>
            <w:r>
              <w:rPr>
                <w:w w:val="99"/>
                <w:sz w:val="20"/>
              </w:rPr>
              <w:t>果</w:t>
            </w:r>
          </w:p>
        </w:tc>
        <w:tc>
          <w:tcPr>
            <w:tcW w:w="520" w:type="dxa"/>
          </w:tcPr>
          <w:p>
            <w:pPr>
              <w:pStyle w:val="8"/>
              <w:spacing w:before="28" w:line="292" w:lineRule="auto"/>
              <w:ind w:left="159" w:right="139"/>
              <w:jc w:val="both"/>
              <w:rPr>
                <w:sz w:val="20"/>
              </w:rPr>
            </w:pPr>
            <w:r>
              <w:rPr>
                <w:sz w:val="20"/>
              </w:rPr>
              <w:t>尚未审</w:t>
            </w:r>
          </w:p>
          <w:p>
            <w:pPr>
              <w:pStyle w:val="8"/>
              <w:spacing w:line="254" w:lineRule="exact"/>
              <w:ind w:left="159"/>
              <w:jc w:val="both"/>
              <w:rPr>
                <w:sz w:val="20"/>
              </w:rPr>
            </w:pPr>
            <w:r>
              <w:rPr>
                <w:w w:val="99"/>
                <w:sz w:val="20"/>
              </w:rPr>
              <w:t>结</w:t>
            </w:r>
          </w:p>
        </w:tc>
        <w:tc>
          <w:tcPr>
            <w:tcW w:w="520" w:type="dxa"/>
          </w:tcPr>
          <w:p>
            <w:pPr>
              <w:pStyle w:val="8"/>
              <w:spacing w:before="7"/>
              <w:rPr>
                <w:rFonts w:ascii="黑体"/>
                <w:sz w:val="26"/>
              </w:rPr>
            </w:pPr>
          </w:p>
          <w:p>
            <w:pPr>
              <w:pStyle w:val="8"/>
              <w:spacing w:line="292" w:lineRule="auto"/>
              <w:ind w:left="160" w:right="138"/>
              <w:rPr>
                <w:sz w:val="20"/>
              </w:rPr>
            </w:pPr>
            <w:r>
              <w:rPr>
                <w:sz w:val="20"/>
              </w:rPr>
              <w:t>总计</w:t>
            </w:r>
          </w:p>
        </w:tc>
        <w:tc>
          <w:tcPr>
            <w:tcW w:w="520" w:type="dxa"/>
          </w:tcPr>
          <w:p>
            <w:pPr>
              <w:pStyle w:val="8"/>
              <w:spacing w:before="28" w:line="292" w:lineRule="auto"/>
              <w:ind w:left="158" w:right="140"/>
              <w:jc w:val="both"/>
              <w:rPr>
                <w:sz w:val="20"/>
              </w:rPr>
            </w:pPr>
            <w:r>
              <w:rPr>
                <w:sz w:val="20"/>
              </w:rPr>
              <w:t>结果维</w:t>
            </w:r>
          </w:p>
          <w:p>
            <w:pPr>
              <w:pStyle w:val="8"/>
              <w:spacing w:line="254" w:lineRule="exact"/>
              <w:ind w:left="158"/>
              <w:jc w:val="both"/>
              <w:rPr>
                <w:sz w:val="20"/>
              </w:rPr>
            </w:pPr>
            <w:r>
              <w:rPr>
                <w:w w:val="99"/>
                <w:sz w:val="20"/>
              </w:rPr>
              <w:t>持</w:t>
            </w:r>
          </w:p>
        </w:tc>
        <w:tc>
          <w:tcPr>
            <w:tcW w:w="520" w:type="dxa"/>
          </w:tcPr>
          <w:p>
            <w:pPr>
              <w:pStyle w:val="8"/>
              <w:spacing w:before="28" w:line="292" w:lineRule="auto"/>
              <w:ind w:left="159" w:right="139"/>
              <w:jc w:val="both"/>
              <w:rPr>
                <w:sz w:val="20"/>
              </w:rPr>
            </w:pPr>
            <w:r>
              <w:rPr>
                <w:sz w:val="20"/>
              </w:rPr>
              <w:t>结果纠</w:t>
            </w:r>
          </w:p>
          <w:p>
            <w:pPr>
              <w:pStyle w:val="8"/>
              <w:spacing w:line="254" w:lineRule="exact"/>
              <w:ind w:left="159"/>
              <w:jc w:val="both"/>
              <w:rPr>
                <w:sz w:val="20"/>
              </w:rPr>
            </w:pPr>
            <w:r>
              <w:rPr>
                <w:w w:val="99"/>
                <w:sz w:val="20"/>
              </w:rPr>
              <w:t>正</w:t>
            </w:r>
          </w:p>
        </w:tc>
        <w:tc>
          <w:tcPr>
            <w:tcW w:w="520" w:type="dxa"/>
          </w:tcPr>
          <w:p>
            <w:pPr>
              <w:pStyle w:val="8"/>
              <w:spacing w:before="28" w:line="292" w:lineRule="auto"/>
              <w:ind w:left="160" w:right="138"/>
              <w:jc w:val="both"/>
              <w:rPr>
                <w:sz w:val="20"/>
              </w:rPr>
            </w:pPr>
            <w:r>
              <w:rPr>
                <w:sz w:val="20"/>
              </w:rPr>
              <w:t>其他结</w:t>
            </w:r>
          </w:p>
          <w:p>
            <w:pPr>
              <w:pStyle w:val="8"/>
              <w:spacing w:line="254" w:lineRule="exact"/>
              <w:ind w:left="160"/>
              <w:jc w:val="both"/>
              <w:rPr>
                <w:sz w:val="20"/>
              </w:rPr>
            </w:pPr>
            <w:r>
              <w:rPr>
                <w:w w:val="99"/>
                <w:sz w:val="20"/>
              </w:rPr>
              <w:t>果</w:t>
            </w:r>
          </w:p>
        </w:tc>
        <w:tc>
          <w:tcPr>
            <w:tcW w:w="520" w:type="dxa"/>
          </w:tcPr>
          <w:p>
            <w:pPr>
              <w:pStyle w:val="8"/>
              <w:spacing w:before="28" w:line="292" w:lineRule="auto"/>
              <w:ind w:left="158" w:right="140"/>
              <w:jc w:val="both"/>
              <w:rPr>
                <w:sz w:val="20"/>
              </w:rPr>
            </w:pPr>
            <w:r>
              <w:rPr>
                <w:sz w:val="20"/>
              </w:rPr>
              <w:t>尚未审</w:t>
            </w:r>
          </w:p>
          <w:p>
            <w:pPr>
              <w:pStyle w:val="8"/>
              <w:spacing w:line="254" w:lineRule="exact"/>
              <w:ind w:left="158"/>
              <w:jc w:val="both"/>
              <w:rPr>
                <w:sz w:val="20"/>
              </w:rPr>
            </w:pPr>
            <w:r>
              <w:rPr>
                <w:w w:val="99"/>
                <w:sz w:val="20"/>
              </w:rPr>
              <w:t>结</w:t>
            </w:r>
          </w:p>
        </w:tc>
        <w:tc>
          <w:tcPr>
            <w:tcW w:w="525" w:type="dxa"/>
          </w:tcPr>
          <w:p>
            <w:pPr>
              <w:pStyle w:val="8"/>
              <w:spacing w:before="7"/>
              <w:rPr>
                <w:rFonts w:ascii="黑体"/>
                <w:sz w:val="26"/>
              </w:rPr>
            </w:pPr>
          </w:p>
          <w:p>
            <w:pPr>
              <w:pStyle w:val="8"/>
              <w:spacing w:line="292" w:lineRule="auto"/>
              <w:ind w:left="162" w:right="141"/>
              <w:rPr>
                <w:sz w:val="20"/>
              </w:rPr>
            </w:pPr>
            <w:r>
              <w:rPr>
                <w:sz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07" w:hRule="atLeast"/>
        </w:trPr>
        <w:tc>
          <w:tcPr>
            <w:tcW w:w="519" w:type="dxa"/>
          </w:tcPr>
          <w:p>
            <w:pPr>
              <w:ind w:left="0" w:leftChars="0" w:right="0" w:rightChars="0"/>
              <w:jc w:val="center"/>
              <w:rPr>
                <w:rFonts w:hint="eastAsia" w:ascii="Times New Roman" w:eastAsia="宋体"/>
                <w:sz w:val="24"/>
                <w:lang w:val="en-US" w:eastAsia="zh-CN"/>
              </w:rPr>
            </w:pPr>
            <w:r>
              <w:rPr>
                <w:rFonts w:hint="eastAsia" w:ascii="Times New Roman"/>
                <w:sz w:val="24"/>
                <w:lang w:val="en-US" w:eastAsia="zh-CN"/>
              </w:rPr>
              <w:t>0</w:t>
            </w:r>
          </w:p>
        </w:tc>
        <w:tc>
          <w:tcPr>
            <w:tcW w:w="519" w:type="dxa"/>
          </w:tcPr>
          <w:p>
            <w:pPr>
              <w:ind w:left="0" w:leftChars="0" w:right="0" w:rightChars="0"/>
              <w:jc w:val="center"/>
              <w:rPr>
                <w:rFonts w:ascii="Times New Roman"/>
                <w:sz w:val="24"/>
              </w:rPr>
            </w:pPr>
            <w:r>
              <w:rPr>
                <w:rFonts w:hint="eastAsia" w:ascii="Times New Roman"/>
                <w:sz w:val="24"/>
                <w:lang w:val="en-US" w:eastAsia="zh-CN"/>
              </w:rPr>
              <w:t>0</w:t>
            </w:r>
          </w:p>
        </w:tc>
        <w:tc>
          <w:tcPr>
            <w:tcW w:w="519" w:type="dxa"/>
          </w:tcPr>
          <w:p>
            <w:pPr>
              <w:ind w:left="0" w:leftChars="0" w:right="0" w:rightChars="0"/>
              <w:jc w:val="center"/>
              <w:rPr>
                <w:rFonts w:ascii="Times New Roman"/>
                <w:sz w:val="24"/>
              </w:rPr>
            </w:pPr>
            <w:r>
              <w:rPr>
                <w:rFonts w:hint="eastAsia" w:ascii="Times New Roman"/>
                <w:sz w:val="24"/>
                <w:lang w:val="en-US" w:eastAsia="zh-CN"/>
              </w:rPr>
              <w:t>0</w:t>
            </w:r>
          </w:p>
        </w:tc>
        <w:tc>
          <w:tcPr>
            <w:tcW w:w="519" w:type="dxa"/>
          </w:tcPr>
          <w:p>
            <w:pPr>
              <w:ind w:left="0" w:leftChars="0" w:right="0" w:rightChars="0"/>
              <w:jc w:val="center"/>
              <w:rPr>
                <w:rFonts w:hint="default" w:ascii="Times New Roman" w:eastAsia="宋体"/>
                <w:sz w:val="24"/>
                <w:lang w:val="en-US" w:eastAsia="zh-CN"/>
              </w:rPr>
            </w:pPr>
            <w:r>
              <w:rPr>
                <w:rFonts w:hint="eastAsia" w:ascii="Times New Roman"/>
                <w:sz w:val="24"/>
                <w:lang w:val="en-US" w:eastAsia="zh-CN"/>
              </w:rPr>
              <w:t>0</w:t>
            </w:r>
          </w:p>
        </w:tc>
        <w:tc>
          <w:tcPr>
            <w:tcW w:w="520" w:type="dxa"/>
          </w:tcPr>
          <w:p>
            <w:pPr>
              <w:ind w:left="0" w:leftChars="0" w:right="0" w:rightChars="0"/>
              <w:jc w:val="center"/>
              <w:rPr>
                <w:rFonts w:ascii="Times New Roman"/>
                <w:sz w:val="24"/>
              </w:rPr>
            </w:pPr>
            <w:r>
              <w:rPr>
                <w:rFonts w:hint="eastAsia" w:ascii="Times New Roman"/>
                <w:sz w:val="24"/>
                <w:lang w:val="en-US" w:eastAsia="zh-CN"/>
              </w:rPr>
              <w:t>0</w:t>
            </w:r>
          </w:p>
        </w:tc>
        <w:tc>
          <w:tcPr>
            <w:tcW w:w="519" w:type="dxa"/>
          </w:tcPr>
          <w:p>
            <w:pPr>
              <w:ind w:left="0" w:leftChars="0" w:right="0" w:rightChars="0"/>
              <w:jc w:val="center"/>
              <w:rPr>
                <w:rFonts w:hint="default" w:ascii="Times New Roman" w:eastAsia="宋体"/>
                <w:sz w:val="24"/>
                <w:lang w:val="en-US" w:eastAsia="zh-CN"/>
              </w:rPr>
            </w:pPr>
            <w:r>
              <w:rPr>
                <w:rFonts w:hint="eastAsia" w:ascii="Times New Roman"/>
                <w:sz w:val="24"/>
                <w:lang w:val="en-US" w:eastAsia="zh-CN"/>
              </w:rPr>
              <w:t>0</w:t>
            </w:r>
          </w:p>
        </w:tc>
        <w:tc>
          <w:tcPr>
            <w:tcW w:w="519" w:type="dxa"/>
          </w:tcPr>
          <w:p>
            <w:pPr>
              <w:ind w:left="0" w:leftChars="0" w:right="0" w:rightChars="0"/>
              <w:jc w:val="center"/>
              <w:rPr>
                <w:rFonts w:ascii="Times New Roman"/>
                <w:sz w:val="24"/>
              </w:rPr>
            </w:pPr>
            <w:r>
              <w:rPr>
                <w:rFonts w:hint="eastAsia" w:ascii="Times New Roman"/>
                <w:sz w:val="24"/>
                <w:lang w:val="en-US" w:eastAsia="zh-CN"/>
              </w:rPr>
              <w:t>0</w:t>
            </w:r>
          </w:p>
        </w:tc>
        <w:tc>
          <w:tcPr>
            <w:tcW w:w="520" w:type="dxa"/>
          </w:tcPr>
          <w:p>
            <w:pPr>
              <w:ind w:left="0" w:leftChars="0" w:right="0" w:rightChars="0"/>
              <w:jc w:val="center"/>
              <w:rPr>
                <w:rFonts w:hint="default" w:ascii="Times New Roman" w:eastAsia="宋体"/>
                <w:sz w:val="24"/>
                <w:lang w:val="en-US" w:eastAsia="zh-CN"/>
              </w:rPr>
            </w:pPr>
            <w:r>
              <w:rPr>
                <w:rFonts w:hint="eastAsia" w:ascii="Times New Roman"/>
                <w:sz w:val="24"/>
                <w:lang w:val="en-US" w:eastAsia="zh-CN"/>
              </w:rPr>
              <w:t>0</w:t>
            </w:r>
          </w:p>
        </w:tc>
        <w:tc>
          <w:tcPr>
            <w:tcW w:w="520" w:type="dxa"/>
          </w:tcPr>
          <w:p>
            <w:pPr>
              <w:ind w:left="0" w:leftChars="0" w:right="0" w:rightChars="0"/>
              <w:jc w:val="center"/>
              <w:rPr>
                <w:rFonts w:hint="eastAsia" w:ascii="Times New Roman" w:eastAsia="宋体"/>
                <w:sz w:val="24"/>
                <w:lang w:val="en-US" w:eastAsia="zh-CN"/>
              </w:rPr>
            </w:pPr>
            <w:r>
              <w:rPr>
                <w:rFonts w:hint="eastAsia" w:ascii="Times New Roman"/>
                <w:sz w:val="24"/>
                <w:lang w:val="en-US" w:eastAsia="zh-CN"/>
              </w:rPr>
              <w:t>0</w:t>
            </w:r>
          </w:p>
        </w:tc>
        <w:tc>
          <w:tcPr>
            <w:tcW w:w="520" w:type="dxa"/>
          </w:tcPr>
          <w:p>
            <w:pPr>
              <w:ind w:left="0" w:leftChars="0" w:right="0" w:rightChars="0"/>
              <w:jc w:val="center"/>
              <w:rPr>
                <w:rFonts w:hint="default" w:ascii="Times New Roman" w:eastAsia="宋体"/>
                <w:sz w:val="24"/>
                <w:lang w:val="en-US" w:eastAsia="zh-CN"/>
              </w:rPr>
            </w:pPr>
            <w:r>
              <w:rPr>
                <w:rFonts w:hint="eastAsia" w:ascii="Times New Roman"/>
                <w:sz w:val="24"/>
                <w:lang w:val="en-US" w:eastAsia="zh-CN"/>
              </w:rPr>
              <w:t>0</w:t>
            </w:r>
            <w:bookmarkStart w:id="0" w:name="_GoBack"/>
            <w:bookmarkEnd w:id="0"/>
          </w:p>
        </w:tc>
        <w:tc>
          <w:tcPr>
            <w:tcW w:w="520" w:type="dxa"/>
          </w:tcPr>
          <w:p>
            <w:pPr>
              <w:ind w:left="0" w:leftChars="0" w:right="0" w:rightChars="0"/>
              <w:jc w:val="center"/>
              <w:rPr>
                <w:rFonts w:ascii="Times New Roman"/>
                <w:sz w:val="24"/>
              </w:rPr>
            </w:pPr>
            <w:r>
              <w:rPr>
                <w:rFonts w:hint="eastAsia" w:ascii="Times New Roman"/>
                <w:sz w:val="24"/>
                <w:lang w:val="en-US" w:eastAsia="zh-CN"/>
              </w:rPr>
              <w:t>0</w:t>
            </w:r>
          </w:p>
        </w:tc>
        <w:tc>
          <w:tcPr>
            <w:tcW w:w="520" w:type="dxa"/>
          </w:tcPr>
          <w:p>
            <w:pPr>
              <w:ind w:left="0" w:leftChars="0" w:right="0" w:rightChars="0"/>
              <w:jc w:val="center"/>
              <w:rPr>
                <w:rFonts w:ascii="Times New Roman"/>
                <w:sz w:val="24"/>
              </w:rPr>
            </w:pPr>
            <w:r>
              <w:rPr>
                <w:rFonts w:hint="eastAsia" w:ascii="Times New Roman"/>
                <w:sz w:val="24"/>
                <w:lang w:val="en-US" w:eastAsia="zh-CN"/>
              </w:rPr>
              <w:t>0</w:t>
            </w:r>
          </w:p>
        </w:tc>
        <w:tc>
          <w:tcPr>
            <w:tcW w:w="520" w:type="dxa"/>
          </w:tcPr>
          <w:p>
            <w:pPr>
              <w:ind w:left="0" w:leftChars="0" w:right="0" w:rightChars="0"/>
              <w:jc w:val="center"/>
              <w:rPr>
                <w:rFonts w:ascii="Times New Roman"/>
                <w:sz w:val="24"/>
              </w:rPr>
            </w:pPr>
            <w:r>
              <w:rPr>
                <w:rFonts w:hint="eastAsia" w:ascii="Times New Roman"/>
                <w:sz w:val="24"/>
                <w:lang w:val="en-US" w:eastAsia="zh-CN"/>
              </w:rPr>
              <w:t>0</w:t>
            </w:r>
          </w:p>
        </w:tc>
        <w:tc>
          <w:tcPr>
            <w:tcW w:w="520" w:type="dxa"/>
          </w:tcPr>
          <w:p>
            <w:pPr>
              <w:ind w:left="0" w:leftChars="0" w:right="0" w:rightChars="0"/>
              <w:jc w:val="center"/>
              <w:rPr>
                <w:rFonts w:ascii="Times New Roman"/>
                <w:sz w:val="24"/>
              </w:rPr>
            </w:pPr>
            <w:r>
              <w:rPr>
                <w:rFonts w:hint="eastAsia" w:ascii="Times New Roman"/>
                <w:sz w:val="24"/>
                <w:lang w:val="en-US" w:eastAsia="zh-CN"/>
              </w:rPr>
              <w:t>0</w:t>
            </w:r>
          </w:p>
        </w:tc>
        <w:tc>
          <w:tcPr>
            <w:tcW w:w="525" w:type="dxa"/>
          </w:tcPr>
          <w:p>
            <w:pPr>
              <w:ind w:left="0" w:leftChars="0" w:right="0" w:rightChars="0"/>
              <w:jc w:val="center"/>
              <w:rPr>
                <w:rFonts w:ascii="Times New Roman"/>
                <w:sz w:val="24"/>
              </w:rPr>
            </w:pPr>
            <w:r>
              <w:rPr>
                <w:rFonts w:hint="eastAsia" w:ascii="Times New Roman"/>
                <w:sz w:val="24"/>
                <w:lang w:val="en-US" w:eastAsia="zh-CN"/>
              </w:rPr>
              <w:t>0</w:t>
            </w:r>
          </w:p>
        </w:tc>
      </w:tr>
    </w:tbl>
    <w:p>
      <w:pPr>
        <w:pStyle w:val="3"/>
        <w:spacing w:before="142"/>
        <w:ind w:left="579"/>
        <w:rPr>
          <w:rFonts w:hint="eastAsia" w:ascii="黑体" w:eastAsia="黑体"/>
        </w:rPr>
        <w:sectPr>
          <w:pgSz w:w="11910" w:h="16840"/>
          <w:pgMar w:top="1520" w:right="1520" w:bottom="280" w:left="1640" w:header="720" w:footer="720" w:gutter="0"/>
          <w:cols w:space="720" w:num="1"/>
        </w:sectPr>
      </w:pPr>
      <w:r>
        <w:rPr>
          <w:rFonts w:hint="eastAsia" w:ascii="黑体" w:eastAsia="黑体"/>
          <w:color w:val="333333"/>
        </w:rPr>
        <w:t>四、政府信息公开行政复议、行政诉讼情况</w:t>
      </w:r>
    </w:p>
    <w:p>
      <w:pPr>
        <w:pStyle w:val="3"/>
        <w:spacing w:before="43" w:after="27"/>
        <w:ind w:left="579"/>
        <w:rPr>
          <w:rFonts w:hint="eastAsia" w:ascii="黑体" w:eastAsia="黑体"/>
          <w:color w:val="333333"/>
        </w:rPr>
      </w:pPr>
      <w:r>
        <w:rPr>
          <w:rFonts w:hint="eastAsia" w:ascii="黑体" w:eastAsia="黑体"/>
          <w:color w:val="333333"/>
        </w:rPr>
        <w:t>五、存在的主要问题及改进情况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今年区司法局政府信息公开工作，虽然取得一定成效。对照区委和区政府工作要求相比，还有</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一定的</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差距。一是信息内容不够丰富。二是政策解读类信息有待加强。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针对这些问题，我们将认真贯彻落实区委和区政府关于政务公开工作的各项决策部署，提高信息质量，做到应公开的全部公开，提高工作的透明度和时效性，营造公开透明的工作环境。重点抓好以下工作：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一是进一步丰富政府信息公开内容。及时、广泛收集各类信息，并按照相关规定程序及时更新信息内容，让政务公开工作日常化，同时拓展我区法治建设政府信息内容，加强依法治区业务宣传。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二是进一步提高政策解读实效。创新解读传播形式，将“政策语言”转化为通俗易懂的“群众语言”，紧扣民心所盼，紧跟社会热点。切实提高政策解读类信息实效。</w:t>
      </w:r>
    </w:p>
    <w:p>
      <w:pPr>
        <w:pStyle w:val="3"/>
        <w:spacing w:before="43" w:after="27"/>
        <w:ind w:left="579"/>
        <w:rPr>
          <w:rFonts w:hint="eastAsia"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六、其他需要报告的事项</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按照《国务院办公厅关于印发〈政府信息公开信息处理费管理办法〉的通知》（国办函〔2020〕109号）规定的按件、按量收费标准，本年度没有产生信息公开处理费。</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21A2B"/>
    <w:multiLevelType w:val="singleLevel"/>
    <w:tmpl w:val="87B21A2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24E07"/>
    <w:rsid w:val="181B0625"/>
    <w:rsid w:val="22160D89"/>
    <w:rsid w:val="2CC35FA5"/>
    <w:rsid w:val="4FC20584"/>
    <w:rsid w:val="63AF6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56"/>
      <w:ind w:left="159"/>
      <w:outlineLvl w:val="1"/>
    </w:pPr>
    <w:rPr>
      <w:rFonts w:ascii="宋体" w:hAnsi="宋体" w:eastAsia="宋体" w:cs="宋体"/>
      <w:sz w:val="44"/>
      <w:szCs w:val="44"/>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Body Text"/>
    <w:basedOn w:val="1"/>
    <w:qFormat/>
    <w:uiPriority w:val="1"/>
    <w:pPr>
      <w:ind w:left="159"/>
    </w:pPr>
    <w:rPr>
      <w:rFonts w:ascii="宋体" w:hAnsi="宋体" w:eastAsia="宋体" w:cs="宋体"/>
      <w:sz w:val="32"/>
      <w:szCs w:val="32"/>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2153</Words>
  <Characters>2248</Characters>
  <Paragraphs>447</Paragraphs>
  <TotalTime>12</TotalTime>
  <ScaleCrop>false</ScaleCrop>
  <LinksUpToDate>false</LinksUpToDate>
  <CharactersWithSpaces>2430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2022-01-19T08:53:00Z</dcterms:created>
  <dc:creator>Administrator</dc:creator>
  <cp:lastModifiedBy>徐晓萌</cp:lastModifiedBy>
  <dcterms:modified xsi:type="dcterms:W3CDTF">2022-01-26T08:58:38Z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3D91A03BDE044177A71E1DA2D4E5745F</vt:lpwstr>
  </property>
</Properties>
</file>