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napToGrid w:val="0"/>
        <w:spacing w:line="360" w:lineRule="auto"/>
        <w:jc w:val="center"/>
        <w:rPr>
          <w:rFonts w:hint="eastAsia" w:ascii="华文中宋" w:hAnsi="华文中宋" w:eastAsia="华文中宋" w:cs="华文中宋"/>
          <w:b/>
          <w:color w:val="000000"/>
          <w:sz w:val="48"/>
          <w:szCs w:val="48"/>
        </w:rPr>
      </w:pPr>
      <w:r>
        <w:rPr>
          <w:rFonts w:hint="eastAsia" w:ascii="华文中宋" w:hAnsi="华文中宋" w:eastAsia="华文中宋" w:cs="华文中宋"/>
          <w:b/>
          <w:color w:val="000000"/>
          <w:sz w:val="48"/>
          <w:szCs w:val="48"/>
          <w:lang w:eastAsia="zh-CN"/>
        </w:rPr>
        <w:t>淮南市八公山区发展和改革委员会</w:t>
      </w:r>
      <w:r>
        <w:rPr>
          <w:rFonts w:hint="eastAsia" w:ascii="华文中宋" w:hAnsi="华文中宋" w:eastAsia="华文中宋" w:cs="华文中宋"/>
          <w:b/>
          <w:color w:val="000000"/>
          <w:sz w:val="48"/>
          <w:szCs w:val="48"/>
        </w:rPr>
        <w:t>2020年度单位决算</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7"/>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8"/>
        <w:widowControl/>
        <w:snapToGrid w:val="0"/>
        <w:spacing w:before="0" w:after="0" w:line="360" w:lineRule="auto"/>
        <w:jc w:val="center"/>
        <w:rPr>
          <w:rFonts w:ascii="黑体" w:eastAsia="黑体" w:cs="黑体"/>
          <w:color w:val="000000"/>
          <w:sz w:val="48"/>
          <w:szCs w:val="48"/>
        </w:rPr>
      </w:pPr>
      <w:r>
        <w:rPr>
          <w:rFonts w:ascii="黑体" w:eastAsia="黑体" w:cs="黑体"/>
          <w:color w:val="000000"/>
          <w:sz w:val="44"/>
          <w:szCs w:val="44"/>
        </w:rPr>
        <w:t>2021年9月</w:t>
      </w:r>
    </w:p>
    <w:p>
      <w:pPr>
        <w:pStyle w:val="7"/>
        <w:widowControl/>
        <w:spacing w:line="580" w:lineRule="atLeast"/>
        <w:jc w:val="center"/>
        <w:rPr>
          <w:rFonts w:hint="eastAsia" w:ascii="黑体" w:hAnsi="宋体" w:eastAsia="黑体" w:cs="黑体"/>
          <w:color w:val="000000"/>
          <w:sz w:val="48"/>
          <w:szCs w:val="48"/>
        </w:rPr>
      </w:pPr>
      <w:r>
        <w:rPr>
          <w:rFonts w:hint="eastAsia" w:ascii="黑体" w:hAnsi="宋体" w:eastAsia="黑体" w:cs="黑体"/>
          <w:color w:val="000000"/>
          <w:sz w:val="48"/>
          <w:szCs w:val="48"/>
        </w:rPr>
        <w:t>目  录</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第一部分 </w:t>
      </w:r>
      <w:r>
        <w:rPr>
          <w:rFonts w:hint="eastAsia" w:ascii="宋体" w:hAnsi="宋体" w:eastAsia="宋体" w:cs="宋体"/>
          <w:b/>
          <w:color w:val="000000"/>
          <w:sz w:val="30"/>
          <w:szCs w:val="30"/>
          <w:lang w:eastAsia="zh-CN"/>
        </w:rPr>
        <w:t>淮南市八公山区发展和改革委员会</w:t>
      </w:r>
      <w:r>
        <w:rPr>
          <w:rFonts w:hint="eastAsia" w:ascii="宋体" w:hAnsi="宋体" w:eastAsia="宋体" w:cs="宋体"/>
          <w:b/>
          <w:color w:val="000000"/>
          <w:sz w:val="30"/>
          <w:szCs w:val="30"/>
        </w:rPr>
        <w:t>单位概况</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一、主要职责</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二、单位决算构成</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第二部分 </w:t>
      </w:r>
      <w:r>
        <w:rPr>
          <w:rFonts w:hint="eastAsia" w:ascii="宋体" w:hAnsi="宋体" w:eastAsia="宋体" w:cs="宋体"/>
          <w:b/>
          <w:color w:val="000000"/>
          <w:sz w:val="30"/>
          <w:szCs w:val="30"/>
          <w:lang w:eastAsia="zh-CN"/>
        </w:rPr>
        <w:t>淮南市八公山区发展和改革委员会</w:t>
      </w:r>
      <w:r>
        <w:rPr>
          <w:rFonts w:hint="eastAsia" w:ascii="宋体" w:hAnsi="宋体" w:eastAsia="宋体" w:cs="宋体"/>
          <w:b/>
          <w:color w:val="000000"/>
          <w:sz w:val="30"/>
          <w:szCs w:val="30"/>
        </w:rPr>
        <w:t>单位2020年度部门决算表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一、收入支出决算总表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二、收入决算表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三、支出决算表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四、财政拨款收入支出决算总表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五、一般公共预算财政拨款支出决算表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六、一般公共预算财政拨款基本支出决算表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七、政府性基金预算财政拨款收入支出决算表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八、国有资本经营预算财政拨款支出决算表</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第三部分 </w:t>
      </w:r>
      <w:r>
        <w:rPr>
          <w:rFonts w:hint="eastAsia" w:ascii="宋体" w:hAnsi="宋体" w:eastAsia="宋体" w:cs="宋体"/>
          <w:b/>
          <w:color w:val="000000"/>
          <w:sz w:val="30"/>
          <w:szCs w:val="30"/>
          <w:lang w:eastAsia="zh-CN"/>
        </w:rPr>
        <w:t>淮南市八公山区发展和改革委员会</w:t>
      </w:r>
      <w:r>
        <w:rPr>
          <w:rFonts w:hint="eastAsia" w:ascii="宋体" w:hAnsi="宋体" w:eastAsia="宋体" w:cs="宋体"/>
          <w:b/>
          <w:color w:val="000000"/>
          <w:sz w:val="30"/>
          <w:szCs w:val="30"/>
        </w:rPr>
        <w:t>单位2020年度部门决算情况说明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一、收入支出决算总体情况说明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二、收入决算情况说明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三、支出决算情况说明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四、财政拨款收入支出决算总体情况说明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五、一般公共预算财政拨款支出决算情况说明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六、一般公共预算财政拨款基本支出决算情况说明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七、政府性基金财政拨款收入支出决算情况说明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八、国有资本经营预算财政拨款支出决算情况说明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九、其他重要事项情况说明</w:t>
      </w:r>
    </w:p>
    <w:p>
      <w:pPr>
        <w:pStyle w:val="7"/>
        <w:keepNext w:val="0"/>
        <w:keepLines w:val="0"/>
        <w:pageBreakBefore w:val="0"/>
        <w:widowControl/>
        <w:kinsoku/>
        <w:wordWrap/>
        <w:overflowPunct/>
        <w:topLinePunct w:val="0"/>
        <w:autoSpaceDE/>
        <w:autoSpaceDN w:val="0"/>
        <w:bidi w:val="0"/>
        <w:adjustRightInd/>
        <w:snapToGrid/>
        <w:spacing w:line="460" w:lineRule="exac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第四部分 名词解释</w:t>
      </w:r>
    </w:p>
    <w:p>
      <w:pPr>
        <w:pStyle w:val="7"/>
        <w:keepNext w:val="0"/>
        <w:keepLines w:val="0"/>
        <w:pageBreakBefore w:val="0"/>
        <w:widowControl/>
        <w:kinsoku/>
        <w:wordWrap/>
        <w:overflowPunct/>
        <w:topLinePunct w:val="0"/>
        <w:autoSpaceDE/>
        <w:autoSpaceDN/>
        <w:bidi w:val="0"/>
        <w:spacing w:line="480" w:lineRule="exact"/>
        <w:jc w:val="center"/>
        <w:textAlignment w:val="auto"/>
        <w:rPr>
          <w:rFonts w:hint="eastAsia" w:ascii="宋体" w:hAnsi="宋体" w:cs="宋体"/>
          <w:b/>
          <w:color w:val="000000"/>
          <w:sz w:val="36"/>
          <w:szCs w:val="36"/>
        </w:rPr>
      </w:pPr>
    </w:p>
    <w:p>
      <w:pPr>
        <w:pStyle w:val="7"/>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淮南市八公山区发展和改革委员会</w:t>
      </w:r>
      <w:r>
        <w:rPr>
          <w:rFonts w:hint="eastAsia" w:ascii="宋体" w:hAnsi="宋体" w:eastAsia="宋体" w:cs="宋体"/>
          <w:b/>
          <w:color w:val="000000"/>
          <w:sz w:val="36"/>
          <w:szCs w:val="36"/>
        </w:rPr>
        <w:t>2020年度单位决算情况</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第一部分 </w:t>
      </w:r>
      <w:r>
        <w:rPr>
          <w:rFonts w:hint="eastAsia" w:ascii="黑体" w:hAnsi="宋体" w:eastAsia="黑体" w:cs="黑体"/>
          <w:color w:val="000000"/>
          <w:sz w:val="32"/>
          <w:szCs w:val="32"/>
          <w:lang w:eastAsia="zh-CN"/>
        </w:rPr>
        <w:t>淮南市八公山区发展和改革委员会</w:t>
      </w:r>
      <w:r>
        <w:rPr>
          <w:rFonts w:hint="eastAsia" w:ascii="黑体" w:hAnsi="宋体" w:eastAsia="黑体" w:cs="黑体"/>
          <w:color w:val="000000"/>
          <w:sz w:val="32"/>
          <w:szCs w:val="32"/>
        </w:rPr>
        <w:t>单位概况</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一、主要职责</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16" w:firstLineChars="196"/>
        <w:jc w:val="both"/>
        <w:textAlignment w:val="auto"/>
        <w:rPr>
          <w:rFonts w:hint="eastAsia" w:ascii="黑体" w:hAnsi="宋体" w:eastAsia="黑体" w:cs="黑体"/>
          <w:color w:val="000000"/>
          <w:sz w:val="32"/>
          <w:szCs w:val="32"/>
        </w:rPr>
      </w:pPr>
      <w:r>
        <w:rPr>
          <w:rFonts w:hint="eastAsia" w:ascii="仿宋" w:hAnsi="仿宋" w:eastAsia="仿宋"/>
          <w:sz w:val="32"/>
          <w:szCs w:val="32"/>
        </w:rPr>
        <w:t>拟订并组织实施全区国民经济和社会发展战略、规划、计划。负责监测宏观经济和社会发展态势。承担指导推进和综合协调经济体制改革的责任。提出全区固定资产投资总规模和投资结构的调控目标、政策和措施。推进经济结构战略调整。编制利用外资计划。贯彻省、市城镇化发展战略和有关政策。研究分析经济与社会协调发展的重大问题。会同有关部门拟定服务业发展战略和政策措施。推进全区可持续发展战略。分析有关法律法规和重大方针政策执行情况并提出建议。做好区政府和上级部门交办的其它发展改革工作。</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二、单位决算构成</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eastAsia="zh-CN"/>
        </w:rPr>
        <w:t>淮南市八公山区发展和改革委员会、</w:t>
      </w:r>
      <w:r>
        <w:rPr>
          <w:rFonts w:ascii="仿宋_GB2312" w:eastAsia="仿宋_GB2312" w:cs="仿宋_GB2312"/>
          <w:color w:val="000000"/>
          <w:sz w:val="32"/>
          <w:szCs w:val="32"/>
        </w:rPr>
        <w:t>2020年度单位决算仅包括单位本级决算，无其他下属单位决算，与预算比较</w:t>
      </w:r>
      <w:r>
        <w:rPr>
          <w:rFonts w:ascii="楷体_GB2312" w:eastAsia="楷体_GB2312" w:cs="楷体_GB2312"/>
          <w:color w:val="000000"/>
          <w:sz w:val="32"/>
          <w:szCs w:val="32"/>
        </w:rPr>
        <w:t>，</w:t>
      </w:r>
      <w:r>
        <w:rPr>
          <w:rFonts w:hint="eastAsia" w:ascii="仿宋_GB2312" w:eastAsia="仿宋_GB2312" w:cs="仿宋_GB2312"/>
          <w:color w:val="000000"/>
          <w:sz w:val="32"/>
          <w:szCs w:val="32"/>
          <w:lang w:eastAsia="zh-CN"/>
        </w:rPr>
        <w:t>无变化</w:t>
      </w:r>
      <w:r>
        <w:rPr>
          <w:rFonts w:ascii="仿宋_GB2312" w:eastAsia="仿宋_GB2312" w:cs="仿宋_GB2312"/>
          <w:color w:val="000000"/>
          <w:sz w:val="32"/>
          <w:szCs w:val="32"/>
        </w:rPr>
        <w:t>。</w:t>
      </w:r>
    </w:p>
    <w:p>
      <w:pPr>
        <w:pStyle w:val="7"/>
        <w:keepNext w:val="0"/>
        <w:keepLines w:val="0"/>
        <w:pageBreakBefore w:val="0"/>
        <w:widowControl/>
        <w:kinsoku/>
        <w:wordWrap/>
        <w:overflowPunct/>
        <w:topLinePunct w:val="0"/>
        <w:autoSpaceDE/>
        <w:autoSpaceDN/>
        <w:bidi w:val="0"/>
        <w:spacing w:line="560" w:lineRule="exact"/>
        <w:ind w:firstLine="640"/>
        <w:textAlignment w:val="auto"/>
        <w:rPr>
          <w:rFonts w:ascii="仿宋_GB2312" w:eastAsia="仿宋_GB2312" w:cs="仿宋_GB2312"/>
          <w:color w:val="000000"/>
          <w:sz w:val="32"/>
          <w:szCs w:val="32"/>
        </w:rPr>
      </w:pPr>
      <w:r>
        <w:rPr>
          <w:rFonts w:ascii="仿宋_GB2312" w:eastAsia="仿宋_GB2312" w:cs="仿宋_GB2312"/>
          <w:color w:val="000000"/>
          <w:sz w:val="32"/>
          <w:szCs w:val="32"/>
        </w:rPr>
        <w:t>纳入</w:t>
      </w:r>
      <w:r>
        <w:rPr>
          <w:rFonts w:hint="eastAsia" w:ascii="仿宋_GB2312" w:eastAsia="仿宋_GB2312" w:cs="仿宋_GB2312"/>
          <w:color w:val="000000"/>
          <w:sz w:val="32"/>
          <w:szCs w:val="32"/>
          <w:lang w:eastAsia="zh-CN"/>
        </w:rPr>
        <w:t>淮南市八公山区发展和改革委员会</w:t>
      </w:r>
      <w:r>
        <w:rPr>
          <w:rFonts w:ascii="仿宋_GB2312" w:eastAsia="仿宋_GB2312" w:cs="仿宋_GB2312"/>
          <w:color w:val="000000"/>
          <w:sz w:val="32"/>
          <w:szCs w:val="32"/>
        </w:rPr>
        <w:t>2020年度部门决算编制范围的单位仅1个，详细情况见下表：</w:t>
      </w:r>
    </w:p>
    <w:tbl>
      <w:tblPr>
        <w:tblStyle w:val="4"/>
        <w:tblW w:w="0" w:type="auto"/>
        <w:jc w:val="center"/>
        <w:tblLayout w:type="fixed"/>
        <w:tblCellMar>
          <w:top w:w="0" w:type="dxa"/>
          <w:left w:w="0" w:type="dxa"/>
          <w:bottom w:w="0" w:type="dxa"/>
          <w:right w:w="0" w:type="dxa"/>
        </w:tblCellMar>
      </w:tblPr>
      <w:tblGrid>
        <w:gridCol w:w="1389"/>
        <w:gridCol w:w="5837"/>
      </w:tblGrid>
      <w:tr>
        <w:trPr>
          <w:trHeight w:val="397" w:hRule="atLeast"/>
          <w:jc w:val="center"/>
        </w:trPr>
        <w:tc>
          <w:tcPr>
            <w:tcW w:w="1389"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7"/>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序号</w:t>
            </w:r>
          </w:p>
        </w:tc>
        <w:tc>
          <w:tcPr>
            <w:tcW w:w="583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pStyle w:val="7"/>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单位名称</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7"/>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cs="宋体"/>
                <w:color w:val="000000"/>
                <w:sz w:val="24"/>
                <w:szCs w:val="24"/>
              </w:rPr>
            </w:pPr>
            <w:r>
              <w:rPr>
                <w:rFonts w:hint="eastAsia" w:ascii="宋体" w:hAnsi="宋体" w:cs="宋体"/>
                <w:color w:val="000000"/>
                <w:sz w:val="24"/>
                <w:szCs w:val="24"/>
              </w:rPr>
              <w:t>1</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7"/>
              <w:keepNext w:val="0"/>
              <w:keepLines w:val="0"/>
              <w:pageBreakBefore w:val="0"/>
              <w:widowControl/>
              <w:kinsoku/>
              <w:wordWrap/>
              <w:overflowPunct/>
              <w:topLinePunct w:val="0"/>
              <w:autoSpaceDE/>
              <w:autoSpaceDN/>
              <w:bidi w:val="0"/>
              <w:spacing w:line="560" w:lineRule="exact"/>
              <w:textAlignment w:val="auto"/>
              <w:rPr>
                <w:rFonts w:hint="eastAsia" w:ascii="宋体" w:hAnsi="宋体" w:cs="宋体"/>
                <w:color w:val="000000"/>
                <w:sz w:val="24"/>
                <w:szCs w:val="24"/>
              </w:rPr>
            </w:pPr>
            <w:r>
              <w:rPr>
                <w:rFonts w:hint="eastAsia" w:ascii="宋体" w:hAnsi="宋体" w:eastAsia="仿宋_GB2312" w:cs="宋体"/>
                <w:color w:val="000000"/>
                <w:sz w:val="24"/>
                <w:szCs w:val="24"/>
                <w:lang w:eastAsia="zh-CN"/>
              </w:rPr>
              <w:t>淮南市八公山区发展和改革委员会</w:t>
            </w:r>
            <w:r>
              <w:rPr>
                <w:rFonts w:ascii="仿宋_GB2312" w:eastAsia="仿宋_GB2312" w:cs="仿宋_GB2312"/>
                <w:color w:val="000000"/>
                <w:sz w:val="24"/>
                <w:szCs w:val="24"/>
              </w:rPr>
              <w:t>单位</w:t>
            </w:r>
          </w:p>
        </w:tc>
      </w:tr>
    </w:tbl>
    <w:p>
      <w:pPr>
        <w:pStyle w:val="7"/>
        <w:keepNext w:val="0"/>
        <w:keepLines w:val="0"/>
        <w:pageBreakBefore w:val="0"/>
        <w:widowControl/>
        <w:kinsoku/>
        <w:wordWrap/>
        <w:overflowPunct/>
        <w:topLinePunct w:val="0"/>
        <w:autoSpaceDE/>
        <w:autoSpaceDN/>
        <w:bidi w:val="0"/>
        <w:spacing w:line="560" w:lineRule="exact"/>
        <w:ind w:firstLine="640"/>
        <w:jc w:val="center"/>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第二部分 </w:t>
      </w:r>
      <w:r>
        <w:rPr>
          <w:rFonts w:hint="eastAsia" w:ascii="黑体" w:hAnsi="宋体" w:eastAsia="黑体" w:cs="黑体"/>
          <w:color w:val="000000"/>
          <w:sz w:val="32"/>
          <w:szCs w:val="32"/>
          <w:lang w:eastAsia="zh-CN"/>
        </w:rPr>
        <w:t>淮南市八公山区发展和改革委员会</w:t>
      </w:r>
      <w:r>
        <w:rPr>
          <w:rFonts w:hint="eastAsia" w:ascii="黑体" w:hAnsi="宋体" w:eastAsia="黑体" w:cs="黑体"/>
          <w:color w:val="000000"/>
          <w:sz w:val="32"/>
          <w:szCs w:val="32"/>
        </w:rPr>
        <w:t xml:space="preserve">单位2020年度单位决算表 </w:t>
      </w:r>
    </w:p>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一、收入支出决算总表</w:t>
      </w:r>
    </w:p>
    <w:tbl>
      <w:tblPr>
        <w:tblStyle w:val="4"/>
        <w:tblW w:w="0" w:type="auto"/>
        <w:jc w:val="center"/>
        <w:tblLayout w:type="fixed"/>
        <w:tblCellMar>
          <w:top w:w="15" w:type="dxa"/>
          <w:left w:w="108" w:type="dxa"/>
          <w:bottom w:w="15" w:type="dxa"/>
          <w:right w:w="108" w:type="dxa"/>
        </w:tblCellMar>
      </w:tblPr>
      <w:tblGrid>
        <w:gridCol w:w="2615"/>
        <w:gridCol w:w="2063"/>
        <w:gridCol w:w="3562"/>
        <w:gridCol w:w="1495"/>
      </w:tblGrid>
      <w:tr>
        <w:tblPrEx>
          <w:tblCellMar>
            <w:top w:w="15" w:type="dxa"/>
            <w:left w:w="108" w:type="dxa"/>
            <w:bottom w:w="15" w:type="dxa"/>
            <w:right w:w="108" w:type="dxa"/>
          </w:tblCellMar>
        </w:tblPrEx>
        <w:trPr>
          <w:trHeight w:val="285" w:hRule="atLeast"/>
          <w:jc w:val="center"/>
        </w:trPr>
        <w:tc>
          <w:tcPr>
            <w:tcW w:w="2615" w:type="dxa"/>
            <w:noWrap w:val="0"/>
            <w:vAlign w:val="center"/>
          </w:tcPr>
          <w:p>
            <w:pPr>
              <w:pStyle w:val="7"/>
              <w:widowControl/>
              <w:rPr>
                <w:rFonts w:ascii="Arial" w:hAnsi="Arial" w:cs="Arial"/>
                <w:color w:val="000000"/>
                <w:sz w:val="20"/>
                <w:szCs w:val="20"/>
              </w:rPr>
            </w:pPr>
          </w:p>
        </w:tc>
        <w:tc>
          <w:tcPr>
            <w:tcW w:w="2063" w:type="dxa"/>
            <w:noWrap w:val="0"/>
            <w:vAlign w:val="center"/>
          </w:tcPr>
          <w:p>
            <w:pPr>
              <w:pStyle w:val="7"/>
              <w:widowControl/>
              <w:rPr>
                <w:rFonts w:ascii="Arial" w:hAnsi="Arial" w:cs="Arial"/>
                <w:color w:val="000000"/>
                <w:sz w:val="20"/>
                <w:szCs w:val="20"/>
              </w:rPr>
            </w:pPr>
          </w:p>
        </w:tc>
        <w:tc>
          <w:tcPr>
            <w:tcW w:w="5057" w:type="dxa"/>
            <w:gridSpan w:val="2"/>
            <w:noWrap w:val="0"/>
            <w:vAlign w:val="center"/>
          </w:tcPr>
          <w:p>
            <w:pPr>
              <w:pStyle w:val="7"/>
              <w:widowControl/>
              <w:jc w:val="right"/>
              <w:rPr>
                <w:rFonts w:hint="eastAsia" w:ascii="宋体" w:hAnsi="宋体" w:cs="宋体"/>
                <w:color w:val="000000"/>
                <w:sz w:val="20"/>
                <w:szCs w:val="20"/>
              </w:rPr>
            </w:pPr>
            <w:r>
              <w:rPr>
                <w:rFonts w:hint="eastAsia" w:ascii="宋体" w:hAnsi="宋体" w:cs="宋体"/>
                <w:color w:val="000000"/>
                <w:sz w:val="20"/>
                <w:szCs w:val="20"/>
              </w:rPr>
              <w:t>公开01表</w:t>
            </w:r>
          </w:p>
        </w:tc>
      </w:tr>
      <w:tr>
        <w:tblPrEx>
          <w:tblCellMar>
            <w:top w:w="15" w:type="dxa"/>
            <w:left w:w="108" w:type="dxa"/>
            <w:bottom w:w="15" w:type="dxa"/>
            <w:right w:w="108" w:type="dxa"/>
          </w:tblCellMar>
        </w:tblPrEx>
        <w:trPr>
          <w:trHeight w:val="300" w:hRule="atLeast"/>
          <w:jc w:val="center"/>
        </w:trPr>
        <w:tc>
          <w:tcPr>
            <w:tcW w:w="9735" w:type="dxa"/>
            <w:gridSpan w:val="4"/>
            <w:tcBorders>
              <w:bottom w:val="single" w:color="000000" w:sz="4" w:space="0"/>
            </w:tcBorders>
            <w:noWrap w:val="0"/>
            <w:vAlign w:val="bottom"/>
          </w:tcPr>
          <w:p>
            <w:pPr>
              <w:pStyle w:val="7"/>
              <w:widowControl/>
              <w:jc w:val="left"/>
              <w:rPr>
                <w:rFonts w:hint="eastAsia" w:ascii="宋体" w:hAnsi="宋体" w:cs="宋体"/>
                <w:color w:val="000000"/>
                <w:sz w:val="24"/>
                <w:szCs w:val="24"/>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淮南市八公山区发展改革和委员会</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cantSplit/>
          <w:trHeight w:val="136"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5057" w:type="dxa"/>
            <w:gridSpan w:val="2"/>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支出</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金额</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495"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1</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495"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ascii="Times New Roman" w:hAnsi="Times New Roman" w:cs="Times New Roman"/>
                <w:color w:val="000000"/>
                <w:sz w:val="32"/>
                <w:szCs w:val="32"/>
              </w:rPr>
            </w:pPr>
            <w:r>
              <w:rPr>
                <w:rFonts w:hint="eastAsia" w:ascii="宋体" w:hAnsi="宋体" w:cs="宋体"/>
                <w:color w:val="000000"/>
                <w:sz w:val="22"/>
                <w:szCs w:val="22"/>
              </w:rPr>
              <w:t>2</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843.64</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32"/>
                <w:szCs w:val="32"/>
                <w:lang w:val="en-US" w:eastAsia="zh-CN"/>
              </w:rPr>
            </w:pPr>
            <w:r>
              <w:rPr>
                <w:rFonts w:hint="eastAsia" w:ascii="宋体" w:hAnsi="宋体" w:eastAsia="宋体" w:cs="宋体"/>
                <w:i w:val="0"/>
                <w:iCs w:val="0"/>
                <w:color w:val="000000"/>
                <w:kern w:val="0"/>
                <w:sz w:val="22"/>
                <w:szCs w:val="22"/>
                <w:u w:val="none"/>
                <w:lang w:val="en-US" w:eastAsia="zh-CN" w:bidi="ar"/>
              </w:rPr>
              <w:t>245.56</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2.51</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四、上级补助收入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五、事业收入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六、经营收入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七、附属单位上缴收入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八、其他收入</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4.97</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1.12</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25.06</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34.05</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263.67</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268.54</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3.17</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0"/>
                <w:szCs w:val="20"/>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0"/>
                <w:szCs w:val="20"/>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二十二、灾害防治及应急管理支出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二十三、其他支出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b/>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b/>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b/>
                <w:color w:val="000000"/>
                <w:sz w:val="22"/>
                <w:szCs w:val="22"/>
              </w:rPr>
            </w:pPr>
            <w:r>
              <w:rPr>
                <w:rFonts w:hint="eastAsia" w:ascii="宋体" w:hAnsi="宋体" w:cs="宋体"/>
                <w:color w:val="000000"/>
                <w:sz w:val="22"/>
                <w:szCs w:val="22"/>
              </w:rPr>
              <w:t>二十五、债务付息支出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4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b/>
                <w:color w:val="000000"/>
                <w:sz w:val="22"/>
                <w:szCs w:val="22"/>
              </w:rPr>
              <w:t>本年收入合计</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846.15</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495"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846.15</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 xml:space="preserve">    使用非财政拨款结余</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0.00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r>
              <w:rPr>
                <w:rFonts w:hint="eastAsia" w:ascii="宋体" w:hAnsi="宋体" w:cs="宋体"/>
                <w:color w:val="000000"/>
                <w:sz w:val="22"/>
                <w:szCs w:val="22"/>
              </w:rPr>
              <w:t>结余分配</w:t>
            </w:r>
          </w:p>
        </w:tc>
        <w:tc>
          <w:tcPr>
            <w:tcW w:w="1495"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cantSplit/>
          <w:trHeight w:val="136" w:hRule="atLeast"/>
          <w:jc w:val="center"/>
        </w:trPr>
        <w:tc>
          <w:tcPr>
            <w:tcW w:w="2615"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b/>
                <w:color w:val="000000"/>
                <w:sz w:val="22"/>
                <w:szCs w:val="22"/>
              </w:rPr>
            </w:pPr>
            <w:r>
              <w:rPr>
                <w:rFonts w:hint="eastAsia" w:ascii="宋体" w:hAnsi="宋体" w:cs="宋体"/>
                <w:color w:val="000000"/>
                <w:sz w:val="22"/>
                <w:szCs w:val="22"/>
              </w:rPr>
              <w:t xml:space="preserve">    年初结转和结余</w:t>
            </w:r>
          </w:p>
        </w:tc>
        <w:tc>
          <w:tcPr>
            <w:tcW w:w="2063"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0.00</w:t>
            </w:r>
          </w:p>
        </w:tc>
        <w:tc>
          <w:tcPr>
            <w:tcW w:w="3562"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b/>
                <w:color w:val="000000"/>
                <w:sz w:val="22"/>
                <w:szCs w:val="22"/>
              </w:rPr>
            </w:pPr>
            <w:r>
              <w:rPr>
                <w:rFonts w:hint="eastAsia" w:ascii="宋体" w:hAnsi="宋体" w:cs="宋体"/>
                <w:color w:val="000000"/>
                <w:sz w:val="22"/>
                <w:szCs w:val="22"/>
              </w:rPr>
              <w:t>年末结转和结余</w:t>
            </w:r>
          </w:p>
        </w:tc>
        <w:tc>
          <w:tcPr>
            <w:tcW w:w="1495"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0.00</w:t>
            </w:r>
          </w:p>
        </w:tc>
      </w:tr>
    </w:tbl>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宋体" w:hAnsi="宋体" w:cs="宋体"/>
          <w:color w:val="000000"/>
          <w:sz w:val="20"/>
          <w:szCs w:val="20"/>
        </w:rPr>
      </w:pPr>
      <w:r>
        <w:rPr>
          <w:rFonts w:hint="eastAsia" w:ascii="黑体" w:hAnsi="宋体" w:eastAsia="黑体" w:cs="黑体"/>
          <w:color w:val="000000"/>
          <w:sz w:val="32"/>
          <w:szCs w:val="32"/>
        </w:rPr>
        <w:t xml:space="preserve">二、收入决算表                                             </w:t>
      </w:r>
    </w:p>
    <w:tbl>
      <w:tblPr>
        <w:tblStyle w:val="4"/>
        <w:tblW w:w="0" w:type="auto"/>
        <w:jc w:val="center"/>
        <w:tblLayout w:type="fixed"/>
        <w:tblCellMar>
          <w:top w:w="15" w:type="dxa"/>
          <w:left w:w="108" w:type="dxa"/>
          <w:bottom w:w="15" w:type="dxa"/>
          <w:right w:w="108" w:type="dxa"/>
        </w:tblCellMar>
      </w:tblPr>
      <w:tblGrid>
        <w:gridCol w:w="422"/>
        <w:gridCol w:w="422"/>
        <w:gridCol w:w="423"/>
        <w:gridCol w:w="1252"/>
        <w:gridCol w:w="939"/>
        <w:gridCol w:w="939"/>
        <w:gridCol w:w="939"/>
        <w:gridCol w:w="939"/>
        <w:gridCol w:w="882"/>
        <w:gridCol w:w="478"/>
        <w:gridCol w:w="518"/>
        <w:gridCol w:w="792"/>
        <w:gridCol w:w="773"/>
      </w:tblGrid>
      <w:tr>
        <w:tblPrEx>
          <w:tblCellMar>
            <w:top w:w="15" w:type="dxa"/>
            <w:left w:w="108" w:type="dxa"/>
            <w:bottom w:w="15" w:type="dxa"/>
            <w:right w:w="108" w:type="dxa"/>
          </w:tblCellMar>
        </w:tblPrEx>
        <w:trPr>
          <w:trHeight w:val="300" w:hRule="atLeast"/>
          <w:jc w:val="center"/>
        </w:trPr>
        <w:tc>
          <w:tcPr>
            <w:tcW w:w="2519" w:type="dxa"/>
            <w:gridSpan w:val="4"/>
            <w:noWrap w:val="0"/>
            <w:vAlign w:val="bottom"/>
          </w:tcPr>
          <w:p>
            <w:pPr>
              <w:pStyle w:val="7"/>
              <w:widowControl/>
              <w:jc w:val="left"/>
              <w:rPr>
                <w:rFonts w:hint="eastAsia" w:ascii="宋体" w:hAnsi="宋体" w:cs="宋体"/>
                <w:color w:val="000000"/>
                <w:sz w:val="20"/>
                <w:szCs w:val="20"/>
              </w:rPr>
            </w:pPr>
          </w:p>
        </w:tc>
        <w:tc>
          <w:tcPr>
            <w:tcW w:w="939" w:type="dxa"/>
            <w:noWrap w:val="0"/>
            <w:vAlign w:val="bottom"/>
          </w:tcPr>
          <w:p>
            <w:pPr>
              <w:pStyle w:val="7"/>
              <w:widowControl/>
              <w:jc w:val="left"/>
              <w:rPr>
                <w:rFonts w:ascii="Arial" w:hAnsi="Arial" w:cs="Arial"/>
                <w:color w:val="000000"/>
                <w:sz w:val="20"/>
                <w:szCs w:val="20"/>
              </w:rPr>
            </w:pPr>
          </w:p>
        </w:tc>
        <w:tc>
          <w:tcPr>
            <w:tcW w:w="939" w:type="dxa"/>
            <w:noWrap w:val="0"/>
            <w:vAlign w:val="bottom"/>
          </w:tcPr>
          <w:p>
            <w:pPr>
              <w:pStyle w:val="7"/>
              <w:widowControl/>
              <w:jc w:val="left"/>
              <w:rPr>
                <w:rFonts w:ascii="Arial" w:hAnsi="Arial" w:cs="Arial"/>
                <w:color w:val="000000"/>
                <w:sz w:val="20"/>
                <w:szCs w:val="20"/>
              </w:rPr>
            </w:pPr>
          </w:p>
        </w:tc>
        <w:tc>
          <w:tcPr>
            <w:tcW w:w="939" w:type="dxa"/>
            <w:noWrap w:val="0"/>
            <w:vAlign w:val="bottom"/>
          </w:tcPr>
          <w:p>
            <w:pPr>
              <w:pStyle w:val="7"/>
              <w:widowControl/>
              <w:jc w:val="center"/>
              <w:rPr>
                <w:rFonts w:hint="eastAsia" w:ascii="宋体" w:hAnsi="宋体" w:cs="宋体"/>
                <w:color w:val="000000"/>
                <w:sz w:val="20"/>
                <w:szCs w:val="20"/>
              </w:rPr>
            </w:pPr>
          </w:p>
        </w:tc>
        <w:tc>
          <w:tcPr>
            <w:tcW w:w="939" w:type="dxa"/>
            <w:noWrap w:val="0"/>
            <w:vAlign w:val="bottom"/>
          </w:tcPr>
          <w:p>
            <w:pPr>
              <w:pStyle w:val="7"/>
              <w:widowControl/>
              <w:jc w:val="left"/>
              <w:rPr>
                <w:rFonts w:ascii="Arial" w:hAnsi="Arial" w:cs="Arial"/>
                <w:color w:val="000000"/>
                <w:sz w:val="20"/>
                <w:szCs w:val="20"/>
              </w:rPr>
            </w:pPr>
          </w:p>
        </w:tc>
        <w:tc>
          <w:tcPr>
            <w:tcW w:w="1360" w:type="dxa"/>
            <w:gridSpan w:val="2"/>
            <w:noWrap w:val="0"/>
            <w:vAlign w:val="bottom"/>
          </w:tcPr>
          <w:p>
            <w:pPr>
              <w:pStyle w:val="7"/>
              <w:widowControl/>
              <w:wordWrap w:val="0"/>
              <w:jc w:val="right"/>
              <w:rPr>
                <w:rFonts w:hint="eastAsia" w:ascii="宋体" w:hAnsi="宋体" w:cs="宋体"/>
                <w:color w:val="000000"/>
                <w:sz w:val="20"/>
                <w:szCs w:val="20"/>
              </w:rPr>
            </w:pPr>
            <w:r>
              <w:rPr>
                <w:rFonts w:hint="eastAsia" w:ascii="宋体" w:hAnsi="宋体" w:cs="宋体"/>
                <w:color w:val="000000"/>
                <w:sz w:val="20"/>
                <w:szCs w:val="20"/>
              </w:rPr>
              <w:t> </w:t>
            </w:r>
          </w:p>
        </w:tc>
        <w:tc>
          <w:tcPr>
            <w:tcW w:w="2083" w:type="dxa"/>
            <w:gridSpan w:val="3"/>
            <w:noWrap w:val="0"/>
            <w:vAlign w:val="top"/>
          </w:tcPr>
          <w:p>
            <w:pPr>
              <w:pStyle w:val="7"/>
              <w:widowControl/>
              <w:ind w:right="97" w:firstLine="500"/>
              <w:rPr>
                <w:rFonts w:hint="eastAsia" w:ascii="宋体" w:hAnsi="宋体" w:cs="宋体"/>
                <w:color w:val="000000"/>
                <w:sz w:val="20"/>
                <w:szCs w:val="20"/>
              </w:rPr>
            </w:pPr>
            <w:r>
              <w:rPr>
                <w:rFonts w:hint="eastAsia" w:ascii="宋体" w:hAnsi="宋体" w:cs="宋体"/>
                <w:color w:val="000000"/>
                <w:sz w:val="20"/>
                <w:szCs w:val="20"/>
              </w:rPr>
              <w:t>公开02表</w:t>
            </w:r>
          </w:p>
        </w:tc>
      </w:tr>
      <w:tr>
        <w:tblPrEx>
          <w:tblCellMar>
            <w:top w:w="15" w:type="dxa"/>
            <w:left w:w="108" w:type="dxa"/>
            <w:bottom w:w="15" w:type="dxa"/>
            <w:right w:w="108" w:type="dxa"/>
          </w:tblCellMar>
        </w:tblPrEx>
        <w:trPr>
          <w:trHeight w:val="300" w:hRule="atLeast"/>
          <w:jc w:val="center"/>
        </w:trPr>
        <w:tc>
          <w:tcPr>
            <w:tcW w:w="9718" w:type="dxa"/>
            <w:gridSpan w:val="13"/>
            <w:noWrap w:val="0"/>
            <w:vAlign w:val="bottom"/>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淮南市八公山区发展和改革委员会</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264" w:hRule="atLeast"/>
          <w:jc w:val="center"/>
        </w:trPr>
        <w:tc>
          <w:tcPr>
            <w:tcW w:w="25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本年收入合计</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财政拨款收入</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上级补助收入</w:t>
            </w:r>
          </w:p>
        </w:tc>
        <w:tc>
          <w:tcPr>
            <w:tcW w:w="1821" w:type="dxa"/>
            <w:gridSpan w:val="2"/>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事业收入</w:t>
            </w:r>
          </w:p>
        </w:tc>
        <w:tc>
          <w:tcPr>
            <w:tcW w:w="996" w:type="dxa"/>
            <w:gridSpan w:val="2"/>
            <w:vMerge w:val="restart"/>
            <w:tcBorders>
              <w:top w:val="single" w:color="000000" w:sz="4" w:space="0"/>
              <w:left w:val="nil"/>
              <w:bottom w:val="single" w:color="000000" w:sz="4" w:space="0"/>
              <w:right w:val="single" w:color="000000" w:sz="4" w:space="0"/>
            </w:tcBorders>
            <w:noWrap w:val="0"/>
            <w:vAlign w:val="top"/>
          </w:tcPr>
          <w:p>
            <w:pPr>
              <w:pStyle w:val="7"/>
              <w:widowControl/>
              <w:rPr>
                <w:rFonts w:hint="eastAsia" w:ascii="宋体" w:hAnsi="宋体" w:cs="宋体"/>
                <w:color w:val="000000"/>
                <w:sz w:val="22"/>
                <w:szCs w:val="22"/>
              </w:rPr>
            </w:pPr>
          </w:p>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经营</w:t>
            </w:r>
          </w:p>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792"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附属单位上缴收入</w:t>
            </w:r>
          </w:p>
        </w:tc>
        <w:tc>
          <w:tcPr>
            <w:tcW w:w="773"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其他</w:t>
            </w:r>
          </w:p>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r>
      <w:tr>
        <w:tblPrEx>
          <w:tblCellMar>
            <w:top w:w="15" w:type="dxa"/>
            <w:left w:w="108" w:type="dxa"/>
            <w:bottom w:w="15" w:type="dxa"/>
            <w:right w:w="108" w:type="dxa"/>
          </w:tblCellMar>
        </w:tblPrEx>
        <w:trPr>
          <w:trHeight w:val="569" w:hRule="atLeast"/>
          <w:jc w:val="center"/>
        </w:trPr>
        <w:tc>
          <w:tcPr>
            <w:tcW w:w="1267" w:type="dxa"/>
            <w:gridSpan w:val="3"/>
            <w:vMerge w:val="restart"/>
            <w:tcBorders>
              <w:top w:val="nil"/>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252"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821" w:type="dxa"/>
            <w:gridSpan w:val="2"/>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96" w:type="dxa"/>
            <w:gridSpan w:val="2"/>
            <w:vMerge w:val="continue"/>
            <w:tcBorders>
              <w:top w:val="single" w:color="000000" w:sz="4" w:space="0"/>
              <w:left w:val="nil"/>
              <w:bottom w:val="single" w:color="000000" w:sz="4" w:space="0"/>
              <w:right w:val="single" w:color="000000" w:sz="4" w:space="0"/>
            </w:tcBorders>
            <w:noWrap w:val="0"/>
            <w:vAlign w:val="top"/>
          </w:tcPr>
          <w:p>
            <w:pPr>
              <w:rPr>
                <w:sz w:val="20"/>
                <w:szCs w:val="20"/>
              </w:rPr>
            </w:pPr>
          </w:p>
        </w:tc>
        <w:tc>
          <w:tcPr>
            <w:tcW w:w="792"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773"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1487" w:hRule="atLeast"/>
          <w:jc w:val="center"/>
        </w:trPr>
        <w:tc>
          <w:tcPr>
            <w:tcW w:w="1267"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252" w:type="dxa"/>
            <w:vMerge w:val="continue"/>
            <w:tcBorders>
              <w:top w:val="nil"/>
              <w:left w:val="nil"/>
              <w:bottom w:val="single" w:color="000000" w:sz="4" w:space="0"/>
              <w:right w:val="single" w:color="000000" w:sz="4" w:space="0"/>
            </w:tcBorders>
            <w:noWrap w:val="0"/>
            <w:vAlign w:val="center"/>
          </w:tcPr>
          <w:p>
            <w:pPr>
              <w:rPr>
                <w:sz w:val="20"/>
                <w:szCs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939"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r>
              <w:rPr>
                <w:rFonts w:hint="eastAsia" w:ascii="宋体" w:hAnsi="宋体" w:cs="宋体"/>
                <w:color w:val="000000"/>
                <w:sz w:val="22"/>
                <w:szCs w:val="22"/>
              </w:rPr>
              <w:t>小计</w:t>
            </w:r>
          </w:p>
        </w:tc>
        <w:tc>
          <w:tcPr>
            <w:tcW w:w="882" w:type="dxa"/>
            <w:tcBorders>
              <w:top w:val="single" w:color="000000" w:sz="4" w:space="0"/>
              <w:left w:val="nil"/>
              <w:bottom w:val="single" w:color="000000" w:sz="4" w:space="0"/>
              <w:right w:val="single" w:color="000000" w:sz="4" w:space="0"/>
            </w:tcBorders>
            <w:noWrap w:val="0"/>
            <w:vAlign w:val="top"/>
          </w:tcPr>
          <w:p>
            <w:pPr>
              <w:pStyle w:val="7"/>
              <w:widowControl/>
              <w:rPr>
                <w:rFonts w:hint="eastAsia" w:ascii="宋体" w:hAnsi="宋体" w:cs="宋体"/>
                <w:color w:val="000000"/>
                <w:sz w:val="22"/>
                <w:szCs w:val="22"/>
              </w:rPr>
            </w:pPr>
            <w:r>
              <w:rPr>
                <w:rFonts w:hint="eastAsia" w:ascii="宋体" w:hAnsi="宋体" w:cs="宋体"/>
                <w:color w:val="000000"/>
                <w:sz w:val="22"/>
                <w:szCs w:val="22"/>
              </w:rPr>
              <w:t>其中：教育</w:t>
            </w:r>
          </w:p>
          <w:p>
            <w:pPr>
              <w:pStyle w:val="7"/>
              <w:widowControl/>
              <w:rPr>
                <w:rFonts w:hint="eastAsia" w:ascii="宋体" w:hAnsi="宋体" w:cs="宋体"/>
                <w:color w:val="000000"/>
                <w:sz w:val="22"/>
                <w:szCs w:val="22"/>
              </w:rPr>
            </w:pPr>
            <w:r>
              <w:rPr>
                <w:rFonts w:hint="eastAsia" w:ascii="宋体" w:hAnsi="宋体" w:cs="宋体"/>
                <w:color w:val="000000"/>
                <w:sz w:val="22"/>
                <w:szCs w:val="22"/>
              </w:rPr>
              <w:t>收费</w:t>
            </w:r>
          </w:p>
        </w:tc>
        <w:tc>
          <w:tcPr>
            <w:tcW w:w="996" w:type="dxa"/>
            <w:gridSpan w:val="2"/>
            <w:vMerge w:val="continue"/>
            <w:tcBorders>
              <w:top w:val="single" w:color="000000" w:sz="4" w:space="0"/>
              <w:left w:val="nil"/>
              <w:bottom w:val="single" w:color="000000" w:sz="4" w:space="0"/>
              <w:right w:val="single" w:color="000000" w:sz="4" w:space="0"/>
            </w:tcBorders>
            <w:noWrap w:val="0"/>
            <w:vAlign w:val="top"/>
          </w:tcPr>
          <w:p>
            <w:pPr>
              <w:rPr>
                <w:sz w:val="20"/>
                <w:szCs w:val="20"/>
              </w:rPr>
            </w:pPr>
          </w:p>
        </w:tc>
        <w:tc>
          <w:tcPr>
            <w:tcW w:w="792"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773"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450" w:hRule="atLeast"/>
          <w:jc w:val="center"/>
        </w:trPr>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w:t>
            </w:r>
          </w:p>
        </w:tc>
        <w:tc>
          <w:tcPr>
            <w:tcW w:w="4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款</w:t>
            </w:r>
          </w:p>
        </w:tc>
        <w:tc>
          <w:tcPr>
            <w:tcW w:w="42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tblPrEx>
          <w:tblCellMar>
            <w:top w:w="15" w:type="dxa"/>
            <w:left w:w="108" w:type="dxa"/>
            <w:bottom w:w="15" w:type="dxa"/>
            <w:right w:w="108" w:type="dxa"/>
          </w:tblCellMar>
        </w:tblPrEx>
        <w:trPr>
          <w:trHeight w:val="450" w:hRule="atLeast"/>
          <w:jc w:val="center"/>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245.56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245.56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发展与改革事务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其他节能环保支出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2119901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2130135</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服务业基础设施建设</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三、支出决算表</w:t>
      </w:r>
    </w:p>
    <w:tbl>
      <w:tblPr>
        <w:tblStyle w:val="4"/>
        <w:tblW w:w="0" w:type="auto"/>
        <w:jc w:val="center"/>
        <w:tblLayout w:type="fixed"/>
        <w:tblCellMar>
          <w:top w:w="15" w:type="dxa"/>
          <w:left w:w="108" w:type="dxa"/>
          <w:bottom w:w="15" w:type="dxa"/>
          <w:right w:w="108" w:type="dxa"/>
        </w:tblCellMar>
      </w:tblPr>
      <w:tblGrid>
        <w:gridCol w:w="685"/>
        <w:gridCol w:w="922"/>
        <w:gridCol w:w="922"/>
        <w:gridCol w:w="1273"/>
        <w:gridCol w:w="964"/>
        <w:gridCol w:w="936"/>
        <w:gridCol w:w="993"/>
        <w:gridCol w:w="823"/>
        <w:gridCol w:w="950"/>
        <w:gridCol w:w="952"/>
      </w:tblGrid>
      <w:tr>
        <w:tblPrEx>
          <w:tblCellMar>
            <w:top w:w="15" w:type="dxa"/>
            <w:left w:w="108" w:type="dxa"/>
            <w:bottom w:w="15" w:type="dxa"/>
            <w:right w:w="108" w:type="dxa"/>
          </w:tblCellMar>
        </w:tblPrEx>
        <w:trPr>
          <w:trHeight w:val="285" w:hRule="atLeast"/>
          <w:jc w:val="center"/>
        </w:trPr>
        <w:tc>
          <w:tcPr>
            <w:tcW w:w="685" w:type="dxa"/>
            <w:noWrap w:val="0"/>
            <w:vAlign w:val="bottom"/>
          </w:tcPr>
          <w:p>
            <w:pPr>
              <w:pStyle w:val="7"/>
              <w:widowControl/>
              <w:jc w:val="left"/>
              <w:rPr>
                <w:rFonts w:ascii="Arial" w:hAnsi="Arial" w:cs="Arial"/>
                <w:color w:val="000000"/>
                <w:sz w:val="20"/>
                <w:szCs w:val="20"/>
              </w:rPr>
            </w:pPr>
          </w:p>
        </w:tc>
        <w:tc>
          <w:tcPr>
            <w:tcW w:w="922" w:type="dxa"/>
            <w:noWrap w:val="0"/>
            <w:vAlign w:val="bottom"/>
          </w:tcPr>
          <w:p>
            <w:pPr>
              <w:pStyle w:val="7"/>
              <w:widowControl/>
              <w:jc w:val="left"/>
              <w:rPr>
                <w:rFonts w:ascii="Arial" w:hAnsi="Arial" w:cs="Arial"/>
                <w:color w:val="000000"/>
                <w:sz w:val="20"/>
                <w:szCs w:val="20"/>
              </w:rPr>
            </w:pPr>
          </w:p>
        </w:tc>
        <w:tc>
          <w:tcPr>
            <w:tcW w:w="922" w:type="dxa"/>
            <w:noWrap w:val="0"/>
            <w:vAlign w:val="bottom"/>
          </w:tcPr>
          <w:p>
            <w:pPr>
              <w:pStyle w:val="7"/>
              <w:widowControl/>
              <w:jc w:val="left"/>
              <w:rPr>
                <w:rFonts w:ascii="Arial" w:hAnsi="Arial" w:cs="Arial"/>
                <w:color w:val="000000"/>
                <w:sz w:val="20"/>
                <w:szCs w:val="20"/>
              </w:rPr>
            </w:pPr>
          </w:p>
        </w:tc>
        <w:tc>
          <w:tcPr>
            <w:tcW w:w="1273" w:type="dxa"/>
            <w:noWrap w:val="0"/>
            <w:vAlign w:val="bottom"/>
          </w:tcPr>
          <w:p>
            <w:pPr>
              <w:pStyle w:val="7"/>
              <w:widowControl/>
              <w:jc w:val="left"/>
              <w:rPr>
                <w:rFonts w:ascii="Arial" w:hAnsi="Arial" w:cs="Arial"/>
                <w:color w:val="000000"/>
                <w:sz w:val="20"/>
                <w:szCs w:val="20"/>
              </w:rPr>
            </w:pPr>
          </w:p>
        </w:tc>
        <w:tc>
          <w:tcPr>
            <w:tcW w:w="964" w:type="dxa"/>
            <w:noWrap w:val="0"/>
            <w:vAlign w:val="bottom"/>
          </w:tcPr>
          <w:p>
            <w:pPr>
              <w:pStyle w:val="7"/>
              <w:widowControl/>
              <w:jc w:val="left"/>
              <w:rPr>
                <w:rFonts w:ascii="Arial" w:hAnsi="Arial" w:cs="Arial"/>
                <w:color w:val="000000"/>
                <w:sz w:val="20"/>
                <w:szCs w:val="20"/>
              </w:rPr>
            </w:pPr>
          </w:p>
        </w:tc>
        <w:tc>
          <w:tcPr>
            <w:tcW w:w="936" w:type="dxa"/>
            <w:noWrap w:val="0"/>
            <w:vAlign w:val="bottom"/>
          </w:tcPr>
          <w:p>
            <w:pPr>
              <w:pStyle w:val="7"/>
              <w:widowControl/>
              <w:jc w:val="left"/>
              <w:rPr>
                <w:rFonts w:ascii="Arial" w:hAnsi="Arial" w:cs="Arial"/>
                <w:color w:val="000000"/>
                <w:sz w:val="20"/>
                <w:szCs w:val="20"/>
              </w:rPr>
            </w:pPr>
          </w:p>
        </w:tc>
        <w:tc>
          <w:tcPr>
            <w:tcW w:w="993" w:type="dxa"/>
            <w:noWrap w:val="0"/>
            <w:vAlign w:val="bottom"/>
          </w:tcPr>
          <w:p>
            <w:pPr>
              <w:pStyle w:val="7"/>
              <w:widowControl/>
              <w:jc w:val="left"/>
              <w:rPr>
                <w:rFonts w:ascii="Arial" w:hAnsi="Arial" w:cs="Arial"/>
                <w:color w:val="000000"/>
                <w:sz w:val="20"/>
                <w:szCs w:val="20"/>
              </w:rPr>
            </w:pPr>
          </w:p>
        </w:tc>
        <w:tc>
          <w:tcPr>
            <w:tcW w:w="823" w:type="dxa"/>
            <w:noWrap w:val="0"/>
            <w:vAlign w:val="bottom"/>
          </w:tcPr>
          <w:p>
            <w:pPr>
              <w:pStyle w:val="7"/>
              <w:widowControl/>
              <w:jc w:val="left"/>
              <w:rPr>
                <w:rFonts w:ascii="Arial" w:hAnsi="Arial" w:cs="Arial"/>
                <w:color w:val="000000"/>
                <w:sz w:val="20"/>
                <w:szCs w:val="20"/>
              </w:rPr>
            </w:pPr>
          </w:p>
        </w:tc>
        <w:tc>
          <w:tcPr>
            <w:tcW w:w="1902" w:type="dxa"/>
            <w:gridSpan w:val="2"/>
            <w:noWrap w:val="0"/>
            <w:vAlign w:val="bottom"/>
          </w:tcPr>
          <w:p>
            <w:pPr>
              <w:pStyle w:val="7"/>
              <w:widowControl/>
              <w:jc w:val="right"/>
              <w:rPr>
                <w:rFonts w:hint="eastAsia" w:ascii="宋体" w:hAnsi="宋体" w:cs="宋体"/>
                <w:color w:val="000000"/>
                <w:sz w:val="20"/>
                <w:szCs w:val="20"/>
              </w:rPr>
            </w:pPr>
            <w:r>
              <w:rPr>
                <w:rFonts w:hint="eastAsia" w:ascii="宋体" w:hAnsi="宋体" w:cs="宋体"/>
                <w:color w:val="000000"/>
                <w:sz w:val="20"/>
                <w:szCs w:val="20"/>
              </w:rPr>
              <w:t>公开03表</w:t>
            </w:r>
          </w:p>
        </w:tc>
      </w:tr>
      <w:tr>
        <w:tblPrEx>
          <w:tblCellMar>
            <w:top w:w="15" w:type="dxa"/>
            <w:left w:w="108" w:type="dxa"/>
            <w:bottom w:w="15" w:type="dxa"/>
            <w:right w:w="108" w:type="dxa"/>
          </w:tblCellMar>
        </w:tblPrEx>
        <w:trPr>
          <w:trHeight w:val="300" w:hRule="atLeast"/>
          <w:jc w:val="center"/>
        </w:trPr>
        <w:tc>
          <w:tcPr>
            <w:tcW w:w="9420" w:type="dxa"/>
            <w:gridSpan w:val="10"/>
            <w:tcBorders>
              <w:bottom w:val="single" w:color="000000" w:sz="4" w:space="0"/>
            </w:tcBorders>
            <w:noWrap w:val="0"/>
            <w:vAlign w:val="bottom"/>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淮南市八公山区发展和改革委员会</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38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64"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本年支出合计</w:t>
            </w:r>
          </w:p>
        </w:tc>
        <w:tc>
          <w:tcPr>
            <w:tcW w:w="936"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993"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823"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上缴上级支出</w:t>
            </w:r>
          </w:p>
        </w:tc>
        <w:tc>
          <w:tcPr>
            <w:tcW w:w="950"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经营支出</w:t>
            </w:r>
          </w:p>
        </w:tc>
        <w:tc>
          <w:tcPr>
            <w:tcW w:w="952"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对附属单位补助支出</w:t>
            </w:r>
          </w:p>
        </w:tc>
      </w:tr>
      <w:tr>
        <w:tblPrEx>
          <w:tblCellMar>
            <w:top w:w="15" w:type="dxa"/>
            <w:left w:w="108" w:type="dxa"/>
            <w:bottom w:w="15" w:type="dxa"/>
            <w:right w:w="108" w:type="dxa"/>
          </w:tblCellMar>
        </w:tblPrEx>
        <w:trPr>
          <w:trHeight w:val="975"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273"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964" w:type="dxa"/>
            <w:vMerge w:val="continue"/>
            <w:tcBorders>
              <w:top w:val="nil"/>
              <w:left w:val="nil"/>
              <w:bottom w:val="single" w:color="000000" w:sz="4" w:space="0"/>
              <w:right w:val="single" w:color="000000" w:sz="4" w:space="0"/>
            </w:tcBorders>
            <w:noWrap w:val="0"/>
            <w:vAlign w:val="center"/>
          </w:tcPr>
          <w:p>
            <w:pPr>
              <w:rPr>
                <w:sz w:val="20"/>
                <w:szCs w:val="20"/>
              </w:rPr>
            </w:pPr>
          </w:p>
        </w:tc>
        <w:tc>
          <w:tcPr>
            <w:tcW w:w="936" w:type="dxa"/>
            <w:vMerge w:val="continue"/>
            <w:tcBorders>
              <w:top w:val="nil"/>
              <w:left w:val="nil"/>
              <w:bottom w:val="single" w:color="000000" w:sz="4" w:space="0"/>
              <w:right w:val="single" w:color="000000" w:sz="4" w:space="0"/>
            </w:tcBorders>
            <w:noWrap w:val="0"/>
            <w:vAlign w:val="center"/>
          </w:tcPr>
          <w:p>
            <w:pPr>
              <w:rPr>
                <w:sz w:val="20"/>
                <w:szCs w:val="20"/>
              </w:rPr>
            </w:pPr>
          </w:p>
        </w:tc>
        <w:tc>
          <w:tcPr>
            <w:tcW w:w="993" w:type="dxa"/>
            <w:vMerge w:val="continue"/>
            <w:tcBorders>
              <w:top w:val="nil"/>
              <w:left w:val="nil"/>
              <w:bottom w:val="single" w:color="000000" w:sz="4" w:space="0"/>
              <w:right w:val="single" w:color="000000" w:sz="4" w:space="0"/>
            </w:tcBorders>
            <w:noWrap w:val="0"/>
            <w:vAlign w:val="center"/>
          </w:tcPr>
          <w:p>
            <w:pPr>
              <w:rPr>
                <w:sz w:val="20"/>
                <w:szCs w:val="20"/>
              </w:rPr>
            </w:pPr>
          </w:p>
        </w:tc>
        <w:tc>
          <w:tcPr>
            <w:tcW w:w="823" w:type="dxa"/>
            <w:vMerge w:val="continue"/>
            <w:tcBorders>
              <w:top w:val="nil"/>
              <w:left w:val="nil"/>
              <w:bottom w:val="single" w:color="000000" w:sz="4" w:space="0"/>
              <w:right w:val="single" w:color="000000" w:sz="4" w:space="0"/>
            </w:tcBorders>
            <w:noWrap w:val="0"/>
            <w:vAlign w:val="center"/>
          </w:tcPr>
          <w:p>
            <w:pPr>
              <w:rPr>
                <w:sz w:val="20"/>
                <w:szCs w:val="20"/>
              </w:rPr>
            </w:pPr>
          </w:p>
        </w:tc>
        <w:tc>
          <w:tcPr>
            <w:tcW w:w="950" w:type="dxa"/>
            <w:vMerge w:val="continue"/>
            <w:tcBorders>
              <w:top w:val="nil"/>
              <w:left w:val="nil"/>
              <w:bottom w:val="single" w:color="000000" w:sz="4" w:space="0"/>
              <w:right w:val="single" w:color="000000" w:sz="4" w:space="0"/>
            </w:tcBorders>
            <w:noWrap w:val="0"/>
            <w:vAlign w:val="center"/>
          </w:tcPr>
          <w:p>
            <w:pPr>
              <w:rPr>
                <w:sz w:val="20"/>
                <w:szCs w:val="20"/>
              </w:rPr>
            </w:pPr>
          </w:p>
        </w:tc>
        <w:tc>
          <w:tcPr>
            <w:tcW w:w="952" w:type="dxa"/>
            <w:vMerge w:val="continue"/>
            <w:tcBorders>
              <w:top w:val="nil"/>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45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9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9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r>
      <w:tr>
        <w:tblPrEx>
          <w:tblCellMar>
            <w:top w:w="15" w:type="dxa"/>
            <w:left w:w="108" w:type="dxa"/>
            <w:bottom w:w="15" w:type="dxa"/>
            <w:right w:w="108" w:type="dxa"/>
          </w:tblCellMar>
        </w:tblPrEx>
        <w:trPr>
          <w:trHeight w:val="45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846.15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517.42</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328.73</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245.56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245.56</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20104</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发展与改革事务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192.72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192.72</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2010401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45.54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45.54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2010402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78.94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78.94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2010408</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51.01</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2010499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17.23</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17.23</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2.51</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20822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2082201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2.46</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0.93</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0.93</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0.19</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0.19</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5.06</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21103</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污染防治</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5.06</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2110399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5.06</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2119901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34.05</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0.05</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0.05</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2130135</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268.54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8.54</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商业流通事务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2160201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8.54</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服务业基础设施建设</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8.54</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7"/>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四、财政拨款收入支出决算总表</w:t>
      </w:r>
    </w:p>
    <w:tbl>
      <w:tblPr>
        <w:tblStyle w:val="4"/>
        <w:tblW w:w="0" w:type="auto"/>
        <w:jc w:val="center"/>
        <w:tblLayout w:type="fixed"/>
        <w:tblCellMar>
          <w:top w:w="15" w:type="dxa"/>
          <w:left w:w="108" w:type="dxa"/>
          <w:bottom w:w="15" w:type="dxa"/>
          <w:right w:w="108" w:type="dxa"/>
        </w:tblCellMar>
      </w:tblPr>
      <w:tblGrid>
        <w:gridCol w:w="1270"/>
        <w:gridCol w:w="885"/>
        <w:gridCol w:w="299"/>
        <w:gridCol w:w="620"/>
        <w:gridCol w:w="697"/>
        <w:gridCol w:w="762"/>
        <w:gridCol w:w="637"/>
        <w:gridCol w:w="170"/>
        <w:gridCol w:w="980"/>
        <w:gridCol w:w="1113"/>
        <w:gridCol w:w="1362"/>
        <w:gridCol w:w="1000"/>
      </w:tblGrid>
      <w:tr>
        <w:tblPrEx>
          <w:tblCellMar>
            <w:top w:w="15" w:type="dxa"/>
            <w:left w:w="108" w:type="dxa"/>
            <w:bottom w:w="15" w:type="dxa"/>
            <w:right w:w="108" w:type="dxa"/>
          </w:tblCellMar>
        </w:tblPrEx>
        <w:trPr>
          <w:trHeight w:val="285" w:hRule="atLeast"/>
          <w:jc w:val="center"/>
        </w:trPr>
        <w:tc>
          <w:tcPr>
            <w:tcW w:w="2454" w:type="dxa"/>
            <w:gridSpan w:val="3"/>
            <w:noWrap w:val="0"/>
            <w:vAlign w:val="bottom"/>
          </w:tcPr>
          <w:p>
            <w:pPr>
              <w:pStyle w:val="7"/>
              <w:widowControl/>
              <w:jc w:val="left"/>
              <w:rPr>
                <w:rFonts w:ascii="Arial" w:hAnsi="Arial" w:cs="Arial"/>
                <w:color w:val="000000"/>
                <w:sz w:val="20"/>
                <w:szCs w:val="20"/>
              </w:rPr>
            </w:pPr>
          </w:p>
        </w:tc>
        <w:tc>
          <w:tcPr>
            <w:tcW w:w="1317" w:type="dxa"/>
            <w:gridSpan w:val="2"/>
            <w:noWrap w:val="0"/>
            <w:vAlign w:val="bottom"/>
          </w:tcPr>
          <w:p>
            <w:pPr>
              <w:pStyle w:val="7"/>
              <w:widowControl/>
              <w:jc w:val="left"/>
              <w:rPr>
                <w:rFonts w:ascii="Arial" w:hAnsi="Arial" w:cs="Arial"/>
                <w:color w:val="000000"/>
                <w:sz w:val="20"/>
                <w:szCs w:val="20"/>
              </w:rPr>
            </w:pPr>
          </w:p>
        </w:tc>
        <w:tc>
          <w:tcPr>
            <w:tcW w:w="1569" w:type="dxa"/>
            <w:gridSpan w:val="3"/>
            <w:noWrap w:val="0"/>
            <w:vAlign w:val="bottom"/>
          </w:tcPr>
          <w:p>
            <w:pPr>
              <w:pStyle w:val="7"/>
              <w:widowControl/>
              <w:jc w:val="left"/>
              <w:rPr>
                <w:rFonts w:ascii="Arial" w:hAnsi="Arial" w:cs="Arial"/>
                <w:color w:val="000000"/>
                <w:sz w:val="20"/>
                <w:szCs w:val="20"/>
              </w:rPr>
            </w:pPr>
          </w:p>
        </w:tc>
        <w:tc>
          <w:tcPr>
            <w:tcW w:w="4455" w:type="dxa"/>
            <w:gridSpan w:val="4"/>
            <w:noWrap w:val="0"/>
            <w:vAlign w:val="bottom"/>
          </w:tcPr>
          <w:p>
            <w:pPr>
              <w:pStyle w:val="7"/>
              <w:widowControl/>
              <w:jc w:val="right"/>
              <w:rPr>
                <w:rFonts w:hint="eastAsia" w:ascii="宋体" w:hAnsi="宋体" w:cs="宋体"/>
                <w:color w:val="000000"/>
                <w:sz w:val="20"/>
                <w:szCs w:val="20"/>
              </w:rPr>
            </w:pPr>
            <w:r>
              <w:rPr>
                <w:rFonts w:hint="eastAsia" w:ascii="宋体" w:hAnsi="宋体" w:cs="宋体"/>
                <w:color w:val="000000"/>
                <w:sz w:val="20"/>
                <w:szCs w:val="20"/>
              </w:rPr>
              <w:t>公开04表</w:t>
            </w:r>
          </w:p>
        </w:tc>
      </w:tr>
      <w:tr>
        <w:tblPrEx>
          <w:tblCellMar>
            <w:top w:w="15" w:type="dxa"/>
            <w:left w:w="108" w:type="dxa"/>
            <w:bottom w:w="15" w:type="dxa"/>
            <w:right w:w="108" w:type="dxa"/>
          </w:tblCellMar>
        </w:tblPrEx>
        <w:trPr>
          <w:trHeight w:val="270" w:hRule="atLeast"/>
          <w:jc w:val="center"/>
        </w:trPr>
        <w:tc>
          <w:tcPr>
            <w:tcW w:w="9795" w:type="dxa"/>
            <w:gridSpan w:val="12"/>
            <w:tcBorders>
              <w:bottom w:val="single" w:color="000000" w:sz="4" w:space="0"/>
            </w:tcBorders>
            <w:noWrap w:val="0"/>
            <w:vAlign w:val="bottom"/>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淮南市八公山区发展和改革委员会</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300" w:hRule="atLeast"/>
          <w:jc w:val="center"/>
        </w:trPr>
        <w:tc>
          <w:tcPr>
            <w:tcW w:w="30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收     入</w:t>
            </w:r>
          </w:p>
        </w:tc>
        <w:tc>
          <w:tcPr>
            <w:tcW w:w="6721" w:type="dxa"/>
            <w:gridSpan w:val="8"/>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支     出</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金额</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行次</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637"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5</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843.64</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245.56</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245.56</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2.51</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二、外交支出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三、国防支出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4.97</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2.51</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2.46</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25.06</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25.06</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34.05</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0.05</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263.67</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263.67</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268.54</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268.54</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十六、金融支出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3.17</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919" w:type="dxa"/>
            <w:gridSpan w:val="2"/>
            <w:tcBorders>
              <w:top w:val="single" w:color="000000" w:sz="4" w:space="0"/>
              <w:left w:val="nil"/>
              <w:bottom w:val="single" w:color="000000" w:sz="4" w:space="0"/>
              <w:right w:val="single" w:color="000000" w:sz="4" w:space="0"/>
            </w:tcBorders>
            <w:noWrap w:val="0"/>
            <w:vAlign w:val="center"/>
          </w:tcPr>
          <w:p>
            <w:pPr>
              <w:jc w:val="right"/>
              <w:rPr>
                <w:rFonts w:ascii="Times New Roman" w:hAnsi="Times New Roman" w:cs="Times New Roman"/>
                <w:color w:val="000000"/>
                <w:sz w:val="32"/>
                <w:szCs w:val="32"/>
              </w:rPr>
            </w:pP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846.15</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846.15</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843.64</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2.51</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91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846.15</w:t>
            </w:r>
          </w:p>
        </w:tc>
        <w:tc>
          <w:tcPr>
            <w:tcW w:w="1459"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6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115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846.15</w:t>
            </w:r>
          </w:p>
        </w:tc>
        <w:tc>
          <w:tcPr>
            <w:tcW w:w="11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843.64</w:t>
            </w:r>
          </w:p>
        </w:tc>
        <w:tc>
          <w:tcPr>
            <w:tcW w:w="13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2.51</w:t>
            </w:r>
          </w:p>
        </w:tc>
        <w:tc>
          <w:tcPr>
            <w:tcW w:w="10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7"/>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p>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五、一般公共预算财政拨款支出决算表</w:t>
      </w:r>
    </w:p>
    <w:tbl>
      <w:tblPr>
        <w:tblStyle w:val="4"/>
        <w:tblW w:w="0" w:type="auto"/>
        <w:jc w:val="center"/>
        <w:tblLayout w:type="fixed"/>
        <w:tblCellMar>
          <w:top w:w="15" w:type="dxa"/>
          <w:left w:w="108" w:type="dxa"/>
          <w:bottom w:w="15" w:type="dxa"/>
          <w:right w:w="108" w:type="dxa"/>
        </w:tblCellMar>
      </w:tblPr>
      <w:tblGrid>
        <w:gridCol w:w="573"/>
        <w:gridCol w:w="573"/>
        <w:gridCol w:w="574"/>
        <w:gridCol w:w="1425"/>
        <w:gridCol w:w="1878"/>
        <w:gridCol w:w="1878"/>
        <w:gridCol w:w="1878"/>
      </w:tblGrid>
      <w:tr>
        <w:tblPrEx>
          <w:tblCellMar>
            <w:top w:w="15" w:type="dxa"/>
            <w:left w:w="108" w:type="dxa"/>
            <w:bottom w:w="15" w:type="dxa"/>
            <w:right w:w="108" w:type="dxa"/>
          </w:tblCellMar>
        </w:tblPrEx>
        <w:trPr>
          <w:trHeight w:val="360" w:hRule="atLeast"/>
          <w:jc w:val="center"/>
        </w:trPr>
        <w:tc>
          <w:tcPr>
            <w:tcW w:w="8779" w:type="dxa"/>
            <w:gridSpan w:val="7"/>
            <w:noWrap w:val="0"/>
            <w:vAlign w:val="bottom"/>
          </w:tcPr>
          <w:p>
            <w:pPr>
              <w:pStyle w:val="7"/>
              <w:widowControl/>
              <w:ind w:firstLine="7276"/>
              <w:jc w:val="left"/>
              <w:rPr>
                <w:rFonts w:ascii="Arial" w:hAnsi="Arial" w:cs="Arial"/>
                <w:color w:val="000000"/>
                <w:sz w:val="20"/>
                <w:szCs w:val="20"/>
              </w:rPr>
            </w:pPr>
            <w:r>
              <w:rPr>
                <w:rFonts w:hint="eastAsia" w:ascii="宋体" w:hAnsi="宋体" w:cs="宋体"/>
                <w:color w:val="000000"/>
                <w:sz w:val="20"/>
                <w:szCs w:val="20"/>
              </w:rPr>
              <w:t>公开05表</w:t>
            </w:r>
          </w:p>
        </w:tc>
      </w:tr>
      <w:tr>
        <w:tblPrEx>
          <w:tblCellMar>
            <w:top w:w="15" w:type="dxa"/>
            <w:left w:w="108" w:type="dxa"/>
            <w:bottom w:w="15" w:type="dxa"/>
            <w:right w:w="108" w:type="dxa"/>
          </w:tblCellMar>
        </w:tblPrEx>
        <w:trPr>
          <w:trHeight w:val="450" w:hRule="atLeast"/>
          <w:jc w:val="center"/>
        </w:trPr>
        <w:tc>
          <w:tcPr>
            <w:tcW w:w="8779" w:type="dxa"/>
            <w:gridSpan w:val="7"/>
            <w:tcBorders>
              <w:bottom w:val="single" w:color="000000" w:sz="4" w:space="0"/>
            </w:tcBorders>
            <w:noWrap w:val="0"/>
            <w:vAlign w:val="center"/>
          </w:tcPr>
          <w:p>
            <w:pPr>
              <w:pStyle w:val="7"/>
              <w:widowControl/>
              <w:jc w:val="left"/>
              <w:rPr>
                <w:rFonts w:ascii="Arial" w:hAnsi="Arial" w:cs="Arial"/>
                <w:color w:val="000000"/>
                <w:sz w:val="20"/>
                <w:szCs w:val="20"/>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：淮南市八公山区发展和改革委员会</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jc w:val="center"/>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15" w:type="dxa"/>
            <w:left w:w="108" w:type="dxa"/>
            <w:bottom w:w="15" w:type="dxa"/>
            <w:right w:w="108" w:type="dxa"/>
          </w:tblCellMar>
        </w:tblPrEx>
        <w:trPr>
          <w:trHeight w:val="569"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sz w:val="20"/>
                <w:szCs w:val="20"/>
              </w:rPr>
            </w:pPr>
          </w:p>
        </w:tc>
        <w:tc>
          <w:tcPr>
            <w:tcW w:w="18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8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18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15" w:type="dxa"/>
            <w:left w:w="108" w:type="dxa"/>
            <w:bottom w:w="15" w:type="dxa"/>
            <w:right w:w="108" w:type="dxa"/>
          </w:tblCellMar>
        </w:tblPrEx>
        <w:trPr>
          <w:trHeight w:val="569"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nil"/>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870"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nil"/>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878"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673"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5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5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r>
      <w:tr>
        <w:tblPrEx>
          <w:tblCellMar>
            <w:top w:w="15" w:type="dxa"/>
            <w:left w:w="108" w:type="dxa"/>
            <w:bottom w:w="15" w:type="dxa"/>
            <w:right w:w="108" w:type="dxa"/>
          </w:tblCellMar>
        </w:tblPrEx>
        <w:trPr>
          <w:trHeight w:val="634"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843.64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517.42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326.22</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245.56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245.56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发展与改革事务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2010408</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17.23</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商贸事务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2011308</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0.93</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0.93</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其他节能环保支出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2119901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2130135</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263.67</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268.54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服务业基础设施建设</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8.54</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8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pStyle w:val="7"/>
        <w:widowControl/>
        <w:ind w:firstLine="640"/>
        <w:jc w:val="center"/>
        <w:rPr>
          <w:rFonts w:hint="eastAsia" w:ascii="黑体" w:hAnsi="宋体" w:eastAsia="黑体" w:cs="黑体"/>
          <w:color w:val="000000"/>
          <w:sz w:val="32"/>
          <w:szCs w:val="32"/>
        </w:rPr>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rtlGutter w:val="0"/>
          <w:docGrid w:type="linesAndChars" w:linePitch="569" w:charSpace="-1266"/>
        </w:sectPr>
      </w:pPr>
    </w:p>
    <w:p>
      <w:pPr>
        <w:pStyle w:val="7"/>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六、一般公共预算财政拨款基本支出决算表</w:t>
      </w:r>
    </w:p>
    <w:tbl>
      <w:tblPr>
        <w:tblStyle w:val="4"/>
        <w:tblW w:w="0" w:type="auto"/>
        <w:jc w:val="center"/>
        <w:tblLayout w:type="fixed"/>
        <w:tblCellMar>
          <w:top w:w="0" w:type="dxa"/>
          <w:left w:w="108" w:type="dxa"/>
          <w:bottom w:w="0" w:type="dxa"/>
          <w:right w:w="108" w:type="dxa"/>
        </w:tblCellMar>
      </w:tblPr>
      <w:tblGrid>
        <w:gridCol w:w="902"/>
        <w:gridCol w:w="295"/>
        <w:gridCol w:w="877"/>
        <w:gridCol w:w="280"/>
        <w:gridCol w:w="726"/>
        <w:gridCol w:w="1269"/>
        <w:gridCol w:w="423"/>
        <w:gridCol w:w="777"/>
        <w:gridCol w:w="586"/>
        <w:gridCol w:w="296"/>
        <w:gridCol w:w="67"/>
        <w:gridCol w:w="851"/>
        <w:gridCol w:w="968"/>
        <w:gridCol w:w="777"/>
        <w:gridCol w:w="949"/>
        <w:gridCol w:w="401"/>
        <w:gridCol w:w="3193"/>
        <w:gridCol w:w="778"/>
      </w:tblGrid>
      <w:tr>
        <w:tblPrEx>
          <w:tblCellMar>
            <w:top w:w="0" w:type="dxa"/>
            <w:left w:w="108" w:type="dxa"/>
            <w:bottom w:w="0" w:type="dxa"/>
            <w:right w:w="108" w:type="dxa"/>
          </w:tblCellMar>
        </w:tblPrEx>
        <w:trPr>
          <w:gridAfter w:val="2"/>
          <w:wAfter w:w="3971" w:type="dxa"/>
          <w:trHeight w:val="225" w:hRule="atLeast"/>
          <w:jc w:val="center"/>
        </w:trPr>
        <w:tc>
          <w:tcPr>
            <w:tcW w:w="902" w:type="dxa"/>
            <w:tcBorders>
              <w:top w:val="nil"/>
              <w:left w:val="nil"/>
              <w:bottom w:val="nil"/>
              <w:right w:val="nil"/>
            </w:tcBorders>
            <w:shd w:val="clear" w:color="auto" w:fill="FFFFFF"/>
            <w:noWrap w:val="0"/>
            <w:vAlign w:val="center"/>
          </w:tcPr>
          <w:p>
            <w:pPr>
              <w:pStyle w:val="7"/>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1452" w:type="dxa"/>
            <w:gridSpan w:val="3"/>
            <w:tcBorders>
              <w:top w:val="nil"/>
              <w:left w:val="nil"/>
              <w:bottom w:val="nil"/>
              <w:right w:val="nil"/>
            </w:tcBorders>
            <w:shd w:val="clear" w:color="auto" w:fill="FFFFFF"/>
            <w:noWrap w:val="0"/>
            <w:vAlign w:val="center"/>
          </w:tcPr>
          <w:p>
            <w:pPr>
              <w:pStyle w:val="7"/>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726" w:type="dxa"/>
            <w:tcBorders>
              <w:top w:val="nil"/>
              <w:left w:val="nil"/>
              <w:bottom w:val="nil"/>
              <w:right w:val="nil"/>
            </w:tcBorders>
            <w:shd w:val="clear" w:color="auto" w:fill="FFFFFF"/>
            <w:noWrap w:val="0"/>
            <w:vAlign w:val="center"/>
          </w:tcPr>
          <w:p>
            <w:pPr>
              <w:pStyle w:val="7"/>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1269" w:type="dxa"/>
            <w:tcBorders>
              <w:top w:val="nil"/>
              <w:left w:val="nil"/>
              <w:bottom w:val="nil"/>
              <w:right w:val="nil"/>
            </w:tcBorders>
            <w:shd w:val="clear" w:color="auto" w:fill="FFFFFF"/>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1786" w:type="dxa"/>
            <w:gridSpan w:val="3"/>
            <w:tcBorders>
              <w:top w:val="nil"/>
              <w:left w:val="nil"/>
              <w:bottom w:val="nil"/>
              <w:right w:val="nil"/>
            </w:tcBorders>
            <w:shd w:val="clear" w:color="auto" w:fill="FFFFFF"/>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363" w:type="dxa"/>
            <w:gridSpan w:val="2"/>
            <w:tcBorders>
              <w:top w:val="nil"/>
              <w:left w:val="nil"/>
              <w:bottom w:val="nil"/>
              <w:right w:val="nil"/>
            </w:tcBorders>
            <w:shd w:val="clear" w:color="auto" w:fill="FFFFFF"/>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851" w:type="dxa"/>
            <w:tcBorders>
              <w:top w:val="nil"/>
              <w:left w:val="nil"/>
              <w:bottom w:val="nil"/>
              <w:right w:val="nil"/>
            </w:tcBorders>
            <w:shd w:val="clear" w:color="auto" w:fill="FFFFFF"/>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3095" w:type="dxa"/>
            <w:gridSpan w:val="4"/>
            <w:tcBorders>
              <w:top w:val="nil"/>
              <w:left w:val="nil"/>
              <w:bottom w:val="nil"/>
              <w:right w:val="nil"/>
            </w:tcBorders>
            <w:shd w:val="clear" w:color="auto" w:fill="FFFFFF"/>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　</w:t>
            </w:r>
          </w:p>
          <w:p>
            <w:pPr>
              <w:pStyle w:val="7"/>
              <w:widowControl/>
              <w:ind w:right="97"/>
              <w:jc w:val="right"/>
              <w:rPr>
                <w:rFonts w:hint="eastAsia" w:ascii="宋体" w:hAnsi="宋体" w:cs="宋体"/>
                <w:color w:val="000000"/>
                <w:sz w:val="20"/>
                <w:szCs w:val="20"/>
              </w:rPr>
            </w:pPr>
            <w:r>
              <w:rPr>
                <w:rFonts w:hint="eastAsia" w:ascii="宋体" w:hAnsi="宋体" w:cs="宋体"/>
                <w:color w:val="000000"/>
                <w:sz w:val="20"/>
                <w:szCs w:val="20"/>
              </w:rPr>
              <w:t>公开06表</w:t>
            </w:r>
          </w:p>
        </w:tc>
      </w:tr>
      <w:tr>
        <w:tblPrEx>
          <w:tblCellMar>
            <w:top w:w="0" w:type="dxa"/>
            <w:left w:w="108" w:type="dxa"/>
            <w:bottom w:w="0" w:type="dxa"/>
            <w:right w:w="108" w:type="dxa"/>
          </w:tblCellMar>
        </w:tblPrEx>
        <w:trPr>
          <w:gridAfter w:val="2"/>
          <w:wAfter w:w="3971" w:type="dxa"/>
          <w:trHeight w:val="240" w:hRule="atLeast"/>
          <w:jc w:val="center"/>
        </w:trPr>
        <w:tc>
          <w:tcPr>
            <w:tcW w:w="10444" w:type="dxa"/>
            <w:gridSpan w:val="16"/>
            <w:tcBorders>
              <w:top w:val="nil"/>
              <w:left w:val="nil"/>
              <w:bottom w:val="nil"/>
              <w:right w:val="nil"/>
            </w:tcBorders>
            <w:noWrap w:val="0"/>
            <w:vAlign w:val="center"/>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单位</w:t>
            </w:r>
            <w:r>
              <w:rPr>
                <w:rFonts w:ascii="Arial" w:hAnsi="Arial" w:cs="Arial"/>
                <w:color w:val="000000"/>
                <w:sz w:val="20"/>
                <w:szCs w:val="20"/>
              </w:rPr>
              <w:t>：</w:t>
            </w:r>
            <w:r>
              <w:rPr>
                <w:rFonts w:hint="eastAsia" w:ascii="Arial" w:hAnsi="Arial" w:cs="Arial"/>
                <w:color w:val="000000"/>
                <w:sz w:val="20"/>
                <w:szCs w:val="20"/>
                <w:lang w:eastAsia="zh-CN"/>
              </w:rPr>
              <w:t>淮南市八公山区发展和改革委员会</w:t>
            </w:r>
            <w:r>
              <w:rPr>
                <w:rFonts w:hint="eastAsia" w:ascii="Arial" w:hAnsi="Arial" w:cs="Arial"/>
                <w:color w:val="000000"/>
                <w:sz w:val="20"/>
                <w:szCs w:val="20"/>
                <w:lang w:val="en-US" w:eastAsia="zh-CN"/>
              </w:rPr>
              <w:t xml:space="preserve">                                                       </w:t>
            </w:r>
            <w:r>
              <w:rPr>
                <w:rFonts w:hint="eastAsia" w:ascii="宋体" w:hAnsi="宋体" w:cs="宋体"/>
                <w:color w:val="00000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43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人员经费</w:t>
            </w:r>
          </w:p>
        </w:tc>
        <w:tc>
          <w:tcPr>
            <w:tcW w:w="8866" w:type="dxa"/>
            <w:gridSpan w:val="10"/>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23" w:hRule="atLeast"/>
          <w:jc w:val="center"/>
        </w:trPr>
        <w:tc>
          <w:tcPr>
            <w:tcW w:w="877"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科目编码</w:t>
            </w:r>
          </w:p>
        </w:tc>
        <w:tc>
          <w:tcPr>
            <w:tcW w:w="2698" w:type="dxa"/>
            <w:gridSpan w:val="4"/>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金额</w:t>
            </w:r>
          </w:p>
        </w:tc>
        <w:tc>
          <w:tcPr>
            <w:tcW w:w="882" w:type="dxa"/>
            <w:gridSpan w:val="2"/>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科目编码</w:t>
            </w:r>
          </w:p>
        </w:tc>
        <w:tc>
          <w:tcPr>
            <w:tcW w:w="1886" w:type="dxa"/>
            <w:gridSpan w:val="3"/>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金额</w:t>
            </w:r>
          </w:p>
        </w:tc>
        <w:tc>
          <w:tcPr>
            <w:tcW w:w="94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科目编码</w:t>
            </w:r>
          </w:p>
        </w:tc>
        <w:tc>
          <w:tcPr>
            <w:tcW w:w="3594" w:type="dxa"/>
            <w:gridSpan w:val="2"/>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科目名称</w:t>
            </w:r>
          </w:p>
        </w:tc>
        <w:tc>
          <w:tcPr>
            <w:tcW w:w="77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612" w:hRule="atLeast"/>
          <w:jc w:val="center"/>
        </w:trPr>
        <w:tc>
          <w:tcPr>
            <w:tcW w:w="87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2698" w:type="dxa"/>
            <w:gridSpan w:val="4"/>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7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882" w:type="dxa"/>
            <w:gridSpan w:val="2"/>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1886" w:type="dxa"/>
            <w:gridSpan w:val="3"/>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7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94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3594" w:type="dxa"/>
            <w:gridSpan w:val="2"/>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c>
          <w:tcPr>
            <w:tcW w:w="778"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工资福利支出</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69.45</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商品和服务支出</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144.46</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307</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债务利息及费用支出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30101</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基本工资</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42.84</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30201</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办公费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2.15</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30701</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国内债务付息</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30102</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津贴补贴</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22.32</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30202</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印刷费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15.37</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30702</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国外债务付息</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30103</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奖金</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30203</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咨询费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29.49</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30703</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国内债务发行费用</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30106</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伙食补助费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30204</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手续费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2.90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30704</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国外债务发行费用</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30107</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绩效工资</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30205</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资本性支出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30108</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机关事业单位基本养老保险缴费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30206</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电费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31001</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房屋建筑物购建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30109</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职业年金缴费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30207</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邮电费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31002</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办公设备购置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30110</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职工基本医疗保险缴费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30208</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取暖费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31003</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专用设备购置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30111</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公务员医疗补助缴费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30209</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物业管理费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31005</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基础设施建设</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30112</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其他社会保障缴费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1.13</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30211</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差旅费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9.11</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31006</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大型修缮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30113</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住房公积金</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3.17</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30212</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因公出国（境）费用</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31007</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信息网络及软件购置更新</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30114</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医疗费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30213</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维修(护)费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31008</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物资储备</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30199</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其他工资福利支出</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30214</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租赁费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31009</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土地补偿</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对个人和家庭的补助</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53.51</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30215</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会议费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0.87</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31010</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安置补助</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30301</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离休费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30216</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培训费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31011</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地上附着物和青苗补偿</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30302</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退休费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30217</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公务接待费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27.08</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31012</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拆迁补偿</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30303</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退职（役）费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30218</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专用材料费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31013</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公务用车购置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30304</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抚恤金</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30224</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被装购置费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31019</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其他交通工具购置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30305</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生活补助</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53.51</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30225</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专用燃料费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31021</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文物和陈列品购置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30306</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救济费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30226</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劳务费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0.15</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31022</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无形资产购置</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3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30307</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医疗费补助</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30227</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委托业务费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46.14</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31099</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其他资本性支出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30308</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助学金</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30228</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工会经费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312</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对企业补助</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30309</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奖励金</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30229</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福利费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31201</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资本金注入</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30310</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个人农业生产补贴</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30231</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公务用车运行维护费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31203</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政府投资基金股权投资</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30311</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代缴社会保险费</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30239</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其他交通费用</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0.11</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31204</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费用补贴</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30399</w:t>
            </w: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其他对个人和家庭的补助</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30240</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税金及附加费用</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31205</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利息补贴</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277"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30299</w:t>
            </w: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其他商品和服务支出</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11.09</w:t>
            </w: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31299 </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其他对企业补助</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399</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其他支出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39906</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赠与</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0"/>
                <w:szCs w:val="20"/>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0"/>
                <w:szCs w:val="20"/>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0"/>
                <w:szCs w:val="20"/>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0"/>
                <w:szCs w:val="20"/>
                <w:u w:val="none"/>
                <w:shd w:val="clear" w:color="auto" w:fill="auto"/>
              </w:rPr>
            </w:pP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0"/>
                <w:szCs w:val="20"/>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0"/>
                <w:szCs w:val="20"/>
                <w:u w:val="none"/>
                <w:shd w:val="clear" w:color="auto" w:fill="auto"/>
              </w:rPr>
            </w:pP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39907</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国家赔偿费用支出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39908</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对民间非营利组织和群众性自治组织补贴</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87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2698" w:type="dxa"/>
            <w:gridSpan w:val="4"/>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882" w:type="dxa"/>
            <w:gridSpan w:val="2"/>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1886" w:type="dxa"/>
            <w:gridSpan w:val="3"/>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auto"/>
                <w:sz w:val="22"/>
                <w:szCs w:val="22"/>
                <w:u w:val="none"/>
                <w:shd w:val="clear" w:color="auto" w:fill="auto"/>
              </w:rPr>
            </w:pPr>
          </w:p>
        </w:tc>
        <w:tc>
          <w:tcPr>
            <w:tcW w:w="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auto"/>
                <w:sz w:val="22"/>
                <w:szCs w:val="22"/>
                <w:u w:val="none"/>
                <w:shd w:val="clear" w:color="auto" w:fill="auto"/>
              </w:rPr>
            </w:pPr>
          </w:p>
        </w:tc>
        <w:tc>
          <w:tcPr>
            <w:tcW w:w="94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39999</w:t>
            </w:r>
          </w:p>
        </w:tc>
        <w:tc>
          <w:tcPr>
            <w:tcW w:w="3594"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 xml:space="preserve">  其他支出</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197" w:type="dxa"/>
          <w:trHeight w:val="308" w:hRule="atLeast"/>
          <w:jc w:val="center"/>
        </w:trPr>
        <w:tc>
          <w:tcPr>
            <w:tcW w:w="3575" w:type="dxa"/>
            <w:gridSpan w:val="5"/>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人员经费合计</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122.96</w:t>
            </w:r>
          </w:p>
        </w:tc>
        <w:tc>
          <w:tcPr>
            <w:tcW w:w="8088" w:type="dxa"/>
            <w:gridSpan w:val="9"/>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公用经费合计</w:t>
            </w:r>
          </w:p>
        </w:tc>
        <w:tc>
          <w:tcPr>
            <w:tcW w:w="77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394.46</w:t>
            </w:r>
          </w:p>
        </w:tc>
      </w:tr>
    </w:tbl>
    <w:p>
      <w:pPr>
        <w:pStyle w:val="7"/>
        <w:widowControl/>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sectPr>
          <w:pgSz w:w="16838" w:h="11906" w:orient="landscape"/>
          <w:pgMar w:top="1587" w:right="2155" w:bottom="1531" w:left="1588" w:header="0" w:footer="1587" w:gutter="0"/>
          <w:pgBorders>
            <w:top w:val="none" w:sz="0" w:space="0"/>
            <w:left w:val="none" w:sz="0" w:space="0"/>
            <w:bottom w:val="none" w:sz="0" w:space="0"/>
            <w:right w:val="none" w:sz="0" w:space="0"/>
          </w:pgBorders>
          <w:cols w:space="720" w:num="1"/>
          <w:rtlGutter w:val="0"/>
          <w:docGrid w:type="linesAndChars" w:linePitch="585" w:charSpace="-1266"/>
        </w:sectPr>
      </w:pPr>
    </w:p>
    <w:p>
      <w:pPr>
        <w:pStyle w:val="7"/>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七、政府性基金预算财政拨款收入支出决算表</w:t>
      </w:r>
    </w:p>
    <w:p>
      <w:pPr>
        <w:pStyle w:val="7"/>
        <w:widowControl/>
        <w:rPr>
          <w:rFonts w:hint="eastAsia" w:ascii="黑体" w:hAnsi="宋体" w:eastAsia="黑体" w:cs="黑体"/>
          <w:color w:val="000000"/>
          <w:sz w:val="20"/>
          <w:szCs w:val="20"/>
        </w:rPr>
      </w:pPr>
      <w:r>
        <w:rPr>
          <w:rFonts w:hint="eastAsia" w:ascii="黑体" w:hAnsi="宋体" w:eastAsia="黑体" w:cs="黑体"/>
          <w:color w:val="000000"/>
          <w:sz w:val="20"/>
          <w:szCs w:val="20"/>
        </w:rPr>
        <w:t xml:space="preserve">                                                                              </w:t>
      </w:r>
      <w:r>
        <w:rPr>
          <w:rFonts w:hint="eastAsia" w:ascii="宋体" w:hAnsi="宋体" w:cs="宋体"/>
          <w:color w:val="000000"/>
          <w:sz w:val="20"/>
          <w:szCs w:val="20"/>
        </w:rPr>
        <w:t>公开07表</w:t>
      </w:r>
    </w:p>
    <w:tbl>
      <w:tblPr>
        <w:tblStyle w:val="4"/>
        <w:tblW w:w="0" w:type="auto"/>
        <w:jc w:val="center"/>
        <w:tblLayout w:type="fixed"/>
        <w:tblCellMar>
          <w:top w:w="0" w:type="dxa"/>
          <w:left w:w="108" w:type="dxa"/>
          <w:bottom w:w="0" w:type="dxa"/>
          <w:right w:w="108" w:type="dxa"/>
        </w:tblCellMar>
      </w:tblPr>
      <w:tblGrid>
        <w:gridCol w:w="93"/>
        <w:gridCol w:w="330"/>
        <w:gridCol w:w="330"/>
        <w:gridCol w:w="330"/>
        <w:gridCol w:w="2145"/>
        <w:gridCol w:w="1140"/>
        <w:gridCol w:w="915"/>
        <w:gridCol w:w="885"/>
        <w:gridCol w:w="975"/>
        <w:gridCol w:w="930"/>
        <w:gridCol w:w="915"/>
        <w:gridCol w:w="192"/>
        <w:gridCol w:w="468"/>
        <w:gridCol w:w="780"/>
        <w:gridCol w:w="855"/>
        <w:gridCol w:w="750"/>
        <w:gridCol w:w="975"/>
        <w:gridCol w:w="960"/>
        <w:gridCol w:w="1080"/>
      </w:tblGrid>
      <w:tr>
        <w:tblPrEx>
          <w:tblCellMar>
            <w:top w:w="0" w:type="dxa"/>
            <w:left w:w="108" w:type="dxa"/>
            <w:bottom w:w="0" w:type="dxa"/>
            <w:right w:w="108" w:type="dxa"/>
          </w:tblCellMar>
        </w:tblPrEx>
        <w:trPr>
          <w:gridAfter w:val="7"/>
          <w:wAfter w:w="0" w:type="dxa"/>
          <w:trHeight w:val="597" w:hRule="atLeast"/>
          <w:jc w:val="center"/>
        </w:trPr>
        <w:tc>
          <w:tcPr>
            <w:tcW w:w="9180" w:type="dxa"/>
            <w:gridSpan w:val="12"/>
            <w:tcBorders>
              <w:top w:val="nil"/>
              <w:left w:val="nil"/>
              <w:bottom w:val="nil"/>
              <w:right w:val="nil"/>
            </w:tcBorders>
            <w:noWrap w:val="0"/>
            <w:vAlign w:val="bottom"/>
          </w:tcPr>
          <w:p>
            <w:pPr>
              <w:pStyle w:val="7"/>
              <w:widowControl/>
              <w:jc w:val="left"/>
              <w:rPr>
                <w:rFonts w:hint="eastAsia" w:ascii="宋体" w:hAnsi="宋体" w:cs="宋体"/>
                <w:color w:val="000000"/>
                <w:sz w:val="20"/>
                <w:szCs w:val="20"/>
              </w:rPr>
            </w:pPr>
            <w:r>
              <w:rPr>
                <w:rFonts w:hint="eastAsia" w:ascii="宋体" w:hAnsi="宋体" w:cs="宋体"/>
                <w:color w:val="000000"/>
                <w:sz w:val="20"/>
                <w:szCs w:val="20"/>
              </w:rPr>
              <w:t>单位：</w:t>
            </w:r>
            <w:r>
              <w:rPr>
                <w:rFonts w:hint="eastAsia" w:ascii="宋体" w:hAnsi="宋体" w:cs="宋体"/>
                <w:color w:val="000000"/>
                <w:sz w:val="20"/>
                <w:szCs w:val="20"/>
                <w:lang w:eastAsia="zh-CN"/>
              </w:rPr>
              <w:t>淮南市八公山区发展和改革委员会</w:t>
            </w:r>
            <w:r>
              <w:rPr>
                <w:rFonts w:hint="eastAsia" w:ascii="宋体" w:hAnsi="宋体" w:cs="宋体"/>
                <w:color w:val="000000"/>
                <w:sz w:val="20"/>
                <w:szCs w:val="20"/>
                <w:lang w:val="en-US" w:eastAsia="zh-CN"/>
              </w:rPr>
              <w:t xml:space="preserve">                        </w:t>
            </w:r>
            <w:r>
              <w:rPr>
                <w:rFonts w:hint="eastAsia" w:ascii="宋体" w:hAnsi="宋体" w:cs="宋体"/>
                <w:color w:val="00000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45"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4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8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295" w:type="dxa"/>
            <w:gridSpan w:val="4"/>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765" w:type="dxa"/>
            <w:gridSpan w:val="4"/>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4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8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97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1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60" w:type="dxa"/>
            <w:gridSpan w:val="2"/>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7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04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60" w:type="dxa"/>
            <w:gridSpan w:val="2"/>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08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615" w:hRule="atLeast"/>
          <w:jc w:val="center"/>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60" w:type="dxa"/>
            <w:gridSpan w:val="2"/>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33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3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33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3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gridBefore w:val="1"/>
          <w:wBefore w:w="93" w:type="dxa"/>
          <w:trHeight w:val="308" w:hRule="atLeast"/>
          <w:jc w:val="center"/>
        </w:trPr>
        <w:tc>
          <w:tcPr>
            <w:tcW w:w="99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214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14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3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66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pPr>
    </w:p>
    <w:p>
      <w:pPr>
        <w:pStyle w:val="7"/>
        <w:widowControl/>
        <w:jc w:val="center"/>
        <w:rPr>
          <w:rFonts w:hint="eastAsia" w:ascii="黑体" w:hAnsi="宋体" w:eastAsia="黑体" w:cs="黑体"/>
          <w:color w:val="000000"/>
          <w:sz w:val="32"/>
          <w:szCs w:val="32"/>
        </w:rPr>
        <w:sectPr>
          <w:pgSz w:w="16838" w:h="11906" w:orient="landscape"/>
          <w:pgMar w:top="1587" w:right="2154" w:bottom="1531" w:left="1587" w:header="0" w:footer="1587" w:gutter="0"/>
          <w:pgBorders>
            <w:top w:val="none" w:sz="0" w:space="0"/>
            <w:left w:val="none" w:sz="0" w:space="0"/>
            <w:bottom w:val="none" w:sz="0" w:space="0"/>
            <w:right w:val="none" w:sz="0" w:space="0"/>
          </w:pgBorders>
          <w:cols w:space="720" w:num="1"/>
          <w:rtlGutter w:val="0"/>
          <w:docGrid w:type="linesAndChars" w:linePitch="585" w:charSpace="-1259"/>
        </w:sectPr>
      </w:pPr>
    </w:p>
    <w:p>
      <w:pPr>
        <w:pStyle w:val="7"/>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八、国有资本经营预算财政拨款支出决算表</w:t>
      </w:r>
    </w:p>
    <w:tbl>
      <w:tblPr>
        <w:tblStyle w:val="4"/>
        <w:tblW w:w="0" w:type="auto"/>
        <w:tblInd w:w="0" w:type="dxa"/>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pStyle w:val="7"/>
              <w:widowControl/>
              <w:ind w:firstLine="7276"/>
              <w:jc w:val="left"/>
              <w:rPr>
                <w:rFonts w:ascii="Arial" w:hAnsi="Arial" w:cs="Arial"/>
                <w:color w:val="000000"/>
                <w:sz w:val="20"/>
                <w:szCs w:val="20"/>
              </w:rPr>
            </w:pPr>
            <w:r>
              <w:rPr>
                <w:rFonts w:hint="eastAsia" w:ascii="宋体" w:hAnsi="宋体" w:cs="宋体"/>
                <w:color w:val="000000"/>
                <w:sz w:val="20"/>
                <w:szCs w:val="20"/>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000000" w:sz="4" w:space="0"/>
            </w:tcBorders>
            <w:noWrap w:val="0"/>
            <w:vAlign w:val="center"/>
          </w:tcPr>
          <w:p>
            <w:pPr>
              <w:pStyle w:val="7"/>
              <w:widowControl/>
              <w:jc w:val="left"/>
              <w:rPr>
                <w:rFonts w:ascii="Arial" w:hAnsi="Arial" w:cs="Arial"/>
                <w:color w:val="000000"/>
                <w:sz w:val="20"/>
                <w:szCs w:val="20"/>
              </w:rPr>
            </w:pPr>
            <w:r>
              <w:rPr>
                <w:rFonts w:hint="eastAsia" w:ascii="宋体" w:hAnsi="宋体" w:cs="宋体"/>
                <w:color w:val="000000"/>
                <w:sz w:val="20"/>
                <w:szCs w:val="20"/>
              </w:rPr>
              <w:t>单位：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569"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252" w:type="dxa"/>
            <w:vMerge w:val="restart"/>
            <w:tcBorders>
              <w:top w:val="nil"/>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569"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252" w:type="dxa"/>
            <w:vMerge w:val="continue"/>
            <w:tcBorders>
              <w:top w:val="nil"/>
              <w:left w:val="nil"/>
              <w:bottom w:val="single" w:color="000000" w:sz="4" w:space="0"/>
              <w:right w:val="single" w:color="000000" w:sz="4" w:space="0"/>
            </w:tcBorders>
            <w:noWrap w:val="0"/>
            <w:vAlign w:val="center"/>
          </w:tcPr>
          <w:p>
            <w:pPr>
              <w:rPr>
                <w:sz w:val="20"/>
                <w:szCs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569"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szCs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1252" w:type="dxa"/>
            <w:vMerge w:val="continue"/>
            <w:tcBorders>
              <w:top w:val="nil"/>
              <w:left w:val="nil"/>
              <w:bottom w:val="single" w:color="000000" w:sz="4" w:space="0"/>
              <w:right w:val="single" w:color="000000" w:sz="4" w:space="0"/>
            </w:tcBorders>
            <w:noWrap w:val="0"/>
            <w:vAlign w:val="center"/>
          </w:tcPr>
          <w:p>
            <w:pPr>
              <w:rPr>
                <w:sz w:val="20"/>
                <w:szCs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szCs w:val="20"/>
              </w:rPr>
            </w:pPr>
          </w:p>
        </w:tc>
      </w:tr>
      <w:tr>
        <w:tblPrEx>
          <w:tblCellMar>
            <w:top w:w="15" w:type="dxa"/>
            <w:left w:w="108" w:type="dxa"/>
            <w:bottom w:w="15" w:type="dxa"/>
            <w:right w:w="108" w:type="dxa"/>
          </w:tblCellMar>
        </w:tblPrEx>
        <w:trPr>
          <w:trHeight w:val="673"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7"/>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b/>
                <w:color w:val="000000"/>
                <w:sz w:val="22"/>
                <w:szCs w:val="22"/>
              </w:rPr>
            </w:pPr>
          </w:p>
        </w:tc>
      </w:tr>
      <w:tr>
        <w:tblPrEx>
          <w:tblCellMar>
            <w:top w:w="15" w:type="dxa"/>
            <w:left w:w="108" w:type="dxa"/>
            <w:bottom w:w="15" w:type="dxa"/>
            <w:right w:w="108" w:type="dxa"/>
          </w:tblCellMar>
        </w:tblPrEx>
        <w:trPr>
          <w:trHeight w:val="634"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7"/>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7"/>
              <w:widowControl/>
              <w:jc w:val="right"/>
              <w:rPr>
                <w:rFonts w:hint="eastAsia" w:ascii="宋体" w:hAnsi="宋体" w:cs="宋体"/>
                <w:color w:val="000000"/>
                <w:sz w:val="22"/>
                <w:szCs w:val="22"/>
              </w:rPr>
            </w:pPr>
          </w:p>
        </w:tc>
      </w:tr>
    </w:tbl>
    <w:p>
      <w:pPr>
        <w:pStyle w:val="7"/>
        <w:widowControl/>
        <w:rPr>
          <w:rFonts w:hint="eastAsia" w:ascii="黑体" w:hAnsi="宋体" w:eastAsia="黑体" w:cs="黑体"/>
          <w:color w:val="000000"/>
          <w:sz w:val="20"/>
          <w:szCs w:val="20"/>
        </w:rPr>
      </w:pPr>
      <w:r>
        <w:rPr>
          <w:rFonts w:hint="eastAsia" w:ascii="楷体_GB2312" w:eastAsia="楷体_GB2312" w:cs="楷体_GB2312"/>
          <w:color w:val="000000"/>
          <w:sz w:val="32"/>
          <w:szCs w:val="32"/>
          <w:lang w:eastAsia="zh-CN"/>
        </w:rPr>
        <w:t>备注</w:t>
      </w:r>
      <w:r>
        <w:rPr>
          <w:rFonts w:ascii="楷体_GB2312" w:eastAsia="楷体_GB2312" w:cs="楷体_GB2312"/>
          <w:color w:val="000000"/>
          <w:sz w:val="32"/>
          <w:szCs w:val="32"/>
        </w:rPr>
        <w:t>：</w:t>
      </w:r>
      <w:r>
        <w:rPr>
          <w:rFonts w:hint="eastAsia" w:ascii="楷体_GB2312" w:eastAsia="楷体_GB2312" w:cs="楷体_GB2312"/>
          <w:color w:val="000000"/>
          <w:sz w:val="32"/>
          <w:szCs w:val="32"/>
          <w:lang w:eastAsia="zh-CN"/>
        </w:rPr>
        <w:t>淮南市八公山区发展和改革委员会</w:t>
      </w:r>
      <w:r>
        <w:rPr>
          <w:rFonts w:ascii="楷体_GB2312" w:eastAsia="楷体_GB2312" w:cs="楷体_GB2312"/>
          <w:color w:val="000000"/>
          <w:sz w:val="32"/>
          <w:szCs w:val="32"/>
        </w:rPr>
        <w:t>没有使用国有资本经营预算财政拨款安排的支出，故此表无数据。</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第三部分 </w:t>
      </w:r>
      <w:r>
        <w:rPr>
          <w:rFonts w:hint="eastAsia" w:ascii="黑体" w:hAnsi="宋体" w:eastAsia="黑体" w:cs="黑体"/>
          <w:color w:val="000000"/>
          <w:sz w:val="32"/>
          <w:szCs w:val="32"/>
          <w:lang w:eastAsia="zh-CN"/>
        </w:rPr>
        <w:t>淮南市八公山区发展和改革委员会</w:t>
      </w:r>
      <w:r>
        <w:rPr>
          <w:rFonts w:hint="eastAsia" w:ascii="黑体" w:hAnsi="宋体" w:eastAsia="黑体" w:cs="黑体"/>
          <w:color w:val="000000"/>
          <w:sz w:val="32"/>
          <w:szCs w:val="32"/>
        </w:rPr>
        <w:t>单位2020年度单位决算情况说明</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一、收入支出决算总体情况说明</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2020年度收入总计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万元（含使用非财政拨款结转结余和年初结转结余）、支出总计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万元（含结余分配和年末结转结余）。与2019年相比，收、支总计各减少</w:t>
      </w:r>
      <w:r>
        <w:rPr>
          <w:rFonts w:hint="eastAsia" w:ascii="仿宋_GB2312" w:eastAsia="仿宋_GB2312" w:cs="仿宋_GB2312"/>
          <w:color w:val="000000"/>
          <w:sz w:val="32"/>
          <w:szCs w:val="32"/>
          <w:lang w:val="en-US" w:eastAsia="zh-CN"/>
        </w:rPr>
        <w:t>877.67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103</w:t>
      </w:r>
      <w:r>
        <w:rPr>
          <w:rFonts w:ascii="仿宋_GB2312" w:eastAsia="仿宋_GB2312" w:cs="仿宋_GB2312"/>
          <w:color w:val="000000"/>
          <w:sz w:val="32"/>
          <w:szCs w:val="32"/>
        </w:rPr>
        <w:t>%，主要原因：一是</w:t>
      </w:r>
      <w:r>
        <w:rPr>
          <w:rFonts w:hint="eastAsia" w:ascii="仿宋_GB2312" w:eastAsia="仿宋_GB2312" w:cs="仿宋_GB2312"/>
          <w:color w:val="000000"/>
          <w:sz w:val="32"/>
          <w:szCs w:val="32"/>
          <w:lang w:eastAsia="zh-CN"/>
        </w:rPr>
        <w:t>部分阶段性工作已完成</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厉行节约</w:t>
      </w:r>
      <w:r>
        <w:rPr>
          <w:rFonts w:ascii="仿宋_GB2312" w:eastAsia="仿宋_GB2312" w:cs="仿宋_GB2312"/>
          <w:color w:val="000000"/>
          <w:sz w:val="32"/>
          <w:szCs w:val="32"/>
        </w:rPr>
        <w:t>。</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二、收入决算情况说明</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2020年度收入合计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万元，其中：财政拨款收入</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三、支出决算情况说明</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2020年度支出合计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517.42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61.1</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326.22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38.9</w:t>
      </w:r>
      <w:r>
        <w:rPr>
          <w:rFonts w:ascii="仿宋_GB2312" w:eastAsia="仿宋_GB2312" w:cs="仿宋_GB2312"/>
          <w:color w:val="000000"/>
          <w:sz w:val="32"/>
          <w:szCs w:val="32"/>
        </w:rPr>
        <w:t>%；经营支出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四、财政拨款收入支出决算总体情况说明</w:t>
      </w:r>
    </w:p>
    <w:p>
      <w:pPr>
        <w:pStyle w:val="7"/>
        <w:widowControl/>
        <w:ind w:firstLine="640"/>
        <w:rPr>
          <w:rFonts w:hint="eastAsia" w:ascii="黑体" w:hAnsi="宋体" w:eastAsia="黑体" w:cs="黑体"/>
          <w:color w:val="000000"/>
          <w:sz w:val="32"/>
          <w:szCs w:val="32"/>
        </w:rPr>
      </w:pPr>
      <w:r>
        <w:rPr>
          <w:rFonts w:ascii="仿宋_GB2312" w:eastAsia="仿宋_GB2312" w:cs="仿宋_GB2312"/>
          <w:color w:val="000000"/>
          <w:sz w:val="32"/>
          <w:szCs w:val="32"/>
        </w:rPr>
        <w:t>2020年度财政拨款收入总计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万元（含年初财政拨款结转结余），支出总计</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万元（含年末财政拨款结转和结余）。与2019年相比，财政拨款收、支总计各减少</w:t>
      </w:r>
      <w:r>
        <w:rPr>
          <w:rFonts w:hint="eastAsia" w:ascii="仿宋_GB2312" w:eastAsia="仿宋_GB2312" w:cs="仿宋_GB2312"/>
          <w:color w:val="000000"/>
          <w:sz w:val="32"/>
          <w:szCs w:val="32"/>
          <w:lang w:val="en-US" w:eastAsia="zh-CN"/>
        </w:rPr>
        <w:t>877.67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103</w:t>
      </w:r>
      <w:r>
        <w:rPr>
          <w:rFonts w:ascii="仿宋_GB2312" w:eastAsia="仿宋_GB2312" w:cs="仿宋_GB2312"/>
          <w:color w:val="000000"/>
          <w:sz w:val="32"/>
          <w:szCs w:val="32"/>
        </w:rPr>
        <w:t>%，主要原因：一是</w:t>
      </w:r>
      <w:r>
        <w:rPr>
          <w:rFonts w:hint="eastAsia" w:ascii="仿宋_GB2312" w:eastAsia="仿宋_GB2312" w:cs="仿宋_GB2312"/>
          <w:color w:val="000000"/>
          <w:sz w:val="32"/>
          <w:szCs w:val="32"/>
          <w:lang w:eastAsia="zh-CN"/>
        </w:rPr>
        <w:t>部分阶段性工作已完成</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厉行节约</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 xml:space="preserve">                                                                                                                                                                             </w:t>
      </w:r>
      <w:r>
        <w:rPr>
          <w:rFonts w:hint="eastAsia" w:ascii="黑体" w:hAnsi="宋体" w:eastAsia="黑体" w:cs="黑体"/>
          <w:color w:val="000000"/>
          <w:sz w:val="32"/>
          <w:szCs w:val="32"/>
        </w:rPr>
        <w:t>五、一般公共预算财政拨款支出决算情况说明</w:t>
      </w:r>
    </w:p>
    <w:p>
      <w:pPr>
        <w:pStyle w:val="7"/>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（一）一般公共预算财政拨款支出决算总体情况。</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万元，占本年支出的</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%。与2019年相比，一般公共预算财政拨款支出减少</w:t>
      </w:r>
      <w:r>
        <w:rPr>
          <w:rFonts w:hint="eastAsia" w:ascii="仿宋_GB2312" w:eastAsia="仿宋_GB2312" w:cs="仿宋_GB2312"/>
          <w:color w:val="000000"/>
          <w:sz w:val="32"/>
          <w:szCs w:val="32"/>
          <w:lang w:val="en-US" w:eastAsia="zh-CN"/>
        </w:rPr>
        <w:t>877.67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877.67</w:t>
      </w:r>
      <w:r>
        <w:rPr>
          <w:rFonts w:ascii="仿宋_GB2312" w:eastAsia="仿宋_GB2312" w:cs="仿宋_GB2312"/>
          <w:color w:val="000000"/>
          <w:sz w:val="32"/>
          <w:szCs w:val="32"/>
        </w:rPr>
        <w:t>%。主要原因：一是</w:t>
      </w:r>
      <w:r>
        <w:rPr>
          <w:rFonts w:hint="eastAsia" w:ascii="仿宋_GB2312" w:eastAsia="仿宋_GB2312" w:cs="仿宋_GB2312"/>
          <w:color w:val="000000"/>
          <w:sz w:val="32"/>
          <w:szCs w:val="32"/>
          <w:lang w:eastAsia="zh-CN"/>
        </w:rPr>
        <w:t>部分阶段性工作已完成</w:t>
      </w:r>
      <w:r>
        <w:rPr>
          <w:rFonts w:ascii="仿宋_GB2312" w:eastAsia="仿宋_GB2312" w:cs="仿宋_GB2312"/>
          <w:color w:val="000000"/>
          <w:sz w:val="32"/>
          <w:szCs w:val="32"/>
        </w:rPr>
        <w:t>；二是</w:t>
      </w:r>
      <w:r>
        <w:rPr>
          <w:rFonts w:hint="eastAsia" w:ascii="仿宋" w:hAnsi="仿宋" w:eastAsia="仿宋" w:cs="仿宋"/>
          <w:color w:val="000000"/>
          <w:sz w:val="32"/>
          <w:szCs w:val="32"/>
          <w:lang w:eastAsia="zh-CN"/>
        </w:rPr>
        <w:t>厉行节约</w:t>
      </w:r>
      <w:r>
        <w:rPr>
          <w:rFonts w:ascii="仿宋_GB2312" w:eastAsia="仿宋_GB2312" w:cs="仿宋_GB2312"/>
          <w:color w:val="000000"/>
          <w:sz w:val="32"/>
          <w:szCs w:val="32"/>
        </w:rPr>
        <w:t>。</w:t>
      </w:r>
    </w:p>
    <w:p>
      <w:pPr>
        <w:pStyle w:val="7"/>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（二）一般公共预算财政拨款支出决算结构情况。</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万元，主要用于以下方面：</w:t>
      </w:r>
      <w:r>
        <w:rPr>
          <w:rFonts w:ascii="仿宋_GB2312" w:eastAsia="仿宋_GB2312" w:cs="仿宋_GB2312"/>
          <w:b/>
          <w:color w:val="000000"/>
          <w:sz w:val="32"/>
          <w:szCs w:val="32"/>
        </w:rPr>
        <w:t>一般公共服务（类）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245.56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29.02</w:t>
      </w:r>
      <w:r>
        <w:rPr>
          <w:rFonts w:ascii="仿宋_GB2312" w:eastAsia="仿宋_GB2312" w:cs="仿宋_GB2312"/>
          <w:color w:val="000000"/>
          <w:sz w:val="32"/>
          <w:szCs w:val="32"/>
        </w:rPr>
        <w:t>%;</w:t>
      </w:r>
      <w:r>
        <w:rPr>
          <w:rFonts w:ascii="仿宋_GB2312" w:eastAsia="仿宋_GB2312" w:cs="仿宋_GB2312"/>
          <w:b/>
          <w:color w:val="000000"/>
          <w:sz w:val="32"/>
          <w:szCs w:val="32"/>
        </w:rPr>
        <w:t>社会保障和就业（类）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4.97</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0.06</w:t>
      </w:r>
      <w:r>
        <w:rPr>
          <w:rFonts w:ascii="仿宋_GB2312" w:eastAsia="仿宋_GB2312" w:cs="仿宋_GB2312"/>
          <w:color w:val="000000"/>
          <w:sz w:val="32"/>
          <w:szCs w:val="32"/>
        </w:rPr>
        <w:t>%；</w:t>
      </w:r>
      <w:r>
        <w:rPr>
          <w:rFonts w:hint="eastAsia" w:ascii="仿宋_GB2312" w:eastAsia="仿宋_GB2312" w:cs="仿宋_GB2312"/>
          <w:b/>
          <w:color w:val="000000"/>
          <w:sz w:val="32"/>
          <w:szCs w:val="32"/>
          <w:lang w:eastAsia="zh-CN"/>
        </w:rPr>
        <w:t>卫生健康</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0.01</w:t>
      </w:r>
      <w:r>
        <w:rPr>
          <w:rFonts w:ascii="仿宋_GB2312" w:eastAsia="仿宋_GB2312" w:cs="仿宋_GB2312"/>
          <w:color w:val="000000"/>
          <w:sz w:val="32"/>
          <w:szCs w:val="32"/>
        </w:rPr>
        <w:t>%；</w:t>
      </w:r>
      <w:r>
        <w:rPr>
          <w:rFonts w:hint="eastAsia" w:ascii="仿宋_GB2312" w:eastAsia="仿宋_GB2312" w:cs="仿宋_GB2312"/>
          <w:b/>
          <w:color w:val="000000"/>
          <w:sz w:val="32"/>
          <w:szCs w:val="32"/>
          <w:lang w:eastAsia="zh-CN"/>
        </w:rPr>
        <w:t>节能环保</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25.06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3.62</w:t>
      </w:r>
      <w:r>
        <w:rPr>
          <w:rFonts w:ascii="仿宋_GB2312" w:eastAsia="仿宋_GB2312" w:cs="仿宋_GB2312"/>
          <w:color w:val="000000"/>
          <w:sz w:val="32"/>
          <w:szCs w:val="32"/>
        </w:rPr>
        <w:t>%;</w:t>
      </w:r>
      <w:r>
        <w:rPr>
          <w:rFonts w:hint="eastAsia" w:ascii="仿宋_GB2312" w:eastAsia="仿宋_GB2312" w:cs="仿宋_GB2312"/>
          <w:b/>
          <w:color w:val="000000"/>
          <w:sz w:val="32"/>
          <w:szCs w:val="32"/>
          <w:lang w:eastAsia="zh-CN"/>
        </w:rPr>
        <w:t>城乡社区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34.05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4.02</w:t>
      </w:r>
      <w:r>
        <w:rPr>
          <w:rFonts w:ascii="仿宋_GB2312" w:eastAsia="仿宋_GB2312" w:cs="仿宋_GB2312"/>
          <w:color w:val="000000"/>
          <w:sz w:val="32"/>
          <w:szCs w:val="32"/>
        </w:rPr>
        <w:t>%；</w:t>
      </w:r>
      <w:r>
        <w:rPr>
          <w:rFonts w:hint="eastAsia" w:ascii="仿宋_GB2312" w:eastAsia="仿宋_GB2312" w:cs="仿宋_GB2312"/>
          <w:b/>
          <w:color w:val="000000"/>
          <w:sz w:val="32"/>
          <w:szCs w:val="32"/>
          <w:lang w:eastAsia="zh-CN"/>
        </w:rPr>
        <w:t>农林水</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263.67</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31.16</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商业服务业</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268.54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31.74</w:t>
      </w:r>
      <w:r>
        <w:rPr>
          <w:rFonts w:ascii="仿宋_GB2312" w:eastAsia="仿宋_GB2312" w:cs="仿宋_GB2312"/>
          <w:color w:val="000000"/>
          <w:sz w:val="32"/>
          <w:szCs w:val="32"/>
        </w:rPr>
        <w:t>%；</w:t>
      </w:r>
      <w:r>
        <w:rPr>
          <w:rFonts w:ascii="仿宋_GB2312" w:eastAsia="仿宋_GB2312" w:cs="仿宋_GB2312"/>
          <w:b/>
          <w:color w:val="000000"/>
          <w:sz w:val="32"/>
          <w:szCs w:val="32"/>
        </w:rPr>
        <w:t>住房保障（类）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3.17</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0.37</w:t>
      </w:r>
      <w:r>
        <w:rPr>
          <w:rFonts w:ascii="仿宋_GB2312" w:eastAsia="仿宋_GB2312" w:cs="仿宋_GB2312"/>
          <w:color w:val="000000"/>
          <w:sz w:val="32"/>
          <w:szCs w:val="32"/>
        </w:rPr>
        <w:t>%。</w:t>
      </w:r>
    </w:p>
    <w:p>
      <w:pPr>
        <w:pStyle w:val="7"/>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（三）一般公共预算财政拨款支出决算具体情况。</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2020年度一般公共预算财政拨款支出年初预算为</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846.15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%。其中:基本支出</w:t>
      </w:r>
      <w:r>
        <w:rPr>
          <w:rFonts w:hint="eastAsia" w:ascii="仿宋_GB2312" w:eastAsia="仿宋_GB2312" w:cs="仿宋_GB2312"/>
          <w:color w:val="000000"/>
          <w:sz w:val="32"/>
          <w:szCs w:val="32"/>
          <w:lang w:val="en-US" w:eastAsia="zh-CN"/>
        </w:rPr>
        <w:t>517.42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61.14</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328.73</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38.86</w:t>
      </w:r>
      <w:r>
        <w:rPr>
          <w:rFonts w:ascii="仿宋_GB2312" w:eastAsia="仿宋_GB2312" w:cs="仿宋_GB2312"/>
          <w:color w:val="000000"/>
          <w:sz w:val="32"/>
          <w:szCs w:val="32"/>
        </w:rPr>
        <w:t>%。具体情况如下：</w:t>
      </w:r>
    </w:p>
    <w:p>
      <w:pPr>
        <w:pStyle w:val="7"/>
        <w:widowControl/>
        <w:numPr>
          <w:ilvl w:val="0"/>
          <w:numId w:val="1"/>
        </w:numPr>
        <w:ind w:left="-14" w:leftChars="0" w:firstLine="640" w:firstLineChars="0"/>
        <w:rPr>
          <w:rFonts w:ascii="仿宋_GB2312" w:eastAsia="仿宋_GB2312" w:cs="仿宋_GB2312"/>
          <w:color w:val="000000"/>
          <w:sz w:val="32"/>
          <w:szCs w:val="32"/>
        </w:rPr>
      </w:pPr>
      <w:r>
        <w:rPr>
          <w:rFonts w:ascii="仿宋_GB2312" w:eastAsia="仿宋_GB2312" w:cs="仿宋_GB2312"/>
          <w:b/>
          <w:color w:val="000000"/>
          <w:sz w:val="32"/>
          <w:szCs w:val="32"/>
        </w:rPr>
        <w:t>一般公共服务（类）</w:t>
      </w:r>
      <w:r>
        <w:rPr>
          <w:rFonts w:hint="eastAsia" w:ascii="仿宋_GB2312" w:eastAsia="仿宋_GB2312" w:cs="仿宋_GB2312"/>
          <w:b/>
          <w:color w:val="000000"/>
          <w:sz w:val="32"/>
          <w:szCs w:val="32"/>
          <w:lang w:eastAsia="zh-CN"/>
        </w:rPr>
        <w:t>发展改革事务</w:t>
      </w:r>
      <w:r>
        <w:rPr>
          <w:rFonts w:ascii="仿宋_GB2312" w:eastAsia="仿宋_GB2312" w:cs="仿宋_GB2312"/>
          <w:b/>
          <w:color w:val="000000"/>
          <w:sz w:val="32"/>
          <w:szCs w:val="32"/>
        </w:rPr>
        <w:t>（款）行政运行（项）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45.54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45.54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w:t>
      </w:r>
      <w:r>
        <w:rPr>
          <w:rFonts w:ascii="仿宋_GB2312" w:eastAsia="仿宋_GB2312" w:cs="仿宋_GB2312"/>
          <w:b/>
          <w:color w:val="000000"/>
          <w:sz w:val="32"/>
          <w:szCs w:val="32"/>
        </w:rPr>
        <w:t>一般公共服务（类）</w:t>
      </w:r>
      <w:r>
        <w:rPr>
          <w:rFonts w:hint="eastAsia" w:ascii="仿宋_GB2312" w:eastAsia="仿宋_GB2312" w:cs="仿宋_GB2312"/>
          <w:b/>
          <w:color w:val="000000"/>
          <w:sz w:val="32"/>
          <w:szCs w:val="32"/>
          <w:lang w:eastAsia="zh-CN"/>
        </w:rPr>
        <w:t>发展改革事务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78.94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78.94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3.</w:t>
      </w:r>
      <w:r>
        <w:rPr>
          <w:rFonts w:ascii="仿宋_GB2312" w:eastAsia="仿宋_GB2312" w:cs="仿宋_GB2312"/>
          <w:b/>
          <w:color w:val="000000"/>
          <w:sz w:val="32"/>
          <w:szCs w:val="32"/>
        </w:rPr>
        <w:t>一般公共服务（类）</w:t>
      </w:r>
      <w:r>
        <w:rPr>
          <w:rFonts w:hint="eastAsia" w:ascii="仿宋_GB2312" w:eastAsia="仿宋_GB2312" w:cs="仿宋_GB2312"/>
          <w:b/>
          <w:color w:val="000000"/>
          <w:sz w:val="32"/>
          <w:szCs w:val="32"/>
          <w:lang w:eastAsia="zh-CN"/>
        </w:rPr>
        <w:t>发展改革事务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物价管理</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51.01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51.01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ascii="仿宋_GB2312" w:eastAsia="仿宋_GB2312" w:cs="仿宋_GB2312"/>
          <w:color w:val="000000"/>
          <w:sz w:val="32"/>
          <w:szCs w:val="32"/>
        </w:rPr>
      </w:pPr>
    </w:p>
    <w:p>
      <w:pPr>
        <w:pStyle w:val="7"/>
        <w:widowControl/>
        <w:ind w:firstLine="640"/>
        <w:rPr>
          <w:rFonts w:ascii="仿宋_GB2312" w:eastAsia="仿宋_GB2312" w:cs="仿宋_GB2312"/>
          <w:color w:val="000000"/>
          <w:sz w:val="32"/>
          <w:szCs w:val="32"/>
        </w:rPr>
      </w:pPr>
    </w:p>
    <w:p>
      <w:pPr>
        <w:pStyle w:val="7"/>
        <w:widowControl/>
        <w:ind w:firstLine="640"/>
        <w:rPr>
          <w:rFonts w:ascii="仿宋_GB2312" w:eastAsia="仿宋_GB2312" w:cs="仿宋_GB2312"/>
          <w:color w:val="000000"/>
          <w:sz w:val="32"/>
          <w:szCs w:val="32"/>
        </w:rPr>
      </w:pPr>
    </w:p>
    <w:p>
      <w:pPr>
        <w:pStyle w:val="7"/>
        <w:widowControl/>
        <w:numPr>
          <w:ilvl w:val="0"/>
          <w:numId w:val="2"/>
        </w:numPr>
        <w:ind w:firstLine="640"/>
        <w:rPr>
          <w:rFonts w:ascii="仿宋_GB2312" w:eastAsia="仿宋_GB2312" w:cs="仿宋_GB2312"/>
          <w:color w:val="000000"/>
          <w:sz w:val="32"/>
          <w:szCs w:val="32"/>
        </w:rPr>
      </w:pPr>
      <w:r>
        <w:rPr>
          <w:rFonts w:ascii="仿宋_GB2312" w:eastAsia="仿宋_GB2312" w:cs="仿宋_GB2312"/>
          <w:b/>
          <w:color w:val="000000"/>
          <w:sz w:val="32"/>
          <w:szCs w:val="32"/>
        </w:rPr>
        <w:t>一般公共服务（类）</w:t>
      </w:r>
      <w:r>
        <w:rPr>
          <w:rFonts w:hint="eastAsia" w:ascii="仿宋_GB2312" w:eastAsia="仿宋_GB2312" w:cs="仿宋_GB2312"/>
          <w:b/>
          <w:color w:val="000000"/>
          <w:sz w:val="32"/>
          <w:szCs w:val="32"/>
          <w:lang w:eastAsia="zh-CN"/>
        </w:rPr>
        <w:t>发展改革事务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其他发展改革事务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17.23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17.23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numPr>
          <w:ilvl w:val="0"/>
          <w:numId w:val="0"/>
        </w:numPr>
        <w:ind w:right="0" w:rightChars="0"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5.</w:t>
      </w:r>
      <w:r>
        <w:rPr>
          <w:rFonts w:ascii="仿宋_GB2312" w:eastAsia="仿宋_GB2312" w:cs="仿宋_GB2312"/>
          <w:b/>
          <w:color w:val="000000"/>
          <w:sz w:val="32"/>
          <w:szCs w:val="32"/>
        </w:rPr>
        <w:t>一般公共服务（类）</w:t>
      </w:r>
      <w:r>
        <w:rPr>
          <w:rFonts w:hint="eastAsia" w:ascii="仿宋_GB2312" w:eastAsia="仿宋_GB2312" w:cs="仿宋_GB2312"/>
          <w:b/>
          <w:color w:val="000000"/>
          <w:sz w:val="32"/>
          <w:szCs w:val="32"/>
          <w:lang w:eastAsia="zh-CN"/>
        </w:rPr>
        <w:t>商贸事务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招商引资</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52.84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52.84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numPr>
          <w:ilvl w:val="0"/>
          <w:numId w:val="0"/>
        </w:numPr>
        <w:ind w:right="0" w:rightChars="0"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6.社会保障和就业支出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行政单位离退休</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numPr>
          <w:ilvl w:val="0"/>
          <w:numId w:val="0"/>
        </w:numPr>
        <w:ind w:right="0" w:rightChars="0"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7.社会保障和就业支出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大中型水库移民后期扶持基金支出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移民补助</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numPr>
          <w:ilvl w:val="0"/>
          <w:numId w:val="0"/>
        </w:numPr>
        <w:ind w:right="0" w:rightChars="0"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8.社会保障和就业支出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其他社会保障和就业支出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其他社会保障和就业支出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0.01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0.01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9.</w:t>
      </w:r>
      <w:r>
        <w:rPr>
          <w:rFonts w:hint="eastAsia" w:ascii="仿宋_GB2312" w:eastAsia="仿宋_GB2312" w:cs="仿宋_GB2312"/>
          <w:b/>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 xml:space="preserve"> 行政单位医疗</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0.93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0.93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10.</w:t>
      </w:r>
      <w:r>
        <w:rPr>
          <w:rFonts w:hint="eastAsia" w:ascii="仿宋_GB2312" w:eastAsia="仿宋_GB2312" w:cs="仿宋_GB2312"/>
          <w:b/>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事业</w:t>
      </w:r>
      <w:r>
        <w:rPr>
          <w:rFonts w:hint="eastAsia" w:ascii="仿宋_GB2312" w:eastAsia="仿宋_GB2312" w:cs="仿宋_GB2312"/>
          <w:b/>
          <w:color w:val="000000"/>
          <w:sz w:val="32"/>
          <w:szCs w:val="32"/>
        </w:rPr>
        <w:t>单位医疗</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0.19</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0.19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11.节能环保</w:t>
      </w:r>
      <w:r>
        <w:rPr>
          <w:rFonts w:hint="eastAsia" w:ascii="仿宋_GB2312" w:eastAsia="仿宋_GB2312" w:cs="仿宋_GB2312"/>
          <w:b/>
          <w:color w:val="000000"/>
          <w:sz w:val="32"/>
          <w:szCs w:val="32"/>
          <w:lang w:eastAsia="zh-CN"/>
        </w:rPr>
        <w:t>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污染防治</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其他污染防治支出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5.06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5.06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12.节能环保</w:t>
      </w:r>
      <w:r>
        <w:rPr>
          <w:rFonts w:hint="eastAsia" w:ascii="仿宋_GB2312" w:eastAsia="仿宋_GB2312" w:cs="仿宋_GB2312"/>
          <w:b/>
          <w:color w:val="000000"/>
          <w:sz w:val="32"/>
          <w:szCs w:val="32"/>
          <w:lang w:eastAsia="zh-CN"/>
        </w:rPr>
        <w:t>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其他节能环保支出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其他节能环保支出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13.城乡社区支出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城乡社区管理事务（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其他城乡社区管理事务支出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14.城乡社区支出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国有土地使用权出让收入安排的支出（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 xml:space="preserve"> 征地和拆迁补偿支出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0.05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0.05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15.农林水支出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农业农村（</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农业资源保护修复与利用</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263.67</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263.67</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16.商业服务业等支出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商业流通事务（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260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260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17.商业服务业等支出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eastAsia="zh-CN"/>
        </w:rPr>
        <w:t>其他商业服务业等支出（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服务业基础设施建设</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8.54</w:t>
      </w:r>
      <w:r>
        <w:rPr>
          <w:rFonts w:ascii="仿宋_GB2312" w:eastAsia="仿宋_GB2312" w:cs="仿宋_GB2312"/>
          <w:color w:val="000000"/>
          <w:sz w:val="32"/>
          <w:szCs w:val="32"/>
        </w:rPr>
        <w:t>万元，支出决算</w:t>
      </w:r>
      <w:r>
        <w:rPr>
          <w:rFonts w:hint="eastAsia" w:ascii="仿宋_GB2312" w:eastAsia="仿宋_GB2312" w:cs="仿宋_GB2312"/>
          <w:color w:val="000000"/>
          <w:sz w:val="32"/>
          <w:szCs w:val="32"/>
          <w:lang w:val="en-US" w:eastAsia="zh-CN"/>
        </w:rPr>
        <w:t>8.54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18</w:t>
      </w:r>
      <w:r>
        <w:rPr>
          <w:rFonts w:ascii="仿宋_GB2312" w:eastAsia="仿宋_GB2312" w:cs="仿宋_GB2312"/>
          <w:b/>
          <w:bCs/>
          <w:color w:val="000000"/>
          <w:sz w:val="32"/>
          <w:szCs w:val="32"/>
        </w:rPr>
        <w:t>.</w:t>
      </w:r>
      <w:r>
        <w:rPr>
          <w:rFonts w:hint="eastAsia" w:ascii="仿宋_GB2312" w:eastAsia="仿宋_GB2312" w:cs="仿宋_GB2312"/>
          <w:b/>
          <w:bCs/>
          <w:color w:val="000000"/>
          <w:sz w:val="32"/>
          <w:szCs w:val="32"/>
          <w:lang w:eastAsia="zh-CN"/>
        </w:rPr>
        <w:t>住房保障支出</w:t>
      </w:r>
      <w:r>
        <w:rPr>
          <w:rFonts w:ascii="仿宋_GB2312" w:eastAsia="仿宋_GB2312" w:cs="仿宋_GB2312"/>
          <w:b/>
          <w:bCs/>
          <w:color w:val="000000"/>
          <w:sz w:val="32"/>
          <w:szCs w:val="32"/>
        </w:rPr>
        <w:t>（类）</w:t>
      </w:r>
      <w:r>
        <w:rPr>
          <w:rFonts w:hint="eastAsia" w:ascii="仿宋_GB2312" w:eastAsia="仿宋_GB2312" w:cs="仿宋_GB2312"/>
          <w:b/>
          <w:bCs/>
          <w:color w:val="000000"/>
          <w:sz w:val="32"/>
          <w:szCs w:val="32"/>
          <w:lang w:eastAsia="zh-CN"/>
        </w:rPr>
        <w:t>住房改革支出</w:t>
      </w:r>
      <w:r>
        <w:rPr>
          <w:rFonts w:ascii="仿宋_GB2312" w:eastAsia="仿宋_GB2312" w:cs="仿宋_GB2312"/>
          <w:b/>
          <w:bCs/>
          <w:color w:val="000000"/>
          <w:sz w:val="32"/>
          <w:szCs w:val="32"/>
        </w:rPr>
        <w:t>（款）</w:t>
      </w:r>
      <w:r>
        <w:rPr>
          <w:rFonts w:hint="eastAsia" w:ascii="仿宋_GB2312" w:eastAsia="仿宋_GB2312" w:cs="仿宋_GB2312"/>
          <w:b/>
          <w:bCs/>
          <w:color w:val="000000"/>
          <w:sz w:val="32"/>
          <w:szCs w:val="32"/>
          <w:lang w:eastAsia="zh-CN"/>
        </w:rPr>
        <w:t>住房公积金</w:t>
      </w:r>
      <w:r>
        <w:rPr>
          <w:rFonts w:ascii="仿宋_GB2312" w:eastAsia="仿宋_GB2312" w:cs="仿宋_GB2312"/>
          <w:b/>
          <w:bCs/>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3.17</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3.17</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六、一般公共预算财政拨款基本支出决算情况说明</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2020年度财政拨款基本支出</w:t>
      </w:r>
      <w:r>
        <w:rPr>
          <w:rFonts w:hint="eastAsia" w:ascii="仿宋_GB2312" w:eastAsia="仿宋_GB2312" w:cs="仿宋_GB2312"/>
          <w:color w:val="000000"/>
          <w:sz w:val="32"/>
          <w:szCs w:val="32"/>
          <w:lang w:val="en-US" w:eastAsia="zh-CN"/>
        </w:rPr>
        <w:t>517.42</w:t>
      </w:r>
      <w:r>
        <w:rPr>
          <w:rFonts w:ascii="仿宋_GB2312" w:eastAsia="仿宋_GB2312" w:cs="仿宋_GB2312"/>
          <w:color w:val="000000"/>
          <w:sz w:val="32"/>
          <w:szCs w:val="32"/>
        </w:rPr>
        <w:t>万元，其中：人员经费</w:t>
      </w:r>
      <w:r>
        <w:rPr>
          <w:rFonts w:hint="eastAsia" w:ascii="仿宋_GB2312" w:eastAsia="仿宋_GB2312" w:cs="仿宋_GB2312"/>
          <w:color w:val="000000"/>
          <w:sz w:val="32"/>
          <w:szCs w:val="32"/>
          <w:lang w:val="en-US" w:eastAsia="zh-CN"/>
        </w:rPr>
        <w:t>122.96</w:t>
      </w:r>
      <w:r>
        <w:rPr>
          <w:rFonts w:ascii="仿宋_GB2312" w:eastAsia="仿宋_GB2312" w:cs="仿宋_GB2312"/>
          <w:color w:val="000000"/>
          <w:sz w:val="32"/>
          <w:szCs w:val="32"/>
        </w:rPr>
        <w:t>万元，主要包括:基本工资、津贴补贴、其他社会保障缴费、住房公积金、医疗费、其他工资福利支出、对其他个人和家庭的补助支出；公用经费</w:t>
      </w:r>
      <w:r>
        <w:rPr>
          <w:rFonts w:hint="eastAsia" w:ascii="仿宋_GB2312" w:eastAsia="仿宋_GB2312" w:cs="仿宋_GB2312"/>
          <w:color w:val="000000"/>
          <w:sz w:val="32"/>
          <w:szCs w:val="32"/>
          <w:lang w:val="en-US" w:eastAsia="zh-CN"/>
        </w:rPr>
        <w:t>394.46</w:t>
      </w:r>
      <w:r>
        <w:rPr>
          <w:rFonts w:ascii="仿宋_GB2312" w:eastAsia="仿宋_GB2312" w:cs="仿宋_GB2312"/>
          <w:color w:val="000000"/>
          <w:sz w:val="32"/>
          <w:szCs w:val="32"/>
        </w:rPr>
        <w:t>万元，主要包括：办公费、印刷费、咨询费、手续费、差旅费、因公出国（境）费、维修（护）费、公务接待费、劳务费、委托业务费、其他交通费用、其他商品服务支出</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其他对企业补助等。</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七、政府性基金财政拨款收入支出决算情况说明</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2020年度政府性基金预算财政拨款年初结转和结余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万元，本年收入</w:t>
      </w:r>
      <w:r>
        <w:rPr>
          <w:rFonts w:hint="eastAsia" w:ascii="仿宋_GB2312" w:eastAsia="仿宋_GB2312" w:cs="仿宋_GB2312"/>
          <w:color w:val="000000"/>
          <w:sz w:val="32"/>
          <w:szCs w:val="32"/>
          <w:lang w:val="en-US" w:eastAsia="zh-CN"/>
        </w:rPr>
        <w:t>2.51</w:t>
      </w:r>
      <w:r>
        <w:rPr>
          <w:rFonts w:ascii="仿宋_GB2312" w:eastAsia="仿宋_GB2312" w:cs="仿宋_GB2312"/>
          <w:color w:val="000000"/>
          <w:sz w:val="32"/>
          <w:szCs w:val="32"/>
        </w:rPr>
        <w:t>万元，本年支出</w:t>
      </w:r>
      <w:r>
        <w:rPr>
          <w:rFonts w:hint="eastAsia" w:ascii="仿宋_GB2312" w:eastAsia="仿宋_GB2312" w:cs="仿宋_GB2312"/>
          <w:color w:val="000000"/>
          <w:sz w:val="32"/>
          <w:szCs w:val="32"/>
          <w:lang w:val="en-US" w:eastAsia="zh-CN"/>
        </w:rPr>
        <w:t>2.51</w:t>
      </w:r>
      <w:r>
        <w:rPr>
          <w:rFonts w:ascii="仿宋_GB2312" w:eastAsia="仿宋_GB2312" w:cs="仿宋_GB2312"/>
          <w:color w:val="000000"/>
          <w:sz w:val="32"/>
          <w:szCs w:val="32"/>
        </w:rPr>
        <w:t>万元，年末结转和结余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万元。具体情况说明如下：</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ascii="仿宋_GB2312" w:eastAsia="仿宋_GB2312" w:cs="仿宋_GB2312"/>
          <w:b/>
          <w:color w:val="000000"/>
          <w:sz w:val="32"/>
          <w:szCs w:val="32"/>
        </w:rPr>
        <w:t>社会保障和就业支出（类）</w:t>
      </w:r>
      <w:r>
        <w:rPr>
          <w:rFonts w:hint="eastAsia" w:ascii="仿宋_GB2312" w:eastAsia="仿宋_GB2312" w:cs="仿宋_GB2312"/>
          <w:b/>
          <w:color w:val="000000"/>
          <w:sz w:val="32"/>
          <w:szCs w:val="32"/>
        </w:rPr>
        <w:t>大中型水库移民后期扶持基金支出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移民补助</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城乡社区支出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国有土地使用权出让收入安排的支出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征地和拆迁补偿支出</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0.05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0.05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7"/>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八、国有资本经营预算财政拨款支出情况说明</w:t>
      </w:r>
    </w:p>
    <w:p>
      <w:pPr>
        <w:pStyle w:val="7"/>
        <w:widowControl/>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2020年度我委没有国有资本经营预算财政拨款收入，也没有使用国有资本经营预算财政拨款安排的支出。</w:t>
      </w:r>
    </w:p>
    <w:p>
      <w:pPr>
        <w:pStyle w:val="7"/>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九、其他重要事项情况说明</w:t>
      </w:r>
    </w:p>
    <w:p>
      <w:pPr>
        <w:pStyle w:val="7"/>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（一）机关运行经费支出情况。</w:t>
      </w:r>
    </w:p>
    <w:p>
      <w:pPr>
        <w:pStyle w:val="7"/>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w:t>
      </w:r>
      <w:r>
        <w:rPr>
          <w:rFonts w:hint="eastAsia" w:ascii="仿宋_GB2312" w:eastAsia="仿宋_GB2312" w:cs="仿宋_GB2312"/>
          <w:color w:val="000000"/>
          <w:sz w:val="32"/>
          <w:szCs w:val="32"/>
          <w:lang w:val="en-US" w:eastAsia="zh-CN"/>
        </w:rPr>
        <w:t>发改委</w:t>
      </w:r>
      <w:r>
        <w:rPr>
          <w:rFonts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394.46</w:t>
      </w:r>
      <w:r>
        <w:rPr>
          <w:rFonts w:ascii="仿宋_GB2312" w:eastAsia="仿宋_GB2312" w:cs="仿宋_GB2312"/>
          <w:color w:val="000000"/>
          <w:sz w:val="32"/>
          <w:szCs w:val="32"/>
        </w:rPr>
        <w:t>万元，比2019年增加（</w:t>
      </w:r>
      <w:r>
        <w:rPr>
          <w:rFonts w:hint="eastAsia" w:ascii="仿宋_GB2312" w:eastAsia="仿宋_GB2312" w:cs="仿宋_GB2312"/>
          <w:color w:val="000000"/>
          <w:sz w:val="32"/>
          <w:szCs w:val="32"/>
          <w:lang w:val="en-US" w:eastAsia="zh-CN"/>
        </w:rPr>
        <w:t>334</w:t>
      </w:r>
      <w:r>
        <w:rPr>
          <w:rFonts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553</w:t>
      </w:r>
      <w:r>
        <w:rPr>
          <w:rFonts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增加了对企业的扶持</w:t>
      </w:r>
      <w:r>
        <w:rPr>
          <w:rFonts w:ascii="仿宋_GB2312" w:eastAsia="仿宋_GB2312" w:cs="仿宋_GB2312"/>
          <w:color w:val="000000"/>
          <w:sz w:val="32"/>
          <w:szCs w:val="32"/>
        </w:rPr>
        <w:t>。</w:t>
      </w:r>
    </w:p>
    <w:p>
      <w:pPr>
        <w:pStyle w:val="7"/>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（二）政府采购支出情况。</w:t>
      </w:r>
    </w:p>
    <w:p>
      <w:pPr>
        <w:pStyle w:val="7"/>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w:t>
      </w:r>
      <w:r>
        <w:rPr>
          <w:rFonts w:hint="eastAsia" w:ascii="仿宋_GB2312" w:eastAsia="仿宋_GB2312" w:cs="仿宋_GB2312"/>
          <w:color w:val="000000"/>
          <w:sz w:val="32"/>
          <w:szCs w:val="32"/>
          <w:lang w:eastAsia="zh-CN"/>
        </w:rPr>
        <w:t>无</w:t>
      </w:r>
      <w:r>
        <w:rPr>
          <w:rFonts w:ascii="仿宋_GB2312" w:eastAsia="仿宋_GB2312" w:cs="仿宋_GB2312"/>
          <w:color w:val="000000"/>
          <w:sz w:val="32"/>
          <w:szCs w:val="32"/>
        </w:rPr>
        <w:t>政府采购支出。</w:t>
      </w:r>
    </w:p>
    <w:p>
      <w:pPr>
        <w:pStyle w:val="7"/>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pPr>
        <w:pStyle w:val="7"/>
        <w:widowControl/>
        <w:snapToGrid w:val="0"/>
        <w:spacing w:line="600" w:lineRule="atLeast"/>
        <w:ind w:firstLine="640"/>
        <w:rPr>
          <w:rFonts w:ascii="楷体_GB2312" w:eastAsia="楷体_GB2312" w:cs="楷体_GB2312"/>
          <w:color w:val="000000"/>
          <w:sz w:val="32"/>
          <w:szCs w:val="32"/>
        </w:rPr>
      </w:pPr>
      <w:r>
        <w:rPr>
          <w:rFonts w:ascii="仿宋_GB2312" w:eastAsia="仿宋_GB2312" w:cs="仿宋_GB2312"/>
          <w:color w:val="000000"/>
          <w:sz w:val="32"/>
          <w:szCs w:val="32"/>
        </w:rPr>
        <w:t>截至2020年12月31日，共有车辆</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w:t>
      </w:r>
      <w:r>
        <w:rPr>
          <w:rFonts w:ascii="仿宋_GB2312" w:eastAsia="仿宋_GB2312" w:cs="仿宋_GB2312"/>
          <w:color w:val="000000"/>
          <w:sz w:val="32"/>
          <w:szCs w:val="32"/>
        </w:rPr>
        <w:br w:type="textWrapping"/>
      </w:r>
      <w:r>
        <w:rPr>
          <w:rFonts w:ascii="楷体_GB2312" w:eastAsia="楷体_GB2312" w:cs="楷体_GB2312"/>
          <w:color w:val="000000"/>
          <w:sz w:val="32"/>
          <w:szCs w:val="32"/>
        </w:rPr>
        <w:t xml:space="preserve">    （四）关于2020年度预算绩效情况说明</w:t>
      </w:r>
    </w:p>
    <w:p>
      <w:pPr>
        <w:pStyle w:val="7"/>
        <w:widowControl/>
        <w:ind w:firstLine="640"/>
        <w:rPr>
          <w:rFonts w:ascii="仿宋_GB2312" w:eastAsia="仿宋_GB2312" w:cs="仿宋_GB2312"/>
          <w:b/>
          <w:color w:val="000000"/>
          <w:sz w:val="32"/>
          <w:szCs w:val="32"/>
        </w:rPr>
      </w:pPr>
      <w:r>
        <w:rPr>
          <w:rFonts w:ascii="仿宋_GB2312" w:eastAsia="仿宋_GB2312" w:cs="仿宋_GB2312"/>
          <w:b/>
          <w:color w:val="000000"/>
          <w:sz w:val="32"/>
          <w:szCs w:val="32"/>
        </w:rPr>
        <w:t>1.预算绩效管理工作开展情况</w:t>
      </w:r>
    </w:p>
    <w:p>
      <w:pPr>
        <w:pStyle w:val="7"/>
        <w:widowControl/>
        <w:ind w:firstLine="640"/>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根据预算绩效管理要求，本部门组织对2020年度纳入部门预算的项目支出全面开展了绩效自评，共</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个项目，涉及资金</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万元，占项目预算总额的</w:t>
      </w:r>
      <w:r>
        <w:rPr>
          <w:rFonts w:hint="eastAsia" w:ascii="仿宋_GB2312" w:eastAsia="仿宋_GB2312" w:cs="仿宋_GB2312"/>
          <w:color w:val="000000"/>
          <w:sz w:val="32"/>
          <w:szCs w:val="32"/>
          <w:lang w:val="en-US" w:eastAsia="zh-CN"/>
        </w:rPr>
        <w:t>0.29</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该项目为水库移民补助，补助通过街道进行公示，并完成发放，达到逾期目标。</w:t>
      </w:r>
    </w:p>
    <w:p>
      <w:pPr>
        <w:pStyle w:val="7"/>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本部门共组织对“</w:t>
      </w:r>
      <w:r>
        <w:rPr>
          <w:rFonts w:hint="eastAsia" w:ascii="仿宋_GB2312" w:eastAsia="仿宋_GB2312" w:cs="仿宋_GB2312"/>
          <w:color w:val="000000"/>
          <w:sz w:val="32"/>
          <w:szCs w:val="32"/>
          <w:lang w:eastAsia="zh-CN"/>
        </w:rPr>
        <w:t>移民补助</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个项目开展了部门绩效评价，涉及资金</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万元。该项目开展绩效评价的组织方式即部门自主实施。从评价情况看，</w:t>
      </w:r>
      <w:r>
        <w:rPr>
          <w:rFonts w:hint="eastAsia" w:ascii="仿宋_GB2312" w:eastAsia="仿宋_GB2312" w:cs="仿宋_GB2312"/>
          <w:color w:val="000000"/>
          <w:sz w:val="32"/>
          <w:szCs w:val="32"/>
          <w:lang w:eastAsia="zh-CN"/>
        </w:rPr>
        <w:t>上述两个项目均较好完成，取得了良好的经济效益和社会效益，达到预期</w:t>
      </w:r>
      <w:r>
        <w:rPr>
          <w:rFonts w:ascii="仿宋_GB2312" w:eastAsia="仿宋_GB2312" w:cs="仿宋_GB2312"/>
          <w:color w:val="000000"/>
          <w:sz w:val="32"/>
          <w:szCs w:val="32"/>
        </w:rPr>
        <w:t>。</w:t>
      </w:r>
    </w:p>
    <w:p>
      <w:pPr>
        <w:pStyle w:val="7"/>
        <w:widowControl/>
        <w:ind w:firstLine="640"/>
        <w:rPr>
          <w:rFonts w:ascii="仿宋_GB2312" w:eastAsia="仿宋_GB2312" w:cs="仿宋_GB2312"/>
          <w:b/>
          <w:color w:val="000000"/>
          <w:sz w:val="32"/>
          <w:szCs w:val="32"/>
        </w:rPr>
      </w:pPr>
      <w:r>
        <w:rPr>
          <w:rFonts w:ascii="仿宋_GB2312" w:eastAsia="仿宋_GB2312" w:cs="仿宋_GB2312"/>
          <w:b/>
          <w:color w:val="000000"/>
          <w:sz w:val="32"/>
          <w:szCs w:val="32"/>
        </w:rPr>
        <w:t>2.部门决算中项目绩效自评结果</w:t>
      </w:r>
    </w:p>
    <w:p>
      <w:pPr>
        <w:pStyle w:val="7"/>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eastAsia="zh-CN"/>
        </w:rPr>
        <w:t>淮南市八公山区发展和改革委员会</w:t>
      </w:r>
      <w:r>
        <w:rPr>
          <w:rFonts w:ascii="仿宋_GB2312" w:eastAsia="仿宋_GB2312" w:cs="仿宋_GB2312"/>
          <w:color w:val="000000"/>
          <w:sz w:val="32"/>
          <w:szCs w:val="32"/>
        </w:rPr>
        <w:t>单位在2020年度部门决算中公开</w:t>
      </w:r>
      <w:r>
        <w:rPr>
          <w:rFonts w:ascii="Times New Roman" w:hAnsi="Times New Roman" w:eastAsia="仿宋_GB2312"/>
          <w:color w:val="000000"/>
          <w:sz w:val="32"/>
          <w:szCs w:val="32"/>
        </w:rPr>
        <w:t>“</w:t>
      </w:r>
      <w:r>
        <w:rPr>
          <w:rFonts w:hint="eastAsia" w:ascii="仿宋_GB2312" w:eastAsia="仿宋_GB2312" w:cs="仿宋_GB2312"/>
          <w:b/>
          <w:color w:val="000000"/>
          <w:sz w:val="32"/>
          <w:szCs w:val="32"/>
          <w:lang w:eastAsia="zh-CN"/>
        </w:rPr>
        <w:t>移民补助</w:t>
      </w:r>
      <w:r>
        <w:rPr>
          <w:rFonts w:ascii="仿宋_GB2312" w:eastAsia="仿宋_GB2312" w:cs="仿宋_GB2312"/>
          <w:color w:val="000000"/>
          <w:sz w:val="32"/>
          <w:szCs w:val="32"/>
        </w:rPr>
        <w:t>”等</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个项目绩效自评结果。</w:t>
      </w:r>
    </w:p>
    <w:p>
      <w:pPr>
        <w:pStyle w:val="7"/>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eastAsia="zh-CN"/>
        </w:rPr>
        <w:t>移民补助</w:t>
      </w:r>
      <w:r>
        <w:rPr>
          <w:rFonts w:ascii="仿宋_GB2312" w:eastAsia="仿宋_GB2312" w:cs="仿宋_GB2312"/>
          <w:color w:val="000000"/>
          <w:sz w:val="32"/>
          <w:szCs w:val="32"/>
        </w:rPr>
        <w:t>项目绩效自评综述：根据年初设定的绩效目标，</w:t>
      </w:r>
      <w:r>
        <w:rPr>
          <w:rFonts w:hint="eastAsia" w:ascii="仿宋_GB2312" w:eastAsia="仿宋_GB2312" w:cs="仿宋_GB2312"/>
          <w:color w:val="000000"/>
          <w:sz w:val="32"/>
          <w:szCs w:val="32"/>
          <w:lang w:eastAsia="zh-CN"/>
        </w:rPr>
        <w:t>移民</w:t>
      </w:r>
      <w:r>
        <w:rPr>
          <w:rFonts w:ascii="仿宋_GB2312" w:eastAsia="仿宋_GB2312" w:cs="仿宋_GB2312"/>
          <w:color w:val="000000"/>
          <w:sz w:val="32"/>
          <w:szCs w:val="32"/>
        </w:rPr>
        <w:t>项目绩效自评得分为</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分。项目全年预算数为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2.46</w:t>
      </w:r>
      <w:r>
        <w:rPr>
          <w:rFonts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%。主要产出和效果：通过项目实施，</w:t>
      </w:r>
      <w:r>
        <w:rPr>
          <w:rFonts w:hint="eastAsia" w:ascii="楷体_GB2312" w:eastAsia="楷体_GB2312" w:cs="楷体_GB2312"/>
          <w:color w:val="000000"/>
          <w:sz w:val="32"/>
          <w:szCs w:val="32"/>
          <w:lang w:eastAsia="zh-CN"/>
        </w:rPr>
        <w:t>完成对三峡水库移民的补助工作，取得良好的社会效益</w:t>
      </w:r>
      <w:r>
        <w:rPr>
          <w:rFonts w:ascii="仿宋_GB2312" w:eastAsia="仿宋_GB2312" w:cs="仿宋_GB2312"/>
          <w:color w:val="000000"/>
          <w:sz w:val="32"/>
          <w:szCs w:val="32"/>
        </w:rPr>
        <w:t>。</w:t>
      </w:r>
    </w:p>
    <w:p>
      <w:pPr>
        <w:pStyle w:val="7"/>
        <w:widowControl/>
        <w:ind w:firstLine="640"/>
        <w:rPr>
          <w:rFonts w:ascii="楷体_GB2312" w:eastAsia="楷体_GB2312" w:cs="楷体_GB2312"/>
          <w:color w:val="000000"/>
          <w:sz w:val="32"/>
          <w:szCs w:val="32"/>
        </w:rPr>
      </w:pPr>
      <w:r>
        <w:rPr>
          <w:rFonts w:ascii="仿宋_GB2312" w:eastAsia="仿宋_GB2312" w:cs="仿宋_GB2312"/>
          <w:b/>
          <w:color w:val="000000"/>
          <w:sz w:val="32"/>
          <w:szCs w:val="32"/>
        </w:rPr>
        <w:t>3.部门评价项目绩效评价结果。</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水库移民</w:t>
      </w:r>
      <w:r>
        <w:rPr>
          <w:rFonts w:ascii="仿宋_GB2312" w:eastAsia="仿宋_GB2312" w:cs="仿宋_GB2312"/>
          <w:color w:val="000000"/>
          <w:sz w:val="32"/>
          <w:szCs w:val="32"/>
        </w:rPr>
        <w:t>项目绩效评价报告》</w:t>
      </w:r>
    </w:p>
    <w:p>
      <w:pPr>
        <w:pStyle w:val="7"/>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第四部分 名词解释</w:t>
      </w:r>
    </w:p>
    <w:p>
      <w:pPr>
        <w:pStyle w:val="7"/>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pPr>
        <w:pStyle w:val="7"/>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pPr>
        <w:pStyle w:val="7"/>
        <w:widowControl/>
        <w:autoSpaceDE w:val="0"/>
        <w:snapToGrid w:val="0"/>
        <w:spacing w:line="600" w:lineRule="atLeast"/>
        <w:ind w:firstLine="640"/>
        <w:rPr>
          <w:rFonts w:ascii="仿宋_GB2312" w:eastAsia="仿宋_GB2312" w:cs="仿宋_GB2312"/>
          <w:b/>
          <w:color w:val="000000"/>
          <w:sz w:val="32"/>
          <w:szCs w:val="32"/>
        </w:rPr>
      </w:pPr>
      <w:r>
        <w:rPr>
          <w:rFonts w:ascii="仿宋_GB2312" w:eastAsia="仿宋_GB2312" w:cs="仿宋_GB2312"/>
          <w:b/>
          <w:color w:val="000000"/>
          <w:sz w:val="32"/>
          <w:szCs w:val="32"/>
        </w:rPr>
        <w:t>三、上级补助收入：</w:t>
      </w:r>
      <w:r>
        <w:rPr>
          <w:rFonts w:ascii="仿宋_GB2312" w:eastAsia="仿宋_GB2312" w:cs="仿宋_GB2312"/>
          <w:color w:val="000000"/>
          <w:sz w:val="32"/>
          <w:szCs w:val="32"/>
        </w:rPr>
        <w:t>指事业单位从主管部门和上级单位取得的非财政补助收入。</w:t>
      </w:r>
    </w:p>
    <w:p>
      <w:pPr>
        <w:pStyle w:val="8"/>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四、附属单位上缴收入：</w:t>
      </w:r>
      <w:r>
        <w:rPr>
          <w:rFonts w:hint="default" w:ascii="仿宋_GB2312" w:eastAsia="仿宋_GB2312" w:cs="仿宋_GB2312"/>
          <w:color w:val="000000"/>
          <w:sz w:val="32"/>
          <w:szCs w:val="32"/>
        </w:rPr>
        <w:t>指事业单位附属独立核算单位按照有关规定上缴的收入。</w:t>
      </w:r>
    </w:p>
    <w:p>
      <w:pPr>
        <w:pStyle w:val="8"/>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五、经营收入</w:t>
      </w:r>
      <w:r>
        <w:rPr>
          <w:rFonts w:cs="宋体"/>
          <w:b/>
          <w:color w:val="000000"/>
        </w:rPr>
        <w:t>：</w:t>
      </w:r>
      <w:r>
        <w:rPr>
          <w:rFonts w:hint="default" w:ascii="仿宋_GB2312" w:eastAsia="仿宋_GB2312" w:cs="仿宋_GB2312"/>
          <w:color w:val="000000"/>
          <w:sz w:val="32"/>
          <w:szCs w:val="32"/>
        </w:rPr>
        <w:t>指事业单位在专业业务活动及其辅助活动之外开展非独立核算经营活动取得的收入。</w:t>
      </w:r>
    </w:p>
    <w:p>
      <w:pPr>
        <w:pStyle w:val="8"/>
        <w:widowControl/>
        <w:autoSpaceDE w:val="0"/>
        <w:snapToGrid w:val="0"/>
        <w:spacing w:before="0" w:after="0" w:line="600" w:lineRule="atLeast"/>
        <w:ind w:firstLine="627"/>
        <w:rPr>
          <w:rFonts w:cs="宋体"/>
          <w:b/>
          <w:color w:val="000000"/>
        </w:rPr>
      </w:pPr>
      <w:r>
        <w:rPr>
          <w:rFonts w:hint="default" w:ascii="仿宋_GB2312" w:eastAsia="仿宋_GB2312" w:cs="仿宋_GB2312"/>
          <w:b/>
          <w:color w:val="000000"/>
          <w:sz w:val="32"/>
          <w:szCs w:val="32"/>
        </w:rPr>
        <w:t>六、其他收入：</w:t>
      </w:r>
      <w:r>
        <w:rPr>
          <w:rFonts w:hint="default" w:ascii="仿宋_GB2312" w:eastAsia="仿宋_GB2312" w:cs="仿宋_GB2312"/>
          <w:color w:val="000000"/>
          <w:sz w:val="32"/>
          <w:szCs w:val="32"/>
        </w:rPr>
        <w:t>指除财政拨款收入、事业收入、上级补助收入、附属单位上缴收入、经营收入以外的各项收入。</w:t>
      </w:r>
    </w:p>
    <w:p>
      <w:pPr>
        <w:pStyle w:val="8"/>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七、年初结转和结余：</w:t>
      </w:r>
      <w:r>
        <w:rPr>
          <w:rFonts w:hint="default" w:ascii="仿宋_GB2312" w:eastAsia="仿宋_GB2312" w:cs="仿宋_GB2312"/>
          <w:color w:val="000000"/>
          <w:sz w:val="32"/>
          <w:szCs w:val="32"/>
        </w:rPr>
        <w:t>指以前年度安排、结转到本年仍按原规定用途继续使用的资金。</w:t>
      </w:r>
    </w:p>
    <w:p>
      <w:pPr>
        <w:pStyle w:val="8"/>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八、结余分配：</w:t>
      </w:r>
      <w:r>
        <w:rPr>
          <w:rFonts w:hint="default" w:ascii="仿宋_GB2312" w:eastAsia="仿宋_GB2312" w:cs="仿宋_GB2312"/>
          <w:color w:val="000000"/>
          <w:sz w:val="32"/>
          <w:szCs w:val="32"/>
        </w:rPr>
        <w:t>指事业单位按照会计制度规定缴纳的所得税以及从非财政拨款结余中提取的职工福利基金、事业基金等。</w:t>
      </w:r>
    </w:p>
    <w:p>
      <w:pPr>
        <w:pStyle w:val="8"/>
        <w:widowControl/>
        <w:autoSpaceDE w:val="0"/>
        <w:snapToGrid w:val="0"/>
        <w:spacing w:before="0" w:after="0" w:line="600" w:lineRule="atLeast"/>
        <w:ind w:firstLine="627"/>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九、年末结转和结余：</w:t>
      </w:r>
      <w:r>
        <w:rPr>
          <w:rFonts w:hint="default" w:ascii="仿宋_GB2312" w:eastAsia="仿宋_GB2312" w:cs="仿宋_GB2312"/>
          <w:color w:val="000000"/>
          <w:sz w:val="32"/>
          <w:szCs w:val="32"/>
        </w:rPr>
        <w:t>指单位本年度或以前年度预算安排、因客观条件发生变化未全部执行或未执行，结转到以后年度继续使用的资金，或项目已经完成等产生的结余资金。</w:t>
      </w:r>
    </w:p>
    <w:p>
      <w:pPr>
        <w:pStyle w:val="8"/>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十、基本支出：</w:t>
      </w:r>
      <w:r>
        <w:rPr>
          <w:rFonts w:hint="default" w:ascii="仿宋_GB2312" w:eastAsia="仿宋_GB2312" w:cs="仿宋_GB2312"/>
          <w:color w:val="000000"/>
          <w:sz w:val="32"/>
          <w:szCs w:val="32"/>
        </w:rPr>
        <w:t>指单位为保障其机构正常运转、完成日常工作任务而发生的人员支出和公用支出。</w:t>
      </w:r>
    </w:p>
    <w:p>
      <w:pPr>
        <w:pStyle w:val="8"/>
        <w:widowControl/>
        <w:autoSpaceDE w:val="0"/>
        <w:spacing w:before="0" w:after="0" w:line="600" w:lineRule="atLeast"/>
        <w:ind w:firstLine="627"/>
        <w:jc w:val="both"/>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十一、项目支出：</w:t>
      </w:r>
      <w:r>
        <w:rPr>
          <w:rFonts w:hint="default" w:ascii="仿宋_GB2312" w:eastAsia="仿宋_GB2312" w:cs="仿宋_GB2312"/>
          <w:color w:val="000000"/>
          <w:sz w:val="32"/>
          <w:szCs w:val="32"/>
        </w:rPr>
        <w:t>指单位为完成特定行政任务和事业发展目标在基本支出之外所发生的支出。</w:t>
      </w:r>
      <w:r>
        <w:rPr>
          <w:rFonts w:hint="default" w:ascii="仿宋_GB2312" w:eastAsia="仿宋_GB2312" w:cs="仿宋_GB2312"/>
          <w:color w:val="000000"/>
          <w:sz w:val="32"/>
          <w:szCs w:val="32"/>
        </w:rPr>
        <w:br w:type="textWrapping"/>
      </w:r>
      <w:r>
        <w:rPr>
          <w:rFonts w:hint="default" w:ascii="仿宋_GB2312" w:eastAsia="仿宋_GB2312" w:cs="仿宋_GB2312"/>
          <w:color w:val="000000"/>
          <w:sz w:val="32"/>
          <w:szCs w:val="32"/>
        </w:rPr>
        <w:t xml:space="preserve">    </w:t>
      </w:r>
      <w:r>
        <w:rPr>
          <w:rFonts w:hint="default" w:ascii="仿宋_GB2312" w:eastAsia="仿宋_GB2312" w:cs="仿宋_GB2312"/>
          <w:b/>
          <w:color w:val="000000"/>
          <w:sz w:val="32"/>
          <w:szCs w:val="32"/>
        </w:rPr>
        <w:t>十二、经营支出：</w:t>
      </w:r>
      <w:r>
        <w:rPr>
          <w:rFonts w:hint="default" w:ascii="仿宋_GB2312" w:eastAsia="仿宋_GB2312" w:cs="仿宋_GB2312"/>
          <w:color w:val="000000"/>
          <w:sz w:val="32"/>
          <w:szCs w:val="32"/>
        </w:rPr>
        <w:t>指事业单位在专业业务活动及其辅助活动之外开展非独立核算经营活动发生的支出。</w:t>
      </w:r>
    </w:p>
    <w:p>
      <w:pPr>
        <w:pStyle w:val="8"/>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十三、</w:t>
      </w:r>
      <w:r>
        <w:rPr>
          <w:rFonts w:cs="宋体"/>
          <w:b/>
          <w:color w:val="000000"/>
          <w:sz w:val="32"/>
          <w:szCs w:val="32"/>
        </w:rPr>
        <w:t>“</w:t>
      </w:r>
      <w:r>
        <w:rPr>
          <w:rFonts w:hint="default" w:ascii="仿宋_GB2312" w:eastAsia="仿宋_GB2312" w:cs="仿宋_GB2312"/>
          <w:b/>
          <w:color w:val="000000"/>
          <w:sz w:val="32"/>
          <w:szCs w:val="32"/>
        </w:rPr>
        <w:t>三公</w:t>
      </w:r>
      <w:r>
        <w:rPr>
          <w:rFonts w:cs="宋体"/>
          <w:b/>
          <w:color w:val="000000"/>
          <w:sz w:val="32"/>
          <w:szCs w:val="32"/>
        </w:rPr>
        <w:t>”</w:t>
      </w:r>
      <w:r>
        <w:rPr>
          <w:rFonts w:hint="default" w:ascii="仿宋_GB2312" w:eastAsia="仿宋_GB2312" w:cs="仿宋_GB2312"/>
          <w:b/>
          <w:color w:val="000000"/>
          <w:sz w:val="32"/>
          <w:szCs w:val="32"/>
        </w:rPr>
        <w:t>经费：</w:t>
      </w:r>
      <w:r>
        <w:rPr>
          <w:rFonts w:hint="default" w:ascii="仿宋_GB2312" w:eastAsia="仿宋_GB2312" w:cs="仿宋_GB2312"/>
          <w:color w:val="000000"/>
          <w:sz w:val="32"/>
          <w:szCs w:val="32"/>
        </w:rPr>
        <w:t>纳入财政预决算管理的</w:t>
      </w:r>
      <w:r>
        <w:rPr>
          <w:rFonts w:cs="宋体"/>
          <w:color w:val="000000"/>
          <w:sz w:val="32"/>
          <w:szCs w:val="32"/>
        </w:rPr>
        <w:t>“</w:t>
      </w:r>
      <w:r>
        <w:rPr>
          <w:rFonts w:hint="default" w:ascii="仿宋_GB2312" w:eastAsia="仿宋_GB2312" w:cs="仿宋_GB2312"/>
          <w:color w:val="000000"/>
          <w:sz w:val="32"/>
          <w:szCs w:val="32"/>
        </w:rPr>
        <w:t>三公</w:t>
      </w:r>
      <w:r>
        <w:rPr>
          <w:rFonts w:cs="宋体"/>
          <w:color w:val="000000"/>
          <w:sz w:val="32"/>
          <w:szCs w:val="32"/>
        </w:rPr>
        <w:t>”</w:t>
      </w:r>
      <w:r>
        <w:rPr>
          <w:rFonts w:hint="default" w:ascii="仿宋_GB2312" w:eastAsia="仿宋_GB2312" w:cs="仿宋_GB2312"/>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8"/>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十四、机关运行经费</w:t>
      </w:r>
      <w:r>
        <w:rPr>
          <w:rFonts w:hint="default" w:ascii="仿宋_GB2312" w:eastAsia="仿宋_GB2312" w:cs="仿宋_GB2312"/>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pPr>
        <w:pStyle w:val="7"/>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pPr>
        <w:pStyle w:val="7"/>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pPr>
        <w:pStyle w:val="7"/>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Align="top"/>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27</w:t>
    </w:r>
    <w:r>
      <w:rPr>
        <w:rFonts w:hint="eastAsia" w:ascii="仿宋_GB2312"/>
        <w:sz w:val="28"/>
        <w:szCs w:val="28"/>
      </w:rPr>
      <w:fldChar w:fldCharType="end"/>
    </w:r>
    <w:r>
      <w:rPr>
        <w:rStyle w:val="6"/>
        <w:rFonts w:hint="eastAsia" w:ascii="仿宋_GB2312"/>
        <w:sz w:val="28"/>
        <w:szCs w:val="28"/>
      </w:rPr>
      <w:t>-</w:t>
    </w:r>
  </w:p>
  <w:p>
    <w:pPr>
      <w:pStyle w:val="2"/>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Align="top"/>
      <w:rPr>
        <w:rStyle w:val="6"/>
      </w:rPr>
    </w:pPr>
    <w:r>
      <w:fldChar w:fldCharType="begin"/>
    </w:r>
    <w:r>
      <w:rPr>
        <w:rStyle w:val="6"/>
      </w:rPr>
      <w:instrText xml:space="preserve">PAGE  </w:instrText>
    </w:r>
    <w:r>
      <w:fldChar w:fldCharType="separate"/>
    </w:r>
    <w:r>
      <w:rPr>
        <w:rStyle w:val="6"/>
        <w:lang w:val="zh-CN"/>
      </w:rPr>
      <w:t>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B54E3"/>
    <w:multiLevelType w:val="singleLevel"/>
    <w:tmpl w:val="A4CB54E3"/>
    <w:lvl w:ilvl="0" w:tentative="0">
      <w:start w:val="1"/>
      <w:numFmt w:val="decimal"/>
      <w:lvlText w:val="%1."/>
      <w:lvlJc w:val="left"/>
      <w:pPr>
        <w:tabs>
          <w:tab w:val="left" w:pos="312"/>
        </w:tabs>
        <w:ind w:left="-14"/>
      </w:pPr>
    </w:lvl>
  </w:abstractNum>
  <w:abstractNum w:abstractNumId="1">
    <w:nsid w:val="EAC69E05"/>
    <w:multiLevelType w:val="singleLevel"/>
    <w:tmpl w:val="EAC69E05"/>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B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uiPriority w:val="0"/>
  </w:style>
  <w:style w:type="paragraph" w:customStyle="1" w:styleId="7">
    <w:name w:val="p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8">
    <w:name w:val="p16"/>
    <w:basedOn w:val="1"/>
    <w:uiPriority w:val="0"/>
    <w:pPr>
      <w:keepNext w:val="0"/>
      <w:keepLines w:val="0"/>
      <w:widowControl w:val="0"/>
      <w:suppressLineNumbers w:val="0"/>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2021-11-05T01:07:08Z</dcterms:created>
  <dc:creator>admin</dc:creator>
  <cp:lastModifiedBy>admin</cp:lastModifiedBy>
  <dcterms:modified xsi:type="dcterms:W3CDTF">2021-11-05T01:07:32Z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