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6A3" w:rsidRPr="00F826A3" w:rsidRDefault="00F826A3" w:rsidP="00F826A3">
      <w:pPr>
        <w:jc w:val="center"/>
        <w:rPr>
          <w:rFonts w:ascii="宋体" w:eastAsia="仿宋_GB2312" w:hAnsi="宋体" w:cs="宋体"/>
          <w:b/>
          <w:sz w:val="36"/>
          <w:szCs w:val="36"/>
        </w:rPr>
      </w:pPr>
      <w:r w:rsidRPr="00F826A3">
        <w:rPr>
          <w:rFonts w:ascii="宋体" w:eastAsia="仿宋_GB2312" w:hAnsi="宋体" w:cs="Times New Roman" w:hint="eastAsia"/>
          <w:b/>
          <w:sz w:val="36"/>
          <w:szCs w:val="36"/>
        </w:rPr>
        <w:t>八公山区</w:t>
      </w:r>
      <w:r w:rsidRPr="00F826A3">
        <w:rPr>
          <w:rFonts w:ascii="仿宋_GB2312" w:eastAsia="仿宋_GB2312" w:hAnsi="仿宋" w:cs="Times New Roman" w:hint="eastAsia"/>
          <w:b/>
          <w:bCs/>
          <w:sz w:val="36"/>
          <w:szCs w:val="36"/>
        </w:rPr>
        <w:t>城市最低生活保障管理中心</w:t>
      </w:r>
      <w:r w:rsidRPr="00F826A3">
        <w:rPr>
          <w:rFonts w:ascii="宋体" w:eastAsia="仿宋_GB2312" w:hAnsi="宋体" w:cs="宋体" w:hint="eastAsia"/>
          <w:b/>
          <w:sz w:val="36"/>
          <w:szCs w:val="36"/>
        </w:rPr>
        <w:t>2019</w:t>
      </w:r>
      <w:r w:rsidRPr="00F826A3">
        <w:rPr>
          <w:rFonts w:ascii="宋体" w:eastAsia="仿宋_GB2312" w:hAnsi="宋体" w:cs="宋体" w:hint="eastAsia"/>
          <w:b/>
          <w:sz w:val="36"/>
          <w:szCs w:val="36"/>
        </w:rPr>
        <w:t>年度一般公共预算财政拨款“三公”经费支出决算情况说明</w:t>
      </w:r>
    </w:p>
    <w:p w:rsidR="00F826A3" w:rsidRPr="00F826A3" w:rsidRDefault="00F826A3" w:rsidP="00F826A3">
      <w:pPr>
        <w:jc w:val="center"/>
        <w:rPr>
          <w:rFonts w:ascii="楷体_GB2312" w:eastAsia="楷体_GB2312" w:hAnsi="Times New Roman" w:cs="Times New Roman"/>
          <w:sz w:val="32"/>
          <w:szCs w:val="32"/>
        </w:rPr>
      </w:pPr>
    </w:p>
    <w:p w:rsidR="00F826A3" w:rsidRPr="00F826A3" w:rsidRDefault="00F826A3" w:rsidP="00F826A3">
      <w:pPr>
        <w:adjustRightInd w:val="0"/>
        <w:snapToGrid w:val="0"/>
        <w:spacing w:line="360" w:lineRule="auto"/>
        <w:jc w:val="center"/>
        <w:rPr>
          <w:rFonts w:ascii="宋体" w:eastAsia="仿宋_GB2312" w:hAnsi="宋体" w:cs="Times New Roman"/>
          <w:sz w:val="6"/>
          <w:szCs w:val="32"/>
        </w:rPr>
      </w:pPr>
    </w:p>
    <w:p w:rsidR="00F826A3" w:rsidRPr="00F826A3" w:rsidRDefault="00F826A3" w:rsidP="00F826A3">
      <w:pPr>
        <w:rPr>
          <w:rFonts w:ascii="黑体" w:eastAsia="黑体" w:hAnsi="黑体" w:cs="Times New Roman"/>
          <w:sz w:val="32"/>
          <w:szCs w:val="32"/>
        </w:rPr>
      </w:pPr>
      <w:r w:rsidRPr="00F826A3">
        <w:rPr>
          <w:rFonts w:ascii="黑体" w:eastAsia="黑体" w:hAnsi="黑体" w:cs="Times New Roman" w:hint="eastAsia"/>
          <w:sz w:val="32"/>
          <w:szCs w:val="32"/>
        </w:rPr>
        <w:t>一、2019年度一般公共预算财政拨款“三公”经费支出决算表</w:t>
      </w:r>
    </w:p>
    <w:p w:rsidR="00F826A3" w:rsidRPr="00F826A3" w:rsidRDefault="00F826A3" w:rsidP="00F826A3">
      <w:pPr>
        <w:ind w:firstLineChars="2298" w:firstLine="7212"/>
        <w:jc w:val="center"/>
        <w:rPr>
          <w:rFonts w:ascii="黑体" w:eastAsia="黑体" w:hAnsi="黑体" w:cs="Times New Roman"/>
          <w:sz w:val="32"/>
          <w:szCs w:val="32"/>
        </w:rPr>
      </w:pPr>
      <w:r w:rsidRPr="00F826A3">
        <w:rPr>
          <w:rFonts w:ascii="仿宋_GB2312" w:eastAsia="仿宋_GB2312" w:hAnsi="仿宋_GB2312" w:cs="仿宋_GB2312" w:hint="eastAsia"/>
          <w:sz w:val="32"/>
          <w:szCs w:val="32"/>
        </w:rPr>
        <w:t>单位：万元</w:t>
      </w:r>
    </w:p>
    <w:tbl>
      <w:tblPr>
        <w:tblpPr w:leftFromText="180" w:rightFromText="180" w:vertAnchor="text" w:horzAnchor="margin" w:tblpY="454"/>
        <w:tblOverlap w:val="never"/>
        <w:tblW w:w="0" w:type="auto"/>
        <w:tblLayout w:type="fixed"/>
        <w:tblLook w:val="04A0"/>
      </w:tblPr>
      <w:tblGrid>
        <w:gridCol w:w="4379"/>
        <w:gridCol w:w="2157"/>
        <w:gridCol w:w="2220"/>
      </w:tblGrid>
      <w:tr w:rsidR="00F826A3" w:rsidRPr="00F826A3" w:rsidTr="00047005">
        <w:trPr>
          <w:trHeight w:val="397"/>
        </w:trPr>
        <w:tc>
          <w:tcPr>
            <w:tcW w:w="4379" w:type="dxa"/>
            <w:tcBorders>
              <w:top w:val="single" w:sz="4" w:space="0" w:color="auto"/>
              <w:left w:val="single" w:sz="4" w:space="0" w:color="auto"/>
              <w:bottom w:val="single" w:sz="4" w:space="0" w:color="auto"/>
              <w:right w:val="single" w:sz="4" w:space="0" w:color="auto"/>
            </w:tcBorders>
            <w:vAlign w:val="center"/>
          </w:tcPr>
          <w:p w:rsidR="00F826A3" w:rsidRPr="00F826A3" w:rsidRDefault="00F826A3" w:rsidP="00F826A3">
            <w:pPr>
              <w:widowControl/>
              <w:jc w:val="center"/>
              <w:rPr>
                <w:rFonts w:ascii="宋体" w:eastAsia="仿宋_GB2312" w:hAnsi="宋体" w:cs="宋体"/>
                <w:b/>
                <w:bCs/>
                <w:kern w:val="0"/>
                <w:sz w:val="32"/>
                <w:szCs w:val="21"/>
              </w:rPr>
            </w:pPr>
            <w:r w:rsidRPr="00F826A3">
              <w:rPr>
                <w:rFonts w:ascii="宋体" w:eastAsia="仿宋_GB2312" w:hAnsi="宋体" w:cs="宋体" w:hint="eastAsia"/>
                <w:b/>
                <w:bCs/>
                <w:kern w:val="0"/>
                <w:sz w:val="32"/>
                <w:szCs w:val="21"/>
              </w:rPr>
              <w:t>项</w:t>
            </w:r>
            <w:r w:rsidRPr="00F826A3">
              <w:rPr>
                <w:rFonts w:ascii="宋体" w:eastAsia="仿宋_GB2312" w:hAnsi="宋体" w:cs="宋体" w:hint="eastAsia"/>
                <w:b/>
                <w:bCs/>
                <w:kern w:val="0"/>
                <w:sz w:val="32"/>
                <w:szCs w:val="21"/>
              </w:rPr>
              <w:t xml:space="preserve">  </w:t>
            </w:r>
            <w:r w:rsidRPr="00F826A3">
              <w:rPr>
                <w:rFonts w:ascii="宋体" w:eastAsia="仿宋_GB2312" w:hAnsi="宋体" w:cs="宋体" w:hint="eastAsia"/>
                <w:b/>
                <w:bCs/>
                <w:kern w:val="0"/>
                <w:sz w:val="32"/>
                <w:szCs w:val="21"/>
              </w:rPr>
              <w:t>目</w:t>
            </w:r>
          </w:p>
        </w:tc>
        <w:tc>
          <w:tcPr>
            <w:tcW w:w="2157" w:type="dxa"/>
            <w:tcBorders>
              <w:top w:val="single" w:sz="4" w:space="0" w:color="auto"/>
              <w:left w:val="nil"/>
              <w:bottom w:val="single" w:sz="4" w:space="0" w:color="auto"/>
              <w:right w:val="single" w:sz="4" w:space="0" w:color="auto"/>
            </w:tcBorders>
            <w:vAlign w:val="center"/>
          </w:tcPr>
          <w:p w:rsidR="00F826A3" w:rsidRPr="00F826A3" w:rsidRDefault="00F826A3" w:rsidP="00F826A3">
            <w:pPr>
              <w:widowControl/>
              <w:jc w:val="center"/>
              <w:rPr>
                <w:rFonts w:ascii="宋体" w:eastAsia="仿宋_GB2312" w:hAnsi="宋体" w:cs="宋体"/>
                <w:b/>
                <w:bCs/>
                <w:kern w:val="0"/>
                <w:sz w:val="32"/>
                <w:szCs w:val="21"/>
              </w:rPr>
            </w:pPr>
            <w:r w:rsidRPr="00F826A3">
              <w:rPr>
                <w:rFonts w:ascii="宋体" w:eastAsia="仿宋_GB2312" w:hAnsi="宋体" w:cs="宋体" w:hint="eastAsia"/>
                <w:b/>
                <w:bCs/>
                <w:kern w:val="0"/>
                <w:sz w:val="32"/>
                <w:szCs w:val="21"/>
              </w:rPr>
              <w:t>预</w:t>
            </w:r>
            <w:r w:rsidRPr="00F826A3">
              <w:rPr>
                <w:rFonts w:ascii="宋体" w:eastAsia="仿宋_GB2312" w:hAnsi="宋体" w:cs="宋体" w:hint="eastAsia"/>
                <w:b/>
                <w:bCs/>
                <w:kern w:val="0"/>
                <w:sz w:val="32"/>
                <w:szCs w:val="21"/>
              </w:rPr>
              <w:t xml:space="preserve"> </w:t>
            </w:r>
            <w:r w:rsidRPr="00F826A3">
              <w:rPr>
                <w:rFonts w:ascii="宋体" w:eastAsia="仿宋_GB2312" w:hAnsi="宋体" w:cs="宋体" w:hint="eastAsia"/>
                <w:b/>
                <w:bCs/>
                <w:kern w:val="0"/>
                <w:sz w:val="32"/>
                <w:szCs w:val="21"/>
              </w:rPr>
              <w:t>算</w:t>
            </w:r>
            <w:r w:rsidRPr="00F826A3">
              <w:rPr>
                <w:rFonts w:ascii="宋体" w:eastAsia="仿宋_GB2312" w:hAnsi="宋体" w:cs="宋体" w:hint="eastAsia"/>
                <w:b/>
                <w:bCs/>
                <w:kern w:val="0"/>
                <w:sz w:val="32"/>
                <w:szCs w:val="21"/>
              </w:rPr>
              <w:t xml:space="preserve"> </w:t>
            </w:r>
            <w:r w:rsidRPr="00F826A3">
              <w:rPr>
                <w:rFonts w:ascii="宋体" w:eastAsia="仿宋_GB2312" w:hAnsi="宋体" w:cs="宋体" w:hint="eastAsia"/>
                <w:b/>
                <w:bCs/>
                <w:kern w:val="0"/>
                <w:sz w:val="32"/>
                <w:szCs w:val="21"/>
              </w:rPr>
              <w:t>数</w:t>
            </w:r>
          </w:p>
        </w:tc>
        <w:tc>
          <w:tcPr>
            <w:tcW w:w="2220" w:type="dxa"/>
            <w:tcBorders>
              <w:top w:val="single" w:sz="4" w:space="0" w:color="auto"/>
              <w:left w:val="nil"/>
              <w:bottom w:val="single" w:sz="4" w:space="0" w:color="auto"/>
              <w:right w:val="single" w:sz="4" w:space="0" w:color="auto"/>
            </w:tcBorders>
            <w:vAlign w:val="center"/>
          </w:tcPr>
          <w:p w:rsidR="00F826A3" w:rsidRPr="00F826A3" w:rsidRDefault="00F826A3" w:rsidP="00F826A3">
            <w:pPr>
              <w:widowControl/>
              <w:jc w:val="center"/>
              <w:rPr>
                <w:rFonts w:ascii="宋体" w:eastAsia="仿宋_GB2312" w:hAnsi="宋体" w:cs="宋体"/>
                <w:b/>
                <w:bCs/>
                <w:kern w:val="0"/>
                <w:sz w:val="32"/>
                <w:szCs w:val="21"/>
              </w:rPr>
            </w:pPr>
            <w:r w:rsidRPr="00F826A3">
              <w:rPr>
                <w:rFonts w:ascii="宋体" w:eastAsia="仿宋_GB2312" w:hAnsi="宋体" w:cs="宋体" w:hint="eastAsia"/>
                <w:b/>
                <w:bCs/>
                <w:kern w:val="0"/>
                <w:sz w:val="32"/>
                <w:szCs w:val="21"/>
              </w:rPr>
              <w:t>决</w:t>
            </w:r>
            <w:r w:rsidRPr="00F826A3">
              <w:rPr>
                <w:rFonts w:ascii="宋体" w:eastAsia="仿宋_GB2312" w:hAnsi="宋体" w:cs="宋体" w:hint="eastAsia"/>
                <w:b/>
                <w:bCs/>
                <w:kern w:val="0"/>
                <w:sz w:val="32"/>
                <w:szCs w:val="21"/>
              </w:rPr>
              <w:t xml:space="preserve"> </w:t>
            </w:r>
            <w:r w:rsidRPr="00F826A3">
              <w:rPr>
                <w:rFonts w:ascii="宋体" w:eastAsia="仿宋_GB2312" w:hAnsi="宋体" w:cs="宋体" w:hint="eastAsia"/>
                <w:b/>
                <w:bCs/>
                <w:kern w:val="0"/>
                <w:sz w:val="32"/>
                <w:szCs w:val="21"/>
              </w:rPr>
              <w:t>算</w:t>
            </w:r>
            <w:r w:rsidRPr="00F826A3">
              <w:rPr>
                <w:rFonts w:ascii="宋体" w:eastAsia="仿宋_GB2312" w:hAnsi="宋体" w:cs="宋体" w:hint="eastAsia"/>
                <w:b/>
                <w:bCs/>
                <w:kern w:val="0"/>
                <w:sz w:val="32"/>
                <w:szCs w:val="21"/>
              </w:rPr>
              <w:t xml:space="preserve"> </w:t>
            </w:r>
            <w:r w:rsidRPr="00F826A3">
              <w:rPr>
                <w:rFonts w:ascii="宋体" w:eastAsia="仿宋_GB2312" w:hAnsi="宋体" w:cs="宋体" w:hint="eastAsia"/>
                <w:b/>
                <w:bCs/>
                <w:kern w:val="0"/>
                <w:sz w:val="32"/>
                <w:szCs w:val="21"/>
              </w:rPr>
              <w:t>数</w:t>
            </w:r>
          </w:p>
        </w:tc>
      </w:tr>
      <w:tr w:rsidR="00F826A3" w:rsidRPr="00F826A3" w:rsidTr="00047005">
        <w:trPr>
          <w:trHeight w:val="397"/>
        </w:trPr>
        <w:tc>
          <w:tcPr>
            <w:tcW w:w="4379" w:type="dxa"/>
            <w:tcBorders>
              <w:top w:val="nil"/>
              <w:left w:val="single" w:sz="4" w:space="0" w:color="auto"/>
              <w:bottom w:val="single" w:sz="4" w:space="0" w:color="auto"/>
              <w:right w:val="single" w:sz="4" w:space="0" w:color="auto"/>
            </w:tcBorders>
            <w:vAlign w:val="center"/>
          </w:tcPr>
          <w:p w:rsidR="00F826A3" w:rsidRPr="00F826A3" w:rsidRDefault="00F826A3" w:rsidP="00F826A3">
            <w:pPr>
              <w:widowControl/>
              <w:jc w:val="center"/>
              <w:rPr>
                <w:rFonts w:ascii="宋体" w:eastAsia="仿宋_GB2312" w:hAnsi="宋体" w:cs="宋体"/>
                <w:b/>
                <w:bCs/>
                <w:kern w:val="0"/>
                <w:sz w:val="32"/>
                <w:szCs w:val="21"/>
              </w:rPr>
            </w:pPr>
            <w:r w:rsidRPr="00F826A3">
              <w:rPr>
                <w:rFonts w:ascii="宋体" w:eastAsia="仿宋_GB2312" w:hAnsi="宋体" w:cs="宋体" w:hint="eastAsia"/>
                <w:b/>
                <w:bCs/>
                <w:kern w:val="0"/>
                <w:sz w:val="32"/>
                <w:szCs w:val="21"/>
              </w:rPr>
              <w:t>合</w:t>
            </w:r>
            <w:r w:rsidRPr="00F826A3">
              <w:rPr>
                <w:rFonts w:ascii="宋体" w:eastAsia="仿宋_GB2312" w:hAnsi="宋体" w:cs="宋体" w:hint="eastAsia"/>
                <w:b/>
                <w:bCs/>
                <w:kern w:val="0"/>
                <w:sz w:val="32"/>
                <w:szCs w:val="21"/>
              </w:rPr>
              <w:t xml:space="preserve">  </w:t>
            </w:r>
            <w:r w:rsidRPr="00F826A3">
              <w:rPr>
                <w:rFonts w:ascii="宋体" w:eastAsia="仿宋_GB2312" w:hAnsi="宋体" w:cs="宋体" w:hint="eastAsia"/>
                <w:b/>
                <w:bCs/>
                <w:kern w:val="0"/>
                <w:sz w:val="32"/>
                <w:szCs w:val="21"/>
              </w:rPr>
              <w:t>计</w:t>
            </w:r>
          </w:p>
        </w:tc>
        <w:tc>
          <w:tcPr>
            <w:tcW w:w="2157" w:type="dxa"/>
            <w:tcBorders>
              <w:top w:val="nil"/>
              <w:left w:val="nil"/>
              <w:bottom w:val="single" w:sz="4" w:space="0" w:color="auto"/>
              <w:right w:val="single" w:sz="4" w:space="0" w:color="auto"/>
            </w:tcBorders>
            <w:vAlign w:val="center"/>
          </w:tcPr>
          <w:p w:rsidR="00F826A3" w:rsidRPr="00F826A3" w:rsidRDefault="00F826A3" w:rsidP="00F826A3">
            <w:pPr>
              <w:widowControl/>
              <w:jc w:val="center"/>
              <w:rPr>
                <w:rFonts w:ascii="宋体" w:eastAsia="仿宋_GB2312" w:hAnsi="宋体" w:cs="宋体"/>
                <w:b/>
                <w:bCs/>
                <w:kern w:val="0"/>
                <w:sz w:val="32"/>
                <w:szCs w:val="21"/>
              </w:rPr>
            </w:pPr>
            <w:r w:rsidRPr="00F826A3">
              <w:rPr>
                <w:rFonts w:ascii="宋体" w:eastAsia="仿宋_GB2312" w:hAnsi="宋体" w:cs="宋体" w:hint="eastAsia"/>
                <w:b/>
                <w:bCs/>
                <w:kern w:val="0"/>
                <w:sz w:val="32"/>
                <w:szCs w:val="21"/>
              </w:rPr>
              <w:t>0.07</w:t>
            </w:r>
          </w:p>
        </w:tc>
        <w:tc>
          <w:tcPr>
            <w:tcW w:w="2220" w:type="dxa"/>
            <w:tcBorders>
              <w:top w:val="nil"/>
              <w:left w:val="nil"/>
              <w:bottom w:val="single" w:sz="4" w:space="0" w:color="auto"/>
              <w:right w:val="single" w:sz="4" w:space="0" w:color="auto"/>
            </w:tcBorders>
            <w:vAlign w:val="center"/>
          </w:tcPr>
          <w:p w:rsidR="00F826A3" w:rsidRPr="00F826A3" w:rsidRDefault="00F826A3" w:rsidP="00F826A3">
            <w:pPr>
              <w:widowControl/>
              <w:jc w:val="center"/>
              <w:rPr>
                <w:rFonts w:ascii="宋体" w:eastAsia="仿宋_GB2312" w:hAnsi="宋体" w:cs="宋体"/>
                <w:b/>
                <w:bCs/>
                <w:kern w:val="0"/>
                <w:sz w:val="32"/>
                <w:szCs w:val="21"/>
              </w:rPr>
            </w:pPr>
            <w:r w:rsidRPr="00F826A3">
              <w:rPr>
                <w:rFonts w:ascii="宋体" w:eastAsia="仿宋_GB2312" w:hAnsi="宋体" w:cs="宋体" w:hint="eastAsia"/>
                <w:b/>
                <w:bCs/>
                <w:kern w:val="0"/>
                <w:sz w:val="32"/>
                <w:szCs w:val="21"/>
              </w:rPr>
              <w:t>0.07</w:t>
            </w:r>
          </w:p>
        </w:tc>
      </w:tr>
      <w:tr w:rsidR="00F826A3" w:rsidRPr="00F826A3" w:rsidTr="00047005">
        <w:trPr>
          <w:trHeight w:val="397"/>
        </w:trPr>
        <w:tc>
          <w:tcPr>
            <w:tcW w:w="4379" w:type="dxa"/>
            <w:tcBorders>
              <w:top w:val="nil"/>
              <w:left w:val="single" w:sz="4" w:space="0" w:color="auto"/>
              <w:bottom w:val="single" w:sz="4" w:space="0" w:color="auto"/>
              <w:right w:val="single" w:sz="4" w:space="0" w:color="auto"/>
            </w:tcBorders>
            <w:vAlign w:val="center"/>
          </w:tcPr>
          <w:p w:rsidR="00F826A3" w:rsidRPr="00F826A3" w:rsidRDefault="00F826A3" w:rsidP="00F826A3">
            <w:pPr>
              <w:widowControl/>
              <w:jc w:val="center"/>
              <w:rPr>
                <w:rFonts w:ascii="宋体" w:eastAsia="仿宋_GB2312" w:hAnsi="宋体" w:cs="宋体"/>
                <w:kern w:val="0"/>
                <w:sz w:val="32"/>
                <w:szCs w:val="21"/>
              </w:rPr>
            </w:pPr>
            <w:r w:rsidRPr="00F826A3">
              <w:rPr>
                <w:rFonts w:ascii="宋体" w:eastAsia="仿宋_GB2312" w:hAnsi="宋体" w:cs="宋体" w:hint="eastAsia"/>
                <w:kern w:val="0"/>
                <w:sz w:val="32"/>
                <w:szCs w:val="21"/>
              </w:rPr>
              <w:t>因公出国（境）费</w:t>
            </w:r>
          </w:p>
        </w:tc>
        <w:tc>
          <w:tcPr>
            <w:tcW w:w="2157" w:type="dxa"/>
            <w:tcBorders>
              <w:top w:val="nil"/>
              <w:left w:val="nil"/>
              <w:bottom w:val="single" w:sz="4" w:space="0" w:color="auto"/>
              <w:right w:val="single" w:sz="4" w:space="0" w:color="auto"/>
            </w:tcBorders>
            <w:vAlign w:val="bottom"/>
          </w:tcPr>
          <w:p w:rsidR="00F826A3" w:rsidRPr="00F826A3" w:rsidRDefault="00F826A3" w:rsidP="00F826A3">
            <w:pPr>
              <w:widowControl/>
              <w:jc w:val="center"/>
              <w:rPr>
                <w:rFonts w:ascii="宋体" w:eastAsia="仿宋_GB2312" w:hAnsi="宋体" w:cs="宋体"/>
                <w:kern w:val="0"/>
                <w:sz w:val="32"/>
                <w:szCs w:val="21"/>
              </w:rPr>
            </w:pPr>
            <w:r w:rsidRPr="00F826A3">
              <w:rPr>
                <w:rFonts w:ascii="宋体" w:eastAsia="仿宋_GB2312" w:hAnsi="宋体" w:cs="宋体" w:hint="eastAsia"/>
                <w:kern w:val="0"/>
                <w:sz w:val="32"/>
                <w:szCs w:val="21"/>
              </w:rPr>
              <w:t>0.00</w:t>
            </w:r>
          </w:p>
        </w:tc>
        <w:tc>
          <w:tcPr>
            <w:tcW w:w="2220" w:type="dxa"/>
            <w:tcBorders>
              <w:top w:val="nil"/>
              <w:left w:val="nil"/>
              <w:bottom w:val="single" w:sz="4" w:space="0" w:color="auto"/>
              <w:right w:val="single" w:sz="4" w:space="0" w:color="auto"/>
            </w:tcBorders>
            <w:vAlign w:val="bottom"/>
          </w:tcPr>
          <w:p w:rsidR="00F826A3" w:rsidRPr="00F826A3" w:rsidRDefault="00F826A3" w:rsidP="00F826A3">
            <w:pPr>
              <w:widowControl/>
              <w:jc w:val="center"/>
              <w:rPr>
                <w:rFonts w:ascii="宋体" w:eastAsia="仿宋_GB2312" w:hAnsi="宋体" w:cs="宋体"/>
                <w:kern w:val="0"/>
                <w:sz w:val="32"/>
                <w:szCs w:val="21"/>
              </w:rPr>
            </w:pPr>
            <w:r w:rsidRPr="00F826A3">
              <w:rPr>
                <w:rFonts w:ascii="宋体" w:eastAsia="仿宋_GB2312" w:hAnsi="宋体" w:cs="宋体" w:hint="eastAsia"/>
                <w:kern w:val="0"/>
                <w:sz w:val="32"/>
                <w:szCs w:val="21"/>
              </w:rPr>
              <w:t>0.00</w:t>
            </w:r>
          </w:p>
        </w:tc>
      </w:tr>
      <w:tr w:rsidR="00F826A3" w:rsidRPr="00F826A3" w:rsidTr="00047005">
        <w:trPr>
          <w:trHeight w:val="397"/>
        </w:trPr>
        <w:tc>
          <w:tcPr>
            <w:tcW w:w="4379" w:type="dxa"/>
            <w:tcBorders>
              <w:top w:val="nil"/>
              <w:left w:val="single" w:sz="4" w:space="0" w:color="auto"/>
              <w:bottom w:val="single" w:sz="4" w:space="0" w:color="auto"/>
              <w:right w:val="single" w:sz="4" w:space="0" w:color="auto"/>
            </w:tcBorders>
            <w:vAlign w:val="center"/>
          </w:tcPr>
          <w:p w:rsidR="00F826A3" w:rsidRPr="00F826A3" w:rsidRDefault="00F826A3" w:rsidP="00F826A3">
            <w:pPr>
              <w:widowControl/>
              <w:jc w:val="center"/>
              <w:rPr>
                <w:rFonts w:ascii="宋体" w:eastAsia="仿宋_GB2312" w:hAnsi="宋体" w:cs="宋体"/>
                <w:kern w:val="0"/>
                <w:sz w:val="32"/>
                <w:szCs w:val="21"/>
              </w:rPr>
            </w:pPr>
            <w:r w:rsidRPr="00F826A3">
              <w:rPr>
                <w:rFonts w:ascii="宋体" w:eastAsia="仿宋_GB2312" w:hAnsi="宋体" w:cs="宋体" w:hint="eastAsia"/>
                <w:kern w:val="0"/>
                <w:sz w:val="32"/>
                <w:szCs w:val="21"/>
              </w:rPr>
              <w:t>公务接待费</w:t>
            </w:r>
          </w:p>
        </w:tc>
        <w:tc>
          <w:tcPr>
            <w:tcW w:w="2157" w:type="dxa"/>
            <w:tcBorders>
              <w:top w:val="nil"/>
              <w:left w:val="nil"/>
              <w:bottom w:val="single" w:sz="4" w:space="0" w:color="auto"/>
              <w:right w:val="single" w:sz="4" w:space="0" w:color="auto"/>
            </w:tcBorders>
            <w:vAlign w:val="bottom"/>
          </w:tcPr>
          <w:p w:rsidR="00F826A3" w:rsidRPr="00F826A3" w:rsidRDefault="00F826A3" w:rsidP="00F826A3">
            <w:pPr>
              <w:widowControl/>
              <w:jc w:val="center"/>
              <w:rPr>
                <w:rFonts w:ascii="宋体" w:eastAsia="仿宋_GB2312" w:hAnsi="宋体" w:cs="宋体"/>
                <w:kern w:val="0"/>
                <w:sz w:val="32"/>
                <w:szCs w:val="21"/>
              </w:rPr>
            </w:pPr>
            <w:r w:rsidRPr="00F826A3">
              <w:rPr>
                <w:rFonts w:ascii="宋体" w:eastAsia="仿宋_GB2312" w:hAnsi="宋体" w:cs="宋体" w:hint="eastAsia"/>
                <w:kern w:val="0"/>
                <w:sz w:val="32"/>
                <w:szCs w:val="21"/>
              </w:rPr>
              <w:t>0.07</w:t>
            </w:r>
          </w:p>
        </w:tc>
        <w:tc>
          <w:tcPr>
            <w:tcW w:w="2220" w:type="dxa"/>
            <w:tcBorders>
              <w:top w:val="nil"/>
              <w:left w:val="nil"/>
              <w:bottom w:val="single" w:sz="4" w:space="0" w:color="auto"/>
              <w:right w:val="single" w:sz="4" w:space="0" w:color="auto"/>
            </w:tcBorders>
            <w:vAlign w:val="bottom"/>
          </w:tcPr>
          <w:p w:rsidR="00F826A3" w:rsidRPr="00F826A3" w:rsidRDefault="00F826A3" w:rsidP="00F826A3">
            <w:pPr>
              <w:widowControl/>
              <w:jc w:val="center"/>
              <w:rPr>
                <w:rFonts w:ascii="宋体" w:eastAsia="仿宋_GB2312" w:hAnsi="宋体" w:cs="宋体"/>
                <w:kern w:val="0"/>
                <w:sz w:val="32"/>
                <w:szCs w:val="21"/>
              </w:rPr>
            </w:pPr>
            <w:r w:rsidRPr="00F826A3">
              <w:rPr>
                <w:rFonts w:ascii="宋体" w:eastAsia="仿宋_GB2312" w:hAnsi="宋体" w:cs="宋体" w:hint="eastAsia"/>
                <w:kern w:val="0"/>
                <w:sz w:val="32"/>
                <w:szCs w:val="21"/>
              </w:rPr>
              <w:t>0.07</w:t>
            </w:r>
          </w:p>
        </w:tc>
      </w:tr>
      <w:tr w:rsidR="00F826A3" w:rsidRPr="00F826A3" w:rsidTr="00047005">
        <w:trPr>
          <w:trHeight w:val="397"/>
        </w:trPr>
        <w:tc>
          <w:tcPr>
            <w:tcW w:w="4379" w:type="dxa"/>
            <w:tcBorders>
              <w:top w:val="nil"/>
              <w:left w:val="single" w:sz="4" w:space="0" w:color="auto"/>
              <w:bottom w:val="single" w:sz="4" w:space="0" w:color="auto"/>
              <w:right w:val="single" w:sz="4" w:space="0" w:color="auto"/>
            </w:tcBorders>
            <w:vAlign w:val="center"/>
          </w:tcPr>
          <w:p w:rsidR="00F826A3" w:rsidRPr="00F826A3" w:rsidRDefault="00F826A3" w:rsidP="00F826A3">
            <w:pPr>
              <w:widowControl/>
              <w:jc w:val="center"/>
              <w:rPr>
                <w:rFonts w:ascii="宋体" w:eastAsia="仿宋_GB2312" w:hAnsi="宋体" w:cs="宋体"/>
                <w:kern w:val="0"/>
                <w:sz w:val="32"/>
                <w:szCs w:val="21"/>
              </w:rPr>
            </w:pPr>
            <w:r w:rsidRPr="00F826A3">
              <w:rPr>
                <w:rFonts w:ascii="宋体" w:eastAsia="仿宋_GB2312" w:hAnsi="宋体" w:cs="宋体" w:hint="eastAsia"/>
                <w:kern w:val="0"/>
                <w:sz w:val="32"/>
                <w:szCs w:val="21"/>
              </w:rPr>
              <w:t>公务用车购置及运行费</w:t>
            </w:r>
          </w:p>
        </w:tc>
        <w:tc>
          <w:tcPr>
            <w:tcW w:w="2157" w:type="dxa"/>
            <w:tcBorders>
              <w:top w:val="nil"/>
              <w:left w:val="nil"/>
              <w:bottom w:val="single" w:sz="4" w:space="0" w:color="auto"/>
              <w:right w:val="single" w:sz="4" w:space="0" w:color="auto"/>
            </w:tcBorders>
            <w:vAlign w:val="bottom"/>
          </w:tcPr>
          <w:p w:rsidR="00F826A3" w:rsidRPr="00F826A3" w:rsidRDefault="00F826A3" w:rsidP="00F826A3">
            <w:pPr>
              <w:widowControl/>
              <w:jc w:val="center"/>
              <w:rPr>
                <w:rFonts w:ascii="宋体" w:eastAsia="仿宋_GB2312" w:hAnsi="宋体" w:cs="宋体"/>
                <w:kern w:val="0"/>
                <w:sz w:val="32"/>
                <w:szCs w:val="21"/>
              </w:rPr>
            </w:pPr>
            <w:r w:rsidRPr="00F826A3">
              <w:rPr>
                <w:rFonts w:ascii="宋体" w:eastAsia="仿宋_GB2312" w:hAnsi="宋体" w:cs="宋体" w:hint="eastAsia"/>
                <w:kern w:val="0"/>
                <w:sz w:val="32"/>
                <w:szCs w:val="21"/>
              </w:rPr>
              <w:t>0.00</w:t>
            </w:r>
          </w:p>
        </w:tc>
        <w:tc>
          <w:tcPr>
            <w:tcW w:w="2220" w:type="dxa"/>
            <w:tcBorders>
              <w:top w:val="nil"/>
              <w:left w:val="nil"/>
              <w:bottom w:val="single" w:sz="4" w:space="0" w:color="auto"/>
              <w:right w:val="single" w:sz="4" w:space="0" w:color="auto"/>
            </w:tcBorders>
            <w:vAlign w:val="bottom"/>
          </w:tcPr>
          <w:p w:rsidR="00F826A3" w:rsidRPr="00F826A3" w:rsidRDefault="00F826A3" w:rsidP="00F826A3">
            <w:pPr>
              <w:widowControl/>
              <w:jc w:val="center"/>
              <w:rPr>
                <w:rFonts w:ascii="宋体" w:eastAsia="仿宋_GB2312" w:hAnsi="宋体" w:cs="宋体"/>
                <w:kern w:val="0"/>
                <w:sz w:val="32"/>
                <w:szCs w:val="21"/>
              </w:rPr>
            </w:pPr>
            <w:r w:rsidRPr="00F826A3">
              <w:rPr>
                <w:rFonts w:ascii="宋体" w:eastAsia="仿宋_GB2312" w:hAnsi="宋体" w:cs="宋体" w:hint="eastAsia"/>
                <w:kern w:val="0"/>
                <w:sz w:val="32"/>
                <w:szCs w:val="21"/>
              </w:rPr>
              <w:t>0.00</w:t>
            </w:r>
          </w:p>
        </w:tc>
      </w:tr>
      <w:tr w:rsidR="00F826A3" w:rsidRPr="00F826A3" w:rsidTr="00047005">
        <w:trPr>
          <w:trHeight w:val="397"/>
        </w:trPr>
        <w:tc>
          <w:tcPr>
            <w:tcW w:w="4379" w:type="dxa"/>
            <w:tcBorders>
              <w:top w:val="nil"/>
              <w:left w:val="single" w:sz="4" w:space="0" w:color="auto"/>
              <w:bottom w:val="single" w:sz="4" w:space="0" w:color="auto"/>
              <w:right w:val="single" w:sz="4" w:space="0" w:color="auto"/>
            </w:tcBorders>
            <w:vAlign w:val="center"/>
          </w:tcPr>
          <w:p w:rsidR="00F826A3" w:rsidRPr="00F826A3" w:rsidRDefault="00F826A3" w:rsidP="00F826A3">
            <w:pPr>
              <w:widowControl/>
              <w:jc w:val="center"/>
              <w:rPr>
                <w:rFonts w:ascii="宋体" w:eastAsia="仿宋_GB2312" w:hAnsi="宋体" w:cs="宋体"/>
                <w:kern w:val="0"/>
                <w:sz w:val="32"/>
                <w:szCs w:val="21"/>
              </w:rPr>
            </w:pPr>
            <w:r w:rsidRPr="00F826A3">
              <w:rPr>
                <w:rFonts w:ascii="宋体" w:eastAsia="仿宋_GB2312" w:hAnsi="宋体" w:cs="宋体" w:hint="eastAsia"/>
                <w:kern w:val="0"/>
                <w:sz w:val="32"/>
                <w:szCs w:val="21"/>
              </w:rPr>
              <w:t>其中：公务用车运行维护费</w:t>
            </w:r>
          </w:p>
        </w:tc>
        <w:tc>
          <w:tcPr>
            <w:tcW w:w="2157" w:type="dxa"/>
            <w:tcBorders>
              <w:top w:val="nil"/>
              <w:left w:val="nil"/>
              <w:bottom w:val="single" w:sz="4" w:space="0" w:color="auto"/>
              <w:right w:val="single" w:sz="4" w:space="0" w:color="auto"/>
            </w:tcBorders>
            <w:vAlign w:val="bottom"/>
          </w:tcPr>
          <w:p w:rsidR="00F826A3" w:rsidRPr="00F826A3" w:rsidRDefault="00F826A3" w:rsidP="00F826A3">
            <w:pPr>
              <w:widowControl/>
              <w:jc w:val="center"/>
              <w:rPr>
                <w:rFonts w:ascii="宋体" w:eastAsia="仿宋_GB2312" w:hAnsi="宋体" w:cs="宋体"/>
                <w:kern w:val="0"/>
                <w:sz w:val="32"/>
                <w:szCs w:val="21"/>
              </w:rPr>
            </w:pPr>
            <w:r w:rsidRPr="00F826A3">
              <w:rPr>
                <w:rFonts w:ascii="宋体" w:eastAsia="仿宋_GB2312" w:hAnsi="宋体" w:cs="宋体" w:hint="eastAsia"/>
                <w:kern w:val="0"/>
                <w:sz w:val="32"/>
                <w:szCs w:val="21"/>
              </w:rPr>
              <w:t>0.00</w:t>
            </w:r>
          </w:p>
        </w:tc>
        <w:tc>
          <w:tcPr>
            <w:tcW w:w="2220" w:type="dxa"/>
            <w:tcBorders>
              <w:top w:val="nil"/>
              <w:left w:val="nil"/>
              <w:bottom w:val="single" w:sz="4" w:space="0" w:color="auto"/>
              <w:right w:val="single" w:sz="4" w:space="0" w:color="auto"/>
            </w:tcBorders>
            <w:vAlign w:val="bottom"/>
          </w:tcPr>
          <w:p w:rsidR="00F826A3" w:rsidRPr="00F826A3" w:rsidRDefault="00F826A3" w:rsidP="00F826A3">
            <w:pPr>
              <w:widowControl/>
              <w:jc w:val="center"/>
              <w:rPr>
                <w:rFonts w:ascii="宋体" w:eastAsia="仿宋_GB2312" w:hAnsi="宋体" w:cs="宋体"/>
                <w:kern w:val="0"/>
                <w:sz w:val="32"/>
                <w:szCs w:val="21"/>
              </w:rPr>
            </w:pPr>
            <w:r w:rsidRPr="00F826A3">
              <w:rPr>
                <w:rFonts w:ascii="宋体" w:eastAsia="仿宋_GB2312" w:hAnsi="宋体" w:cs="宋体" w:hint="eastAsia"/>
                <w:kern w:val="0"/>
                <w:sz w:val="32"/>
                <w:szCs w:val="21"/>
              </w:rPr>
              <w:t>0.00</w:t>
            </w:r>
          </w:p>
        </w:tc>
      </w:tr>
      <w:tr w:rsidR="00F826A3" w:rsidRPr="00F826A3" w:rsidTr="00047005">
        <w:trPr>
          <w:trHeight w:val="397"/>
        </w:trPr>
        <w:tc>
          <w:tcPr>
            <w:tcW w:w="4379" w:type="dxa"/>
            <w:tcBorders>
              <w:top w:val="nil"/>
              <w:left w:val="single" w:sz="4" w:space="0" w:color="auto"/>
              <w:bottom w:val="single" w:sz="4" w:space="0" w:color="auto"/>
              <w:right w:val="single" w:sz="4" w:space="0" w:color="auto"/>
            </w:tcBorders>
            <w:vAlign w:val="center"/>
          </w:tcPr>
          <w:p w:rsidR="00F826A3" w:rsidRPr="00F826A3" w:rsidRDefault="00F826A3" w:rsidP="00F826A3">
            <w:pPr>
              <w:widowControl/>
              <w:jc w:val="center"/>
              <w:rPr>
                <w:rFonts w:ascii="宋体" w:eastAsia="仿宋_GB2312" w:hAnsi="宋体" w:cs="宋体"/>
                <w:kern w:val="0"/>
                <w:sz w:val="32"/>
                <w:szCs w:val="21"/>
              </w:rPr>
            </w:pPr>
            <w:r w:rsidRPr="00F826A3">
              <w:rPr>
                <w:rFonts w:ascii="宋体" w:eastAsia="仿宋_GB2312" w:hAnsi="宋体" w:cs="宋体" w:hint="eastAsia"/>
                <w:kern w:val="0"/>
                <w:sz w:val="32"/>
                <w:szCs w:val="21"/>
              </w:rPr>
              <w:t>公务用车购置</w:t>
            </w:r>
          </w:p>
        </w:tc>
        <w:tc>
          <w:tcPr>
            <w:tcW w:w="2157" w:type="dxa"/>
            <w:tcBorders>
              <w:top w:val="nil"/>
              <w:left w:val="nil"/>
              <w:bottom w:val="single" w:sz="4" w:space="0" w:color="auto"/>
              <w:right w:val="single" w:sz="4" w:space="0" w:color="auto"/>
            </w:tcBorders>
            <w:vAlign w:val="bottom"/>
          </w:tcPr>
          <w:p w:rsidR="00F826A3" w:rsidRPr="00F826A3" w:rsidRDefault="00F826A3" w:rsidP="00F826A3">
            <w:pPr>
              <w:widowControl/>
              <w:jc w:val="center"/>
              <w:rPr>
                <w:rFonts w:ascii="宋体" w:eastAsia="仿宋_GB2312" w:hAnsi="宋体" w:cs="宋体"/>
                <w:kern w:val="0"/>
                <w:sz w:val="32"/>
                <w:szCs w:val="21"/>
              </w:rPr>
            </w:pPr>
            <w:r w:rsidRPr="00F826A3">
              <w:rPr>
                <w:rFonts w:ascii="宋体" w:eastAsia="仿宋_GB2312" w:hAnsi="宋体" w:cs="宋体" w:hint="eastAsia"/>
                <w:kern w:val="0"/>
                <w:sz w:val="32"/>
                <w:szCs w:val="21"/>
              </w:rPr>
              <w:t>0.00</w:t>
            </w:r>
          </w:p>
        </w:tc>
        <w:tc>
          <w:tcPr>
            <w:tcW w:w="2220" w:type="dxa"/>
            <w:tcBorders>
              <w:top w:val="nil"/>
              <w:left w:val="nil"/>
              <w:bottom w:val="single" w:sz="4" w:space="0" w:color="auto"/>
              <w:right w:val="single" w:sz="4" w:space="0" w:color="auto"/>
            </w:tcBorders>
            <w:vAlign w:val="bottom"/>
          </w:tcPr>
          <w:p w:rsidR="00F826A3" w:rsidRPr="00F826A3" w:rsidRDefault="00F826A3" w:rsidP="00F826A3">
            <w:pPr>
              <w:widowControl/>
              <w:jc w:val="center"/>
              <w:rPr>
                <w:rFonts w:ascii="宋体" w:eastAsia="仿宋_GB2312" w:hAnsi="宋体" w:cs="宋体"/>
                <w:kern w:val="0"/>
                <w:sz w:val="32"/>
                <w:szCs w:val="21"/>
              </w:rPr>
            </w:pPr>
            <w:r w:rsidRPr="00F826A3">
              <w:rPr>
                <w:rFonts w:ascii="宋体" w:eastAsia="仿宋_GB2312" w:hAnsi="宋体" w:cs="宋体" w:hint="eastAsia"/>
                <w:kern w:val="0"/>
                <w:sz w:val="32"/>
                <w:szCs w:val="21"/>
              </w:rPr>
              <w:t>0.00</w:t>
            </w:r>
          </w:p>
        </w:tc>
      </w:tr>
    </w:tbl>
    <w:p w:rsidR="00F826A3" w:rsidRPr="00F826A3" w:rsidRDefault="00F826A3" w:rsidP="00F826A3">
      <w:pPr>
        <w:ind w:firstLineChars="200" w:firstLine="628"/>
        <w:jc w:val="center"/>
        <w:rPr>
          <w:rFonts w:ascii="黑体" w:eastAsia="黑体" w:hAnsi="黑体" w:cs="Times New Roman"/>
          <w:color w:val="FF0000"/>
          <w:sz w:val="32"/>
          <w:szCs w:val="32"/>
        </w:rPr>
      </w:pPr>
    </w:p>
    <w:p w:rsidR="00F826A3" w:rsidRPr="00F826A3" w:rsidRDefault="00F826A3" w:rsidP="00F826A3">
      <w:pPr>
        <w:ind w:firstLineChars="200" w:firstLine="428"/>
        <w:jc w:val="center"/>
        <w:rPr>
          <w:rFonts w:ascii="黑体" w:eastAsia="黑体" w:hAnsi="黑体" w:cs="Times New Roman"/>
          <w:sz w:val="32"/>
          <w:szCs w:val="32"/>
        </w:rPr>
      </w:pPr>
      <w:r w:rsidRPr="00F826A3">
        <w:rPr>
          <w:rFonts w:ascii="宋体" w:eastAsia="仿宋_GB2312" w:hAnsi="宋体" w:cs="宋体" w:hint="eastAsia"/>
          <w:color w:val="000000"/>
          <w:kern w:val="0"/>
          <w:sz w:val="22"/>
          <w:szCs w:val="20"/>
          <w:lang w:bidi="zh-CN"/>
        </w:rPr>
        <w:t>注：本表反映部门本年度“三公”经费支出预决算情况。其中，预算数为“三公”经费年初预算数，决算数是包括当年一般公共预算财政拨款和以前年度结转资金安排的实际支出；本表金额转换成万元时，因四舍五入可能存在尾差。</w:t>
      </w:r>
    </w:p>
    <w:p w:rsidR="00F826A3" w:rsidRPr="00F826A3" w:rsidRDefault="00F826A3" w:rsidP="00F826A3">
      <w:pPr>
        <w:ind w:firstLineChars="200" w:firstLine="628"/>
        <w:jc w:val="left"/>
        <w:rPr>
          <w:rFonts w:ascii="黑体" w:eastAsia="黑体" w:hAnsi="黑体" w:cs="Times New Roman"/>
          <w:sz w:val="32"/>
          <w:szCs w:val="32"/>
        </w:rPr>
      </w:pPr>
      <w:r w:rsidRPr="00F826A3">
        <w:rPr>
          <w:rFonts w:ascii="黑体" w:eastAsia="黑体" w:hAnsi="黑体" w:cs="Times New Roman" w:hint="eastAsia"/>
          <w:sz w:val="32"/>
          <w:szCs w:val="32"/>
        </w:rPr>
        <w:t>二、2019年度一般公共预算财政拨款“三公”经费支出情况说明</w:t>
      </w:r>
    </w:p>
    <w:p w:rsidR="00F826A3" w:rsidRPr="00F826A3" w:rsidRDefault="00F826A3" w:rsidP="00F826A3">
      <w:pPr>
        <w:ind w:firstLineChars="200" w:firstLine="630"/>
        <w:jc w:val="left"/>
        <w:rPr>
          <w:rFonts w:ascii="仿宋_GB2312" w:eastAsia="仿宋_GB2312" w:hAnsi="仿宋" w:cs="Times New Roman"/>
          <w:b/>
          <w:sz w:val="32"/>
          <w:szCs w:val="32"/>
        </w:rPr>
      </w:pPr>
      <w:r w:rsidRPr="00F826A3">
        <w:rPr>
          <w:rFonts w:ascii="仿宋_GB2312" w:eastAsia="仿宋_GB2312" w:hAnsi="黑体" w:cs="宋体" w:hint="eastAsia"/>
          <w:b/>
          <w:kern w:val="0"/>
          <w:sz w:val="32"/>
          <w:szCs w:val="32"/>
        </w:rPr>
        <w:t>（一）一般公共预算财政拨款“三公”经费支出决算总体情况说明</w:t>
      </w:r>
    </w:p>
    <w:p w:rsidR="00F826A3" w:rsidRPr="00F826A3" w:rsidRDefault="00F826A3" w:rsidP="00F826A3">
      <w:pPr>
        <w:ind w:firstLineChars="200" w:firstLine="628"/>
        <w:rPr>
          <w:rFonts w:ascii="仿宋_GB2312" w:eastAsia="仿宋_GB2312" w:hAnsi="Times New Roman" w:cs="宋体"/>
          <w:sz w:val="32"/>
          <w:szCs w:val="32"/>
        </w:rPr>
      </w:pPr>
      <w:r w:rsidRPr="00F826A3">
        <w:rPr>
          <w:rFonts w:ascii="仿宋_GB2312" w:eastAsia="仿宋_GB2312" w:hAnsi="仿宋" w:cs="Times New Roman" w:hint="eastAsia"/>
          <w:sz w:val="32"/>
          <w:szCs w:val="32"/>
        </w:rPr>
        <w:t>八公山区城市最低生活保障管理中心</w:t>
      </w:r>
      <w:r w:rsidRPr="00F826A3">
        <w:rPr>
          <w:rFonts w:ascii="仿宋_GB2312" w:eastAsia="仿宋_GB2312" w:hAnsi="Times New Roman" w:cs="宋体" w:hint="eastAsia"/>
          <w:sz w:val="32"/>
          <w:szCs w:val="32"/>
        </w:rPr>
        <w:t>2019年度一般公共预</w:t>
      </w:r>
      <w:r w:rsidRPr="00F826A3">
        <w:rPr>
          <w:rFonts w:ascii="仿宋_GB2312" w:eastAsia="仿宋_GB2312" w:hAnsi="Times New Roman" w:cs="宋体" w:hint="eastAsia"/>
          <w:sz w:val="32"/>
          <w:szCs w:val="32"/>
        </w:rPr>
        <w:lastRenderedPageBreak/>
        <w:t>算财政拨款“三公”经费支出预算为0.07万元，支出决算为0.07万元，完成预算的100%，决算数等于预算数的主要原因是</w:t>
      </w:r>
      <w:r w:rsidRPr="00F826A3">
        <w:rPr>
          <w:rFonts w:ascii="仿宋_GB2312" w:eastAsia="仿宋_GB2312" w:hAnsi="仿宋" w:cs="Times New Roman" w:hint="eastAsia"/>
          <w:sz w:val="32"/>
          <w:szCs w:val="32"/>
        </w:rPr>
        <w:t>我单位严格比照预算进行支出</w:t>
      </w:r>
      <w:r w:rsidRPr="00F826A3">
        <w:rPr>
          <w:rFonts w:ascii="仿宋_GB2312" w:eastAsia="仿宋_GB2312" w:hAnsi="Times New Roman" w:cs="宋体" w:hint="eastAsia"/>
          <w:sz w:val="32"/>
          <w:szCs w:val="32"/>
        </w:rPr>
        <w:t>。</w:t>
      </w:r>
    </w:p>
    <w:p w:rsidR="00F826A3" w:rsidRPr="00F826A3" w:rsidRDefault="00F826A3" w:rsidP="00F826A3">
      <w:pPr>
        <w:ind w:firstLineChars="200" w:firstLine="630"/>
        <w:jc w:val="left"/>
        <w:rPr>
          <w:rFonts w:ascii="仿宋_GB2312" w:eastAsia="仿宋_GB2312" w:hAnsi="黑体" w:cs="宋体"/>
          <w:b/>
          <w:kern w:val="0"/>
          <w:sz w:val="32"/>
          <w:szCs w:val="32"/>
        </w:rPr>
      </w:pPr>
      <w:r w:rsidRPr="00F826A3">
        <w:rPr>
          <w:rFonts w:ascii="仿宋_GB2312" w:eastAsia="仿宋_GB2312" w:hAnsi="黑体" w:cs="宋体" w:hint="eastAsia"/>
          <w:b/>
          <w:kern w:val="0"/>
          <w:sz w:val="32"/>
          <w:szCs w:val="32"/>
        </w:rPr>
        <w:t>（二）一般公共预算财政拨款“三公”经费支出决算具体情况说明</w:t>
      </w:r>
    </w:p>
    <w:p w:rsidR="00F826A3" w:rsidRPr="00F826A3" w:rsidRDefault="00F826A3" w:rsidP="00F826A3">
      <w:pPr>
        <w:ind w:firstLineChars="200" w:firstLine="628"/>
        <w:jc w:val="center"/>
        <w:rPr>
          <w:rFonts w:ascii="仿宋_GB2312" w:eastAsia="仿宋_GB2312" w:hAnsi="Times New Roman" w:cs="宋体"/>
          <w:sz w:val="32"/>
          <w:szCs w:val="32"/>
        </w:rPr>
      </w:pPr>
      <w:r w:rsidRPr="00F826A3">
        <w:rPr>
          <w:rFonts w:ascii="仿宋_GB2312" w:eastAsia="仿宋_GB2312" w:hAnsi="仿宋" w:cs="Times New Roman" w:hint="eastAsia"/>
          <w:sz w:val="32"/>
          <w:szCs w:val="32"/>
        </w:rPr>
        <w:t>八公山区城市最低生活保障管理中心</w:t>
      </w:r>
      <w:r w:rsidRPr="00F826A3">
        <w:rPr>
          <w:rFonts w:ascii="仿宋_GB2312" w:eastAsia="仿宋_GB2312" w:hAnsi="Times New Roman" w:cs="宋体" w:hint="eastAsia"/>
          <w:sz w:val="32"/>
          <w:szCs w:val="32"/>
        </w:rPr>
        <w:t>2019年度一般公共预算财政拨款“三公”经费支出决算中，因公出国（境）费支出决算0万元，占0%;公务接待费支出决算0.07万元，占100%；公务用车购置及运行费支出决算0万元，占0%。具体情况如下：</w:t>
      </w:r>
    </w:p>
    <w:p w:rsidR="00F826A3" w:rsidRPr="00F826A3" w:rsidRDefault="00F826A3" w:rsidP="00F826A3">
      <w:pPr>
        <w:numPr>
          <w:ilvl w:val="0"/>
          <w:numId w:val="1"/>
        </w:numPr>
        <w:ind w:firstLineChars="200" w:firstLine="628"/>
        <w:jc w:val="left"/>
        <w:rPr>
          <w:rFonts w:ascii="仿宋_GB2312" w:eastAsia="仿宋_GB2312" w:hAnsi="Times New Roman" w:cs="宋体"/>
          <w:sz w:val="32"/>
          <w:szCs w:val="32"/>
        </w:rPr>
      </w:pPr>
      <w:r w:rsidRPr="00F826A3">
        <w:rPr>
          <w:rFonts w:ascii="仿宋_GB2312" w:eastAsia="仿宋_GB2312" w:hAnsi="Times New Roman" w:cs="宋体" w:hint="eastAsia"/>
          <w:sz w:val="32"/>
          <w:szCs w:val="32"/>
        </w:rPr>
        <w:t>因公出国（境）费支出0万元，与2018年度决算相比，减少0万元。2019年</w:t>
      </w:r>
      <w:r w:rsidRPr="00F826A3">
        <w:rPr>
          <w:rFonts w:ascii="仿宋_GB2312" w:eastAsia="仿宋_GB2312" w:hAnsi="仿宋" w:cs="Times New Roman" w:hint="eastAsia"/>
          <w:sz w:val="32"/>
          <w:szCs w:val="32"/>
        </w:rPr>
        <w:t>八公山区城市最低生活保障管理中心</w:t>
      </w:r>
      <w:r w:rsidRPr="00F826A3">
        <w:rPr>
          <w:rFonts w:ascii="仿宋_GB2312" w:eastAsia="仿宋_GB2312" w:hAnsi="Times New Roman" w:cs="宋体" w:hint="eastAsia"/>
          <w:sz w:val="32"/>
          <w:szCs w:val="32"/>
        </w:rPr>
        <w:t>因公出国（境）团组0次，累计出国（境）0人次。</w:t>
      </w:r>
      <w:r w:rsidRPr="00F826A3">
        <w:rPr>
          <w:rFonts w:ascii="仿宋_GB2312" w:eastAsia="仿宋_GB2312" w:hAnsi="仿宋" w:cs="Times New Roman" w:hint="eastAsia"/>
          <w:sz w:val="30"/>
          <w:szCs w:val="30"/>
        </w:rPr>
        <w:t>原因是2019年度未安排因公出国（境）相关预算</w:t>
      </w:r>
      <w:r w:rsidRPr="00F826A3">
        <w:rPr>
          <w:rFonts w:ascii="仿宋_GB2312" w:eastAsia="仿宋_GB2312" w:hAnsi="Times New Roman" w:cs="宋体" w:hint="eastAsia"/>
          <w:sz w:val="32"/>
          <w:szCs w:val="32"/>
        </w:rPr>
        <w:t>；</w:t>
      </w:r>
      <w:r w:rsidRPr="00F826A3">
        <w:rPr>
          <w:rFonts w:ascii="仿宋_GB2312" w:eastAsia="仿宋_GB2312" w:hAnsi="仿宋" w:cs="Times New Roman" w:hint="eastAsia"/>
          <w:sz w:val="30"/>
          <w:szCs w:val="30"/>
        </w:rPr>
        <w:t>与2018年度决算相比，增加0万元，增长0%，原因是2018年度、2019年度均未安排因公出国（境）。故2019年因公出国（境）团组0次，累计出国（境）0人次。”</w:t>
      </w:r>
      <w:r w:rsidRPr="00F826A3">
        <w:rPr>
          <w:rFonts w:ascii="仿宋_GB2312" w:eastAsia="仿宋_GB2312" w:hAnsi="Times New Roman" w:cs="宋体" w:hint="eastAsia"/>
          <w:sz w:val="32"/>
          <w:szCs w:val="32"/>
        </w:rPr>
        <w:t>。</w:t>
      </w:r>
    </w:p>
    <w:p w:rsidR="00F826A3" w:rsidRPr="00F826A3" w:rsidRDefault="00F826A3" w:rsidP="00F826A3">
      <w:pPr>
        <w:ind w:firstLineChars="200" w:firstLine="628"/>
        <w:jc w:val="left"/>
        <w:rPr>
          <w:rFonts w:ascii="仿宋_GB2312" w:eastAsia="仿宋_GB2312" w:hAnsi="Times New Roman" w:cs="宋体"/>
          <w:sz w:val="32"/>
          <w:szCs w:val="32"/>
        </w:rPr>
      </w:pPr>
      <w:r w:rsidRPr="00F826A3">
        <w:rPr>
          <w:rFonts w:ascii="仿宋_GB2312" w:eastAsia="仿宋_GB2312" w:hAnsi="Times New Roman" w:cs="宋体" w:hint="eastAsia"/>
          <w:sz w:val="32"/>
          <w:szCs w:val="32"/>
        </w:rPr>
        <w:t>2.公务接待费支出0.07万元,年初预算为0.07万元，完成年初预算的100%，决算数等于预算数的主要原因是</w:t>
      </w:r>
      <w:r w:rsidRPr="00F826A3">
        <w:rPr>
          <w:rFonts w:ascii="仿宋_GB2312" w:eastAsia="仿宋_GB2312" w:hAnsi="仿宋" w:cs="Times New Roman" w:hint="eastAsia"/>
          <w:sz w:val="32"/>
          <w:szCs w:val="32"/>
        </w:rPr>
        <w:t>我单位严格比照预算进行支出。</w:t>
      </w:r>
      <w:r w:rsidRPr="00F826A3">
        <w:rPr>
          <w:rFonts w:ascii="仿宋_GB2312" w:eastAsia="仿宋_GB2312" w:hAnsi="Times New Roman" w:cs="宋体" w:hint="eastAsia"/>
          <w:sz w:val="32"/>
          <w:szCs w:val="32"/>
        </w:rPr>
        <w:t>与2018年度决算相比，增加0.03万元，增长75%，增长的原因是</w:t>
      </w:r>
      <w:r w:rsidRPr="00F826A3">
        <w:rPr>
          <w:rFonts w:ascii="仿宋_GB2312" w:eastAsia="仿宋_GB2312" w:hAnsi="仿宋" w:cs="Times New Roman" w:hint="eastAsia"/>
          <w:sz w:val="32"/>
          <w:szCs w:val="32"/>
        </w:rPr>
        <w:t>2019年接待批次和人次比2018年增加</w:t>
      </w:r>
      <w:r w:rsidRPr="00F826A3">
        <w:rPr>
          <w:rFonts w:ascii="仿宋_GB2312" w:eastAsia="仿宋_GB2312" w:hAnsi="Times New Roman" w:cs="宋体" w:hint="eastAsia"/>
          <w:sz w:val="32"/>
          <w:szCs w:val="32"/>
        </w:rPr>
        <w:t>。2019年</w:t>
      </w:r>
      <w:r w:rsidRPr="00F826A3">
        <w:rPr>
          <w:rFonts w:ascii="仿宋_GB2312" w:eastAsia="仿宋_GB2312" w:hAnsi="仿宋" w:cs="Times New Roman" w:hint="eastAsia"/>
          <w:sz w:val="32"/>
          <w:szCs w:val="32"/>
        </w:rPr>
        <w:t>八公山区城市最低生活保障管理中心</w:t>
      </w:r>
      <w:r w:rsidRPr="00F826A3">
        <w:rPr>
          <w:rFonts w:ascii="仿宋_GB2312" w:eastAsia="仿宋_GB2312" w:hAnsi="Times New Roman" w:cs="宋体" w:hint="eastAsia"/>
          <w:sz w:val="32"/>
          <w:szCs w:val="32"/>
        </w:rPr>
        <w:t>国内公务接待共15批次（其中外事接待0批次），24人次（其中外事接待0人次）。</w:t>
      </w:r>
    </w:p>
    <w:p w:rsidR="00F826A3" w:rsidRPr="00F826A3" w:rsidRDefault="00F826A3" w:rsidP="00F826A3">
      <w:pPr>
        <w:ind w:firstLineChars="200" w:firstLine="628"/>
        <w:jc w:val="left"/>
        <w:rPr>
          <w:rFonts w:ascii="仿宋_GB2312" w:eastAsia="仿宋_GB2312" w:hAnsi="仿宋" w:cs="Times New Roman"/>
          <w:sz w:val="32"/>
          <w:szCs w:val="32"/>
        </w:rPr>
      </w:pPr>
      <w:r w:rsidRPr="00F826A3">
        <w:rPr>
          <w:rFonts w:ascii="仿宋_GB2312" w:eastAsia="仿宋_GB2312" w:hAnsi="Times New Roman" w:cs="宋体" w:hint="eastAsia"/>
          <w:sz w:val="32"/>
          <w:szCs w:val="32"/>
        </w:rPr>
        <w:t>3.</w:t>
      </w:r>
      <w:r w:rsidRPr="00F826A3">
        <w:rPr>
          <w:rFonts w:ascii="仿宋_GB2312" w:eastAsia="仿宋_GB2312" w:hAnsi="仿宋" w:cs="Times New Roman" w:hint="eastAsia"/>
          <w:sz w:val="32"/>
          <w:szCs w:val="32"/>
        </w:rPr>
        <w:t>公务用车购置及运行费支出0万元，我单位公车改革后已</w:t>
      </w:r>
      <w:r w:rsidRPr="00F826A3">
        <w:rPr>
          <w:rFonts w:ascii="仿宋_GB2312" w:eastAsia="仿宋_GB2312" w:hAnsi="仿宋" w:cs="Times New Roman" w:hint="eastAsia"/>
          <w:sz w:val="32"/>
          <w:szCs w:val="32"/>
        </w:rPr>
        <w:lastRenderedPageBreak/>
        <w:t>无公务车辆。2019年没有安排公务用车购置费，也无公务用车维护费。2019年底，八公山区城市最低生活保障管理中心所属单位开支财政拨款的公务用车保有量为0辆。</w:t>
      </w:r>
    </w:p>
    <w:p w:rsidR="00F826A3" w:rsidRPr="00F826A3" w:rsidRDefault="00F826A3" w:rsidP="00F826A3">
      <w:pPr>
        <w:ind w:firstLineChars="200" w:firstLine="628"/>
        <w:jc w:val="center"/>
        <w:rPr>
          <w:rFonts w:ascii="仿宋_GB2312" w:eastAsia="仿宋_GB2312" w:hAnsi="仿宋" w:cs="Times New Roman"/>
          <w:sz w:val="32"/>
          <w:szCs w:val="32"/>
        </w:rPr>
      </w:pPr>
    </w:p>
    <w:p w:rsidR="00F826A3" w:rsidRPr="00F826A3" w:rsidRDefault="00F826A3" w:rsidP="00F826A3">
      <w:pPr>
        <w:ind w:firstLineChars="200" w:firstLine="628"/>
        <w:jc w:val="center"/>
        <w:rPr>
          <w:rFonts w:ascii="仿宋_GB2312" w:eastAsia="仿宋_GB2312" w:hAnsi="仿宋" w:cs="Times New Roman"/>
          <w:sz w:val="32"/>
          <w:szCs w:val="32"/>
        </w:rPr>
      </w:pPr>
    </w:p>
    <w:p w:rsidR="00F826A3" w:rsidRPr="00F826A3" w:rsidRDefault="00F826A3" w:rsidP="00F826A3">
      <w:pPr>
        <w:ind w:firstLineChars="200" w:firstLine="628"/>
        <w:jc w:val="left"/>
        <w:rPr>
          <w:rFonts w:ascii="Times New Roman" w:eastAsia="仿宋_GB2312" w:hAnsi="Times New Roman" w:cs="Times New Roman"/>
          <w:sz w:val="32"/>
          <w:szCs w:val="20"/>
        </w:rPr>
      </w:pPr>
      <w:r w:rsidRPr="00F826A3">
        <w:rPr>
          <w:rFonts w:ascii="仿宋_GB2312" w:eastAsia="仿宋_GB2312" w:hAnsi="仿宋" w:cs="Times New Roman" w:hint="eastAsia"/>
          <w:sz w:val="32"/>
          <w:szCs w:val="32"/>
        </w:rPr>
        <w:t>联系方式：八公山区城市最低生活保障管理中心 政务公开电话：5657520。</w:t>
      </w:r>
    </w:p>
    <w:p w:rsidR="00F826A3" w:rsidRPr="00F826A3" w:rsidRDefault="00F826A3" w:rsidP="00F826A3">
      <w:pPr>
        <w:jc w:val="right"/>
        <w:rPr>
          <w:rFonts w:ascii="Times New Roman" w:eastAsia="仿宋_GB2312" w:hAnsi="Times New Roman" w:cs="Times New Roman"/>
          <w:sz w:val="32"/>
          <w:szCs w:val="20"/>
        </w:rPr>
      </w:pPr>
      <w:r>
        <w:rPr>
          <w:rFonts w:ascii="Times New Roman" w:eastAsia="仿宋_GB2312" w:hAnsi="Times New Roman" w:cs="Times New Roman" w:hint="eastAsia"/>
          <w:sz w:val="32"/>
          <w:szCs w:val="20"/>
        </w:rPr>
        <w:t xml:space="preserve">                      </w:t>
      </w:r>
      <w:r w:rsidRPr="00F826A3">
        <w:rPr>
          <w:rFonts w:ascii="Times New Roman" w:eastAsia="仿宋_GB2312" w:hAnsi="Times New Roman" w:cs="Times New Roman" w:hint="eastAsia"/>
          <w:sz w:val="32"/>
          <w:szCs w:val="20"/>
        </w:rPr>
        <w:t xml:space="preserve"> </w:t>
      </w:r>
      <w:r w:rsidRPr="00F826A3">
        <w:rPr>
          <w:rFonts w:ascii="Times New Roman" w:eastAsia="仿宋_GB2312" w:hAnsi="Times New Roman" w:cs="Times New Roman" w:hint="eastAsia"/>
          <w:sz w:val="32"/>
          <w:szCs w:val="20"/>
        </w:rPr>
        <w:t>八公山区</w:t>
      </w:r>
      <w:r w:rsidRPr="00F826A3">
        <w:rPr>
          <w:rFonts w:ascii="仿宋_GB2312" w:eastAsia="仿宋_GB2312" w:hAnsi="仿宋" w:cs="Times New Roman" w:hint="eastAsia"/>
          <w:sz w:val="32"/>
          <w:szCs w:val="32"/>
        </w:rPr>
        <w:t>城市最低生活保障管理中心</w:t>
      </w:r>
    </w:p>
    <w:p w:rsidR="00F826A3" w:rsidRPr="00F826A3" w:rsidRDefault="00F826A3" w:rsidP="00F826A3">
      <w:pPr>
        <w:ind w:firstLineChars="2000" w:firstLine="6276"/>
        <w:rPr>
          <w:rFonts w:ascii="Times New Roman" w:eastAsia="仿宋_GB2312" w:hAnsi="Times New Roman" w:cs="Times New Roman"/>
          <w:sz w:val="32"/>
          <w:szCs w:val="20"/>
        </w:rPr>
      </w:pPr>
      <w:r w:rsidRPr="00F826A3">
        <w:rPr>
          <w:rFonts w:ascii="Times New Roman" w:eastAsia="仿宋_GB2312" w:hAnsi="Times New Roman" w:cs="Times New Roman" w:hint="eastAsia"/>
          <w:sz w:val="32"/>
          <w:szCs w:val="20"/>
        </w:rPr>
        <w:t xml:space="preserve"> 2020</w:t>
      </w:r>
      <w:r w:rsidRPr="00F826A3">
        <w:rPr>
          <w:rFonts w:ascii="Times New Roman" w:eastAsia="仿宋_GB2312" w:hAnsi="Times New Roman" w:cs="Times New Roman" w:hint="eastAsia"/>
          <w:sz w:val="32"/>
          <w:szCs w:val="20"/>
        </w:rPr>
        <w:t>年</w:t>
      </w:r>
      <w:r w:rsidRPr="00F826A3">
        <w:rPr>
          <w:rFonts w:ascii="Times New Roman" w:eastAsia="仿宋_GB2312" w:hAnsi="Times New Roman" w:cs="Times New Roman" w:hint="eastAsia"/>
          <w:sz w:val="32"/>
          <w:szCs w:val="20"/>
        </w:rPr>
        <w:t>9</w:t>
      </w:r>
      <w:r w:rsidRPr="00F826A3">
        <w:rPr>
          <w:rFonts w:ascii="Times New Roman" w:eastAsia="仿宋_GB2312" w:hAnsi="Times New Roman" w:cs="Times New Roman" w:hint="eastAsia"/>
          <w:sz w:val="32"/>
          <w:szCs w:val="20"/>
        </w:rPr>
        <w:t>月</w:t>
      </w:r>
      <w:r w:rsidRPr="00F826A3">
        <w:rPr>
          <w:rFonts w:ascii="Times New Roman" w:eastAsia="仿宋_GB2312" w:hAnsi="Times New Roman" w:cs="Times New Roman" w:hint="eastAsia"/>
          <w:sz w:val="32"/>
          <w:szCs w:val="20"/>
        </w:rPr>
        <w:t>30</w:t>
      </w:r>
      <w:r w:rsidRPr="00F826A3">
        <w:rPr>
          <w:rFonts w:ascii="Times New Roman" w:eastAsia="仿宋_GB2312" w:hAnsi="Times New Roman" w:cs="Times New Roman" w:hint="eastAsia"/>
          <w:sz w:val="32"/>
          <w:szCs w:val="20"/>
        </w:rPr>
        <w:t>日</w:t>
      </w:r>
      <w:r w:rsidRPr="00F826A3">
        <w:rPr>
          <w:rFonts w:ascii="Times New Roman" w:eastAsia="仿宋_GB2312" w:hAnsi="Times New Roman" w:cs="Times New Roman" w:hint="eastAsia"/>
          <w:sz w:val="32"/>
          <w:szCs w:val="20"/>
        </w:rPr>
        <w:t xml:space="preserve"> </w:t>
      </w:r>
    </w:p>
    <w:p w:rsidR="006F5463" w:rsidRDefault="006F5463"/>
    <w:sectPr w:rsidR="006F5463" w:rsidSect="00A3482E">
      <w:footerReference w:type="even" r:id="rId7"/>
      <w:footerReference w:type="default" r:id="rId8"/>
      <w:pgSz w:w="11906" w:h="16838"/>
      <w:pgMar w:top="2155" w:right="1531" w:bottom="1588" w:left="1588" w:header="0" w:footer="1588" w:gutter="0"/>
      <w:cols w:space="720"/>
      <w:docGrid w:type="linesAndChars" w:linePitch="569" w:charSpace="-126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463" w:rsidRDefault="006F5463" w:rsidP="00F826A3">
      <w:r>
        <w:separator/>
      </w:r>
    </w:p>
  </w:endnote>
  <w:endnote w:type="continuationSeparator" w:id="1">
    <w:p w:rsidR="006F5463" w:rsidRDefault="006F5463" w:rsidP="00F826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82E" w:rsidRDefault="006F5463">
    <w:pPr>
      <w:pStyle w:val="a4"/>
      <w:framePr w:wrap="around" w:vAnchor="text" w:hAnchor="margin" w:xAlign="right" w:y="1"/>
      <w:rPr>
        <w:rStyle w:val="a5"/>
      </w:rPr>
    </w:pPr>
    <w:r>
      <w:fldChar w:fldCharType="begin"/>
    </w:r>
    <w:r>
      <w:rPr>
        <w:rStyle w:val="a5"/>
      </w:rPr>
      <w:instrText xml:space="preserve">PAGE  </w:instrText>
    </w:r>
    <w:r>
      <w:fldChar w:fldCharType="separate"/>
    </w:r>
    <w:r>
      <w:rPr>
        <w:rStyle w:val="a5"/>
      </w:rPr>
      <w:t>1</w:t>
    </w:r>
    <w:r>
      <w:fldChar w:fldCharType="end"/>
    </w:r>
  </w:p>
  <w:p w:rsidR="00A3482E" w:rsidRDefault="006F5463">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82E" w:rsidRDefault="006F5463">
    <w:pPr>
      <w:pStyle w:val="a4"/>
      <w:framePr w:wrap="around" w:vAnchor="text" w:hAnchor="margin" w:xAlign="right" w:y="1"/>
      <w:rPr>
        <w:rStyle w:val="a5"/>
        <w:rFonts w:ascii="仿宋_GB2312"/>
        <w:sz w:val="28"/>
      </w:rPr>
    </w:pPr>
    <w:r>
      <w:rPr>
        <w:rStyle w:val="a5"/>
        <w:rFonts w:ascii="仿宋_GB2312" w:hint="eastAsia"/>
        <w:sz w:val="28"/>
      </w:rPr>
      <w:t>-</w:t>
    </w:r>
    <w:r>
      <w:rPr>
        <w:rFonts w:ascii="仿宋_GB2312" w:hint="eastAsia"/>
        <w:sz w:val="28"/>
        <w:szCs w:val="28"/>
      </w:rPr>
      <w:fldChar w:fldCharType="begin"/>
    </w:r>
    <w:r>
      <w:rPr>
        <w:rStyle w:val="a5"/>
        <w:rFonts w:ascii="仿宋_GB2312" w:hint="eastAsia"/>
        <w:sz w:val="28"/>
        <w:szCs w:val="28"/>
      </w:rPr>
      <w:instrText xml:space="preserve"> PAGE </w:instrText>
    </w:r>
    <w:r>
      <w:rPr>
        <w:rFonts w:ascii="仿宋_GB2312" w:hint="eastAsia"/>
        <w:sz w:val="28"/>
        <w:szCs w:val="28"/>
      </w:rPr>
      <w:fldChar w:fldCharType="separate"/>
    </w:r>
    <w:r w:rsidR="00F826A3">
      <w:rPr>
        <w:rStyle w:val="a5"/>
        <w:rFonts w:ascii="仿宋_GB2312"/>
        <w:noProof/>
        <w:sz w:val="28"/>
        <w:szCs w:val="28"/>
      </w:rPr>
      <w:t>3</w:t>
    </w:r>
    <w:r>
      <w:rPr>
        <w:rFonts w:ascii="仿宋_GB2312" w:hint="eastAsia"/>
        <w:sz w:val="28"/>
        <w:szCs w:val="28"/>
      </w:rPr>
      <w:fldChar w:fldCharType="end"/>
    </w:r>
    <w:r>
      <w:rPr>
        <w:rStyle w:val="a5"/>
        <w:rFonts w:ascii="仿宋_GB2312" w:hint="eastAsia"/>
        <w:sz w:val="28"/>
        <w:szCs w:val="28"/>
      </w:rPr>
      <w:t>-</w:t>
    </w:r>
  </w:p>
  <w:p w:rsidR="00A3482E" w:rsidRDefault="006F5463">
    <w:pPr>
      <w:pStyle w:val="a4"/>
      <w:ind w:right="360"/>
      <w:jc w:val="right"/>
      <w:rPr>
        <w:rFonts w:ascii="仿宋_GB2312"/>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463" w:rsidRDefault="006F5463" w:rsidP="00F826A3">
      <w:r>
        <w:separator/>
      </w:r>
    </w:p>
  </w:footnote>
  <w:footnote w:type="continuationSeparator" w:id="1">
    <w:p w:rsidR="006F5463" w:rsidRDefault="006F5463" w:rsidP="00F826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D94E8"/>
    <w:multiLevelType w:val="singleLevel"/>
    <w:tmpl w:val="28CD94E8"/>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26A3"/>
    <w:rsid w:val="006F5463"/>
    <w:rsid w:val="00F826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26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826A3"/>
    <w:rPr>
      <w:sz w:val="18"/>
      <w:szCs w:val="18"/>
    </w:rPr>
  </w:style>
  <w:style w:type="paragraph" w:styleId="a4">
    <w:name w:val="footer"/>
    <w:basedOn w:val="a"/>
    <w:link w:val="Char0"/>
    <w:uiPriority w:val="99"/>
    <w:semiHidden/>
    <w:unhideWhenUsed/>
    <w:rsid w:val="00F826A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826A3"/>
    <w:rPr>
      <w:sz w:val="18"/>
      <w:szCs w:val="18"/>
    </w:rPr>
  </w:style>
  <w:style w:type="character" w:styleId="a5">
    <w:name w:val="page number"/>
    <w:basedOn w:val="a0"/>
    <w:qFormat/>
    <w:rsid w:val="00F826A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Words>
  <Characters>1020</Characters>
  <Application>Microsoft Office Word</Application>
  <DocSecurity>0</DocSecurity>
  <Lines>8</Lines>
  <Paragraphs>2</Paragraphs>
  <ScaleCrop>false</ScaleCrop>
  <Company>Sky123.Org</Company>
  <LinksUpToDate>false</LinksUpToDate>
  <CharactersWithSpaces>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崔爱民</dc:creator>
  <cp:keywords/>
  <dc:description/>
  <cp:lastModifiedBy>崔爱民</cp:lastModifiedBy>
  <cp:revision>2</cp:revision>
  <dcterms:created xsi:type="dcterms:W3CDTF">2021-05-21T01:08:00Z</dcterms:created>
  <dcterms:modified xsi:type="dcterms:W3CDTF">2021-05-21T01:08:00Z</dcterms:modified>
</cp:coreProperties>
</file>