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b/>
          <w:sz w:val="48"/>
          <w:szCs w:val="48"/>
        </w:rPr>
      </w:pPr>
      <w:bookmarkStart w:id="0" w:name="_GoBack"/>
      <w:bookmarkEnd w:id="0"/>
    </w:p>
    <w:p>
      <w:pPr>
        <w:jc w:val="center"/>
        <w:rPr>
          <w:rFonts w:ascii="宋体" w:hAnsi="宋体" w:eastAsia="宋体"/>
          <w:b/>
          <w:sz w:val="44"/>
          <w:szCs w:val="44"/>
        </w:rPr>
      </w:pPr>
      <w:r>
        <w:rPr>
          <w:rFonts w:hint="eastAsia" w:ascii="宋体" w:hAnsi="宋体" w:eastAsia="宋体"/>
          <w:b/>
          <w:sz w:val="48"/>
          <w:szCs w:val="48"/>
        </w:rPr>
        <w:t>八公山区审计局2018年部门决算</w:t>
      </w: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r>
        <w:rPr>
          <w:rFonts w:hint="eastAsia" w:ascii="宋体" w:hAnsi="宋体" w:eastAsia="宋体"/>
          <w:b/>
          <w:sz w:val="44"/>
          <w:szCs w:val="44"/>
        </w:rPr>
        <w:t>2019年9月</w:t>
      </w:r>
    </w:p>
    <w:p>
      <w:pPr>
        <w:jc w:val="center"/>
        <w:rPr>
          <w:rFonts w:ascii="宋体" w:hAnsi="宋体" w:eastAsia="宋体"/>
          <w:b/>
          <w:sz w:val="44"/>
          <w:szCs w:val="44"/>
        </w:rPr>
      </w:pPr>
      <w:r>
        <w:rPr>
          <w:rFonts w:hint="eastAsia" w:ascii="宋体" w:hAnsi="宋体" w:eastAsia="宋体"/>
          <w:b/>
          <w:sz w:val="44"/>
          <w:szCs w:val="44"/>
        </w:rPr>
        <w:t>目 录</w:t>
      </w:r>
    </w:p>
    <w:p>
      <w:pPr>
        <w:rPr>
          <w:rFonts w:ascii="仿宋_GB2312" w:hAnsi="宋体"/>
          <w:b/>
          <w:szCs w:val="32"/>
        </w:rPr>
      </w:pPr>
      <w:r>
        <w:rPr>
          <w:rFonts w:hint="eastAsia" w:ascii="仿宋_GB2312" w:hAnsi="宋体"/>
          <w:b/>
          <w:szCs w:val="32"/>
        </w:rPr>
        <w:t>第一部分 八公山区审计局概况</w:t>
      </w:r>
    </w:p>
    <w:p>
      <w:pPr>
        <w:spacing w:line="520" w:lineRule="exact"/>
        <w:rPr>
          <w:rFonts w:ascii="仿宋_GB2312" w:hAnsi="宋体"/>
          <w:bCs/>
          <w:szCs w:val="32"/>
        </w:rPr>
      </w:pPr>
      <w:r>
        <w:rPr>
          <w:rFonts w:hint="eastAsia" w:ascii="仿宋_GB2312" w:hAnsi="宋体"/>
          <w:bCs/>
          <w:szCs w:val="32"/>
        </w:rPr>
        <w:t>一、部门职责</w:t>
      </w:r>
    </w:p>
    <w:p>
      <w:pPr>
        <w:spacing w:line="520" w:lineRule="exact"/>
        <w:rPr>
          <w:rFonts w:ascii="仿宋_GB2312" w:hAnsi="宋体"/>
          <w:bCs/>
          <w:szCs w:val="32"/>
        </w:rPr>
      </w:pPr>
      <w:r>
        <w:rPr>
          <w:rFonts w:hint="eastAsia" w:ascii="仿宋_GB2312" w:hAnsi="宋体"/>
          <w:bCs/>
          <w:szCs w:val="32"/>
        </w:rPr>
        <w:t>二、机构设置</w:t>
      </w:r>
    </w:p>
    <w:p>
      <w:pPr>
        <w:spacing w:line="520" w:lineRule="exact"/>
        <w:rPr>
          <w:rFonts w:ascii="仿宋_GB2312" w:hAnsi="宋体"/>
          <w:b/>
          <w:szCs w:val="32"/>
        </w:rPr>
      </w:pPr>
      <w:r>
        <w:rPr>
          <w:rFonts w:hint="eastAsia" w:ascii="仿宋_GB2312" w:hAnsi="宋体"/>
          <w:b/>
          <w:szCs w:val="32"/>
        </w:rPr>
        <w:t>第二部分 八公山区审计局2018年部门决算表</w:t>
      </w:r>
    </w:p>
    <w:p>
      <w:pPr>
        <w:spacing w:line="520" w:lineRule="exact"/>
        <w:rPr>
          <w:rFonts w:ascii="仿宋_GB2312" w:hAnsi="宋体"/>
          <w:bCs/>
          <w:szCs w:val="32"/>
        </w:rPr>
      </w:pPr>
      <w:r>
        <w:rPr>
          <w:rFonts w:hint="eastAsia" w:ascii="仿宋_GB2312" w:hAnsi="宋体"/>
          <w:bCs/>
          <w:szCs w:val="32"/>
        </w:rPr>
        <w:t>一、收入支出决算总表</w:t>
      </w:r>
    </w:p>
    <w:p>
      <w:pPr>
        <w:spacing w:line="520" w:lineRule="exact"/>
        <w:rPr>
          <w:rFonts w:ascii="仿宋_GB2312" w:hAnsi="宋体"/>
          <w:bCs/>
          <w:szCs w:val="32"/>
        </w:rPr>
      </w:pPr>
      <w:r>
        <w:rPr>
          <w:rFonts w:hint="eastAsia" w:ascii="仿宋_GB2312" w:hAnsi="宋体"/>
          <w:bCs/>
          <w:szCs w:val="32"/>
        </w:rPr>
        <w:t>二、收入决算表</w:t>
      </w:r>
    </w:p>
    <w:p>
      <w:pPr>
        <w:spacing w:line="520" w:lineRule="exact"/>
        <w:rPr>
          <w:rFonts w:ascii="仿宋_GB2312" w:hAnsi="宋体"/>
          <w:bCs/>
          <w:szCs w:val="32"/>
        </w:rPr>
      </w:pPr>
      <w:r>
        <w:rPr>
          <w:rFonts w:hint="eastAsia" w:ascii="仿宋_GB2312" w:hAnsi="宋体"/>
          <w:bCs/>
          <w:szCs w:val="32"/>
        </w:rPr>
        <w:t>三、支出决算表</w:t>
      </w:r>
    </w:p>
    <w:p>
      <w:pPr>
        <w:spacing w:line="520" w:lineRule="exact"/>
        <w:rPr>
          <w:rFonts w:ascii="仿宋_GB2312" w:hAnsi="宋体"/>
          <w:bCs/>
          <w:szCs w:val="32"/>
        </w:rPr>
      </w:pPr>
      <w:r>
        <w:rPr>
          <w:rFonts w:hint="eastAsia" w:ascii="仿宋_GB2312" w:hAnsi="宋体"/>
          <w:bCs/>
          <w:szCs w:val="32"/>
        </w:rPr>
        <w:t>四、财政拨款收入支出决算总表</w:t>
      </w:r>
    </w:p>
    <w:p>
      <w:pPr>
        <w:spacing w:line="520" w:lineRule="exact"/>
        <w:rPr>
          <w:rFonts w:ascii="仿宋_GB2312" w:hAnsi="宋体"/>
          <w:bCs/>
          <w:szCs w:val="32"/>
        </w:rPr>
      </w:pPr>
      <w:r>
        <w:rPr>
          <w:rFonts w:hint="eastAsia" w:ascii="仿宋_GB2312" w:hAnsi="宋体"/>
          <w:bCs/>
          <w:szCs w:val="32"/>
        </w:rPr>
        <w:t>五、一般公共预算财政拨款收入支出决算表</w:t>
      </w:r>
    </w:p>
    <w:p>
      <w:pPr>
        <w:spacing w:line="520" w:lineRule="exact"/>
        <w:rPr>
          <w:rFonts w:ascii="仿宋_GB2312" w:hAnsi="宋体"/>
          <w:bCs/>
          <w:szCs w:val="32"/>
        </w:rPr>
      </w:pPr>
      <w:r>
        <w:rPr>
          <w:rFonts w:hint="eastAsia" w:ascii="仿宋_GB2312" w:hAnsi="宋体"/>
          <w:bCs/>
          <w:szCs w:val="32"/>
        </w:rPr>
        <w:t>六、一般公共预算财政拨款基本支出决算表</w:t>
      </w:r>
    </w:p>
    <w:p>
      <w:pPr>
        <w:spacing w:line="520" w:lineRule="exact"/>
        <w:rPr>
          <w:rFonts w:ascii="仿宋_GB2312" w:hAnsi="宋体"/>
          <w:bCs/>
          <w:szCs w:val="32"/>
        </w:rPr>
      </w:pPr>
      <w:r>
        <w:rPr>
          <w:rFonts w:hint="eastAsia" w:ascii="仿宋_GB2312" w:hAnsi="宋体"/>
          <w:bCs/>
          <w:szCs w:val="32"/>
        </w:rPr>
        <w:t>七、政府性基金预算财政拨款收入支出决算表</w:t>
      </w:r>
    </w:p>
    <w:p>
      <w:pPr>
        <w:spacing w:line="520" w:lineRule="exact"/>
        <w:rPr>
          <w:rFonts w:ascii="仿宋_GB2312" w:hAnsi="宋体"/>
          <w:b/>
          <w:szCs w:val="32"/>
        </w:rPr>
      </w:pPr>
      <w:r>
        <w:rPr>
          <w:rFonts w:hint="eastAsia" w:ascii="仿宋_GB2312" w:hAnsi="宋体"/>
          <w:b/>
          <w:szCs w:val="32"/>
        </w:rPr>
        <w:t>第三部分 八公山区审计局2018年度部门决算情况说明</w:t>
      </w:r>
    </w:p>
    <w:p>
      <w:pPr>
        <w:spacing w:line="520" w:lineRule="exact"/>
        <w:rPr>
          <w:rFonts w:ascii="仿宋_GB2312" w:hAnsi="宋体"/>
          <w:bCs/>
          <w:szCs w:val="32"/>
        </w:rPr>
      </w:pPr>
      <w:r>
        <w:rPr>
          <w:rFonts w:hint="eastAsia" w:ascii="仿宋_GB2312" w:hAnsi="宋体"/>
          <w:bCs/>
          <w:szCs w:val="32"/>
        </w:rPr>
        <w:t>一、收入支出决算总体情况说明</w:t>
      </w:r>
    </w:p>
    <w:p>
      <w:pPr>
        <w:spacing w:line="520" w:lineRule="exact"/>
        <w:rPr>
          <w:rFonts w:ascii="仿宋_GB2312" w:hAnsi="宋体"/>
          <w:bCs/>
          <w:szCs w:val="32"/>
        </w:rPr>
      </w:pPr>
      <w:r>
        <w:rPr>
          <w:rFonts w:hint="eastAsia" w:ascii="仿宋_GB2312" w:hAnsi="宋体"/>
          <w:bCs/>
          <w:szCs w:val="32"/>
        </w:rPr>
        <w:t>二、收入决算情况说明</w:t>
      </w:r>
    </w:p>
    <w:p>
      <w:pPr>
        <w:spacing w:line="520" w:lineRule="exact"/>
        <w:rPr>
          <w:rFonts w:ascii="仿宋_GB2312" w:hAnsi="宋体"/>
          <w:bCs/>
          <w:szCs w:val="32"/>
        </w:rPr>
      </w:pPr>
      <w:r>
        <w:rPr>
          <w:rFonts w:hint="eastAsia" w:ascii="仿宋_GB2312" w:hAnsi="宋体"/>
          <w:bCs/>
          <w:szCs w:val="32"/>
        </w:rPr>
        <w:t>三、支出决算情况说明</w:t>
      </w:r>
    </w:p>
    <w:p>
      <w:pPr>
        <w:spacing w:line="520" w:lineRule="exact"/>
        <w:rPr>
          <w:rFonts w:ascii="仿宋_GB2312" w:hAnsi="宋体"/>
          <w:bCs/>
          <w:szCs w:val="32"/>
        </w:rPr>
      </w:pPr>
      <w:r>
        <w:rPr>
          <w:rFonts w:hint="eastAsia" w:ascii="仿宋_GB2312" w:hAnsi="宋体"/>
          <w:bCs/>
          <w:szCs w:val="32"/>
        </w:rPr>
        <w:t>四、财政拨款收入支出决算总体情况说明</w:t>
      </w:r>
    </w:p>
    <w:p>
      <w:pPr>
        <w:spacing w:line="520" w:lineRule="exact"/>
        <w:rPr>
          <w:rFonts w:ascii="仿宋_GB2312" w:hAnsi="宋体"/>
          <w:bCs/>
          <w:szCs w:val="32"/>
        </w:rPr>
      </w:pPr>
      <w:r>
        <w:rPr>
          <w:rFonts w:hint="eastAsia" w:ascii="仿宋_GB2312" w:hAnsi="宋体"/>
          <w:bCs/>
          <w:szCs w:val="32"/>
        </w:rPr>
        <w:t>五、一般公共预算财政拨款收入支出决算情况说明</w:t>
      </w:r>
    </w:p>
    <w:p>
      <w:pPr>
        <w:spacing w:line="520" w:lineRule="exact"/>
        <w:rPr>
          <w:rFonts w:ascii="仿宋_GB2312" w:hAnsi="宋体"/>
          <w:bCs/>
          <w:szCs w:val="32"/>
        </w:rPr>
      </w:pPr>
      <w:r>
        <w:rPr>
          <w:rFonts w:hint="eastAsia" w:ascii="仿宋_GB2312" w:hAnsi="宋体"/>
          <w:bCs/>
          <w:szCs w:val="32"/>
        </w:rPr>
        <w:t>六、一般公共预算财政拨款基本支出决算情况说明</w:t>
      </w:r>
    </w:p>
    <w:p>
      <w:pPr>
        <w:spacing w:line="520" w:lineRule="exact"/>
        <w:rPr>
          <w:rFonts w:ascii="仿宋_GB2312" w:hAnsi="宋体"/>
          <w:bCs/>
          <w:szCs w:val="32"/>
        </w:rPr>
      </w:pPr>
      <w:r>
        <w:rPr>
          <w:rFonts w:hint="eastAsia" w:ascii="仿宋_GB2312" w:hAnsi="宋体"/>
          <w:bCs/>
          <w:szCs w:val="32"/>
        </w:rPr>
        <w:t>七、政府性基金财政拨款收入支出决算情况说明</w:t>
      </w:r>
    </w:p>
    <w:p>
      <w:pPr>
        <w:spacing w:line="520" w:lineRule="exact"/>
        <w:rPr>
          <w:rFonts w:ascii="仿宋_GB2312" w:hAnsi="宋体"/>
          <w:bCs/>
          <w:szCs w:val="32"/>
        </w:rPr>
      </w:pPr>
      <w:r>
        <w:rPr>
          <w:rFonts w:hint="eastAsia" w:ascii="仿宋_GB2312" w:hAnsi="宋体"/>
          <w:bCs/>
          <w:szCs w:val="32"/>
        </w:rPr>
        <w:t>八、其他重要事项的情况说明</w:t>
      </w:r>
    </w:p>
    <w:p>
      <w:pPr>
        <w:spacing w:line="520" w:lineRule="exact"/>
        <w:rPr>
          <w:rFonts w:ascii="仿宋_GB2312" w:hAnsi="宋体"/>
          <w:b/>
          <w:szCs w:val="32"/>
        </w:rPr>
      </w:pPr>
      <w:r>
        <w:rPr>
          <w:rFonts w:hint="eastAsia" w:ascii="仿宋_GB2312" w:hAnsi="宋体"/>
          <w:b/>
          <w:szCs w:val="32"/>
        </w:rPr>
        <w:t>第四部分 名词解释</w:t>
      </w:r>
    </w:p>
    <w:p>
      <w:pPr>
        <w:rPr>
          <w:rFonts w:ascii="宋体" w:hAnsi="宋体"/>
          <w:sz w:val="28"/>
          <w:szCs w:val="28"/>
        </w:rPr>
      </w:pPr>
      <w:r>
        <w:rPr>
          <w:rFonts w:hint="eastAsia" w:ascii="宋体" w:hAnsi="宋体"/>
          <w:b/>
          <w:bCs/>
          <w:sz w:val="28"/>
          <w:szCs w:val="28"/>
        </w:rPr>
        <w:t>第五部分  三公经费决算表格和说明</w:t>
      </w:r>
    </w:p>
    <w:p>
      <w:pPr>
        <w:jc w:val="center"/>
        <w:rPr>
          <w:rFonts w:ascii="宋体" w:hAnsi="宋体"/>
          <w:b/>
          <w:sz w:val="36"/>
          <w:szCs w:val="36"/>
        </w:rPr>
      </w:pPr>
      <w:r>
        <w:rPr>
          <w:rFonts w:hint="eastAsia" w:ascii="宋体" w:hAnsi="宋体"/>
          <w:b/>
          <w:sz w:val="36"/>
          <w:szCs w:val="36"/>
        </w:rPr>
        <w:t>八公山区审计局2018</w:t>
      </w:r>
      <w:r>
        <w:rPr>
          <w:rFonts w:ascii="宋体" w:hAnsi="宋体"/>
          <w:b/>
          <w:sz w:val="36"/>
          <w:szCs w:val="36"/>
        </w:rPr>
        <w:t>年</w:t>
      </w:r>
      <w:r>
        <w:rPr>
          <w:rFonts w:hint="eastAsia" w:ascii="宋体" w:hAnsi="宋体"/>
          <w:b/>
          <w:sz w:val="36"/>
          <w:szCs w:val="36"/>
        </w:rPr>
        <w:t>部门决算</w:t>
      </w:r>
      <w:r>
        <w:rPr>
          <w:rFonts w:ascii="宋体" w:hAnsi="宋体"/>
          <w:b/>
          <w:sz w:val="36"/>
          <w:szCs w:val="36"/>
        </w:rPr>
        <w:t>情况</w:t>
      </w:r>
    </w:p>
    <w:p>
      <w:pPr>
        <w:ind w:firstLine="628" w:firstLineChars="200"/>
        <w:rPr>
          <w:rFonts w:ascii="黑体" w:hAnsi="黑体" w:eastAsia="黑体"/>
          <w:szCs w:val="32"/>
        </w:rPr>
      </w:pPr>
    </w:p>
    <w:p>
      <w:pPr>
        <w:ind w:firstLine="628" w:firstLineChars="200"/>
        <w:rPr>
          <w:rFonts w:ascii="黑体" w:hAnsi="黑体" w:eastAsia="黑体"/>
          <w:szCs w:val="32"/>
        </w:rPr>
      </w:pPr>
      <w:r>
        <w:rPr>
          <w:rFonts w:hint="eastAsia" w:ascii="黑体" w:hAnsi="黑体" w:eastAsia="黑体"/>
          <w:szCs w:val="32"/>
        </w:rPr>
        <w:t>第一部分 八公山区审计局概况</w:t>
      </w:r>
    </w:p>
    <w:p>
      <w:pPr>
        <w:ind w:firstLine="628" w:firstLineChars="200"/>
        <w:rPr>
          <w:rFonts w:ascii="黑体" w:hAnsi="黑体" w:eastAsia="黑体"/>
          <w:szCs w:val="32"/>
        </w:rPr>
      </w:pPr>
      <w:r>
        <w:rPr>
          <w:rFonts w:hint="eastAsia" w:ascii="黑体" w:hAnsi="黑体" w:eastAsia="黑体"/>
          <w:szCs w:val="32"/>
        </w:rPr>
        <w:t>一、部门职责</w:t>
      </w:r>
    </w:p>
    <w:p>
      <w:pPr>
        <w:ind w:firstLine="628" w:firstLineChars="200"/>
        <w:rPr>
          <w:rFonts w:ascii="黑体" w:hAnsi="黑体" w:eastAsia="黑体"/>
          <w:szCs w:val="32"/>
        </w:rPr>
      </w:pPr>
      <w:r>
        <w:rPr>
          <w:rFonts w:hint="eastAsia" w:ascii="仿宋" w:hAnsi="仿宋" w:eastAsia="仿宋"/>
          <w:szCs w:val="32"/>
        </w:rPr>
        <w:t>根据八公山区委、区政府文件精神，设置八公山区审计局，为主管审计工作的区人民政府组成部门，主要职责是：</w:t>
      </w:r>
      <w:r>
        <w:rPr>
          <w:rFonts w:hint="eastAsia" w:ascii="仿宋" w:hAnsi="仿宋" w:eastAsia="仿宋"/>
          <w:szCs w:val="32"/>
        </w:rPr>
        <w:br w:type="textWrapping"/>
      </w:r>
      <w:r>
        <w:rPr>
          <w:rFonts w:hint="eastAsia" w:ascii="仿宋" w:hAnsi="仿宋" w:eastAsia="仿宋"/>
          <w:szCs w:val="32"/>
        </w:rPr>
        <w:t>　　（一）主管全区审计工作。贯彻执行国家审计方针政策和法律法规，参与起草审计、财政经济及其相关方面的地方性法规规章草案，提出相关政策建议；负责对区财政收支和法律法规规定属于审计监督范围的财务收支的真实、合法和效益进行审计监督，维护国家财政经济秩序，提高财政资金使用效益，促进廉政建设，保障全区经济和社会健康发展；对审计、专项审计调查和核查社会审计机构相关审计报告的结果承担责任，并负有督促被审计单位整改的责任。</w:t>
      </w:r>
      <w:r>
        <w:rPr>
          <w:rFonts w:hint="eastAsia" w:ascii="仿宋" w:hAnsi="仿宋" w:eastAsia="仿宋"/>
          <w:szCs w:val="32"/>
        </w:rPr>
        <w:br w:type="textWrapping"/>
      </w:r>
      <w:r>
        <w:rPr>
          <w:rFonts w:hint="eastAsia" w:ascii="仿宋" w:hAnsi="仿宋" w:eastAsia="仿宋"/>
          <w:szCs w:val="32"/>
        </w:rPr>
        <w:t>　　（二）制定并组织实施审计工作发展规划和专业领域审计工作规划，制定并组织实施年度审计计划，对直接审计、调查和核查的事项依法进行审计评价，做出审计决定或提出审计建议。</w:t>
      </w:r>
      <w:r>
        <w:rPr>
          <w:rFonts w:hint="eastAsia" w:ascii="仿宋" w:hAnsi="仿宋" w:eastAsia="仿宋"/>
          <w:szCs w:val="32"/>
        </w:rPr>
        <w:br w:type="textWrapping"/>
      </w:r>
      <w:r>
        <w:rPr>
          <w:rFonts w:hint="eastAsia" w:ascii="仿宋" w:hAnsi="仿宋" w:eastAsia="仿宋"/>
          <w:szCs w:val="32"/>
        </w:rPr>
        <w:t>　　（三）向区长提交年度区级预算执行和其他财政收支情况的审计结果报告；受区政府委托，向区人大常委会提出区级预算执行和其他财政收支情况的审计工作报告；向区政府报告对其他事项的审计和专项审计调查情况及结果；依法向社会公布审计结果；向区政府、市审计局报告和向区政府有关部门通报审计情况及结果。</w:t>
      </w:r>
      <w:r>
        <w:rPr>
          <w:rFonts w:hint="eastAsia" w:ascii="仿宋" w:hAnsi="仿宋" w:eastAsia="仿宋"/>
          <w:szCs w:val="32"/>
        </w:rPr>
        <w:br w:type="textWrapping"/>
      </w:r>
      <w:r>
        <w:rPr>
          <w:rFonts w:hint="eastAsia" w:ascii="仿宋" w:hAnsi="仿宋" w:eastAsia="仿宋"/>
          <w:szCs w:val="32"/>
        </w:rPr>
        <w:t>　　（四）直接审计下列事项，出具审计报告，在法定职权范围内做出审计决定或向有关主管机关提出处理处罚的建议：</w:t>
      </w:r>
      <w:r>
        <w:rPr>
          <w:rFonts w:hint="eastAsia" w:ascii="仿宋" w:hAnsi="仿宋" w:eastAsia="仿宋"/>
          <w:szCs w:val="32"/>
        </w:rPr>
        <w:br w:type="textWrapping"/>
      </w:r>
      <w:r>
        <w:rPr>
          <w:rFonts w:hint="eastAsia" w:ascii="仿宋" w:hAnsi="仿宋" w:eastAsia="仿宋"/>
          <w:szCs w:val="32"/>
        </w:rPr>
        <w:t>　　1、区级预算执行情况和其他财政收支，区直各部门预算的执行情况、预算和其他财政收支。</w:t>
      </w:r>
      <w:r>
        <w:rPr>
          <w:rFonts w:hint="eastAsia" w:ascii="仿宋" w:hAnsi="仿宋" w:eastAsia="仿宋"/>
          <w:szCs w:val="32"/>
        </w:rPr>
        <w:br w:type="textWrapping"/>
      </w:r>
      <w:r>
        <w:rPr>
          <w:rFonts w:hint="eastAsia" w:ascii="仿宋" w:hAnsi="仿宋" w:eastAsia="仿宋"/>
          <w:szCs w:val="32"/>
        </w:rPr>
        <w:t>　　2、使用财政资金的事业单位和社会团体的财务收支。</w:t>
      </w:r>
      <w:r>
        <w:rPr>
          <w:rFonts w:hint="eastAsia" w:ascii="仿宋" w:hAnsi="仿宋" w:eastAsia="仿宋"/>
          <w:szCs w:val="32"/>
        </w:rPr>
        <w:br w:type="textWrapping"/>
      </w:r>
      <w:r>
        <w:rPr>
          <w:rFonts w:hint="eastAsia" w:ascii="仿宋" w:hAnsi="仿宋" w:eastAsia="仿宋"/>
          <w:szCs w:val="32"/>
        </w:rPr>
        <w:t>　　3、区政府投资和以区政府投资为主的建设项目的预算执行情况和预算，区政府重大投资项目的跟踪审计。</w:t>
      </w:r>
      <w:r>
        <w:rPr>
          <w:rFonts w:hint="eastAsia" w:ascii="仿宋" w:hAnsi="仿宋" w:eastAsia="仿宋"/>
          <w:szCs w:val="32"/>
        </w:rPr>
        <w:br w:type="textWrapping"/>
      </w:r>
      <w:r>
        <w:rPr>
          <w:rFonts w:hint="eastAsia" w:ascii="仿宋" w:hAnsi="仿宋" w:eastAsia="仿宋"/>
          <w:szCs w:val="32"/>
        </w:rPr>
        <w:t>　　4、区属国有企业、区政府规定的国有资本占控股或主导地位的企业的资产、负债和损益。</w:t>
      </w:r>
      <w:r>
        <w:rPr>
          <w:rFonts w:hint="eastAsia" w:ascii="仿宋" w:hAnsi="仿宋" w:eastAsia="仿宋"/>
          <w:szCs w:val="32"/>
        </w:rPr>
        <w:br w:type="textWrapping"/>
      </w:r>
      <w:r>
        <w:rPr>
          <w:rFonts w:hint="eastAsia" w:ascii="仿宋" w:hAnsi="仿宋" w:eastAsia="仿宋"/>
          <w:szCs w:val="32"/>
        </w:rPr>
        <w:t>　　5、区政府部门和受区政府及其部门委托的其他单位管理的社会保障基金、社会捐赠资金及其他有关基金、资金的财务收支。</w:t>
      </w:r>
      <w:r>
        <w:rPr>
          <w:rFonts w:hint="eastAsia" w:ascii="仿宋" w:hAnsi="仿宋" w:eastAsia="仿宋"/>
          <w:szCs w:val="32"/>
        </w:rPr>
        <w:br w:type="textWrapping"/>
      </w:r>
      <w:r>
        <w:rPr>
          <w:rFonts w:hint="eastAsia" w:ascii="仿宋" w:hAnsi="仿宋" w:eastAsia="仿宋"/>
          <w:szCs w:val="32"/>
        </w:rPr>
        <w:t>　　6、法律法规规定应由区审计局审计的其他事项。</w:t>
      </w:r>
      <w:r>
        <w:rPr>
          <w:rFonts w:hint="eastAsia" w:ascii="仿宋" w:hAnsi="仿宋" w:eastAsia="仿宋"/>
          <w:szCs w:val="32"/>
        </w:rPr>
        <w:br w:type="textWrapping"/>
      </w:r>
      <w:r>
        <w:rPr>
          <w:rFonts w:hint="eastAsia" w:ascii="仿宋" w:hAnsi="仿宋" w:eastAsia="仿宋"/>
          <w:szCs w:val="32"/>
        </w:rPr>
        <w:t>　　（五）按规定对科级领导干部及依法属于区审计局审计监督对象的其他单位主要负责人实施经济责任审计。</w:t>
      </w:r>
      <w:r>
        <w:rPr>
          <w:rFonts w:hint="eastAsia" w:ascii="仿宋" w:hAnsi="仿宋" w:eastAsia="仿宋"/>
          <w:szCs w:val="32"/>
        </w:rPr>
        <w:br w:type="textWrapping"/>
      </w:r>
      <w:r>
        <w:rPr>
          <w:rFonts w:hint="eastAsia" w:ascii="仿宋" w:hAnsi="仿宋" w:eastAsia="仿宋"/>
          <w:szCs w:val="32"/>
        </w:rPr>
        <w:t>　　（六）组织实施对国家财经法律、法规、规章、政策和宏观调控措施执行情况、财政预算管理或国有资产管理使用等与国家财政收支有关的特定事项进行专项审计调查。</w:t>
      </w:r>
      <w:r>
        <w:rPr>
          <w:rFonts w:hint="eastAsia" w:ascii="仿宋" w:hAnsi="仿宋" w:eastAsia="仿宋"/>
          <w:szCs w:val="32"/>
        </w:rPr>
        <w:br w:type="textWrapping"/>
      </w:r>
      <w:r>
        <w:rPr>
          <w:rFonts w:hint="eastAsia" w:ascii="仿宋" w:hAnsi="仿宋" w:eastAsia="仿宋"/>
          <w:szCs w:val="32"/>
        </w:rPr>
        <w:t>　　（七）依法检查审计决定执行情况，督促纠正和处理审计发现的问题，依法办理被审计单位对审计决定提请行政复议、行政诉讼或区政府裁决中的有关事项，协助配合有关部门查处相关重大案件。</w:t>
      </w:r>
      <w:r>
        <w:rPr>
          <w:rFonts w:hint="eastAsia" w:ascii="仿宋" w:hAnsi="仿宋" w:eastAsia="仿宋"/>
          <w:szCs w:val="32"/>
        </w:rPr>
        <w:br w:type="textWrapping"/>
      </w:r>
      <w:r>
        <w:rPr>
          <w:rFonts w:hint="eastAsia" w:ascii="仿宋" w:hAnsi="仿宋" w:eastAsia="仿宋"/>
          <w:szCs w:val="32"/>
        </w:rPr>
        <w:t>　　（八）指导和监督内部审计工作，核查社会审计机构对依法属于审计监督对象的单位出具的相关审计报告。</w:t>
      </w:r>
      <w:r>
        <w:rPr>
          <w:rFonts w:hint="eastAsia" w:ascii="仿宋" w:hAnsi="仿宋" w:eastAsia="仿宋"/>
          <w:szCs w:val="32"/>
        </w:rPr>
        <w:br w:type="textWrapping"/>
      </w:r>
      <w:r>
        <w:rPr>
          <w:rFonts w:hint="eastAsia" w:ascii="仿宋" w:hAnsi="仿宋" w:eastAsia="仿宋"/>
          <w:szCs w:val="32"/>
        </w:rPr>
        <w:t>　　（九）承办区政府交办的其他事项。</w:t>
      </w:r>
    </w:p>
    <w:p>
      <w:pPr>
        <w:ind w:firstLine="628" w:firstLineChars="200"/>
        <w:rPr>
          <w:rFonts w:ascii="黑体" w:hAnsi="黑体" w:eastAsia="黑体"/>
          <w:szCs w:val="32"/>
        </w:rPr>
      </w:pPr>
      <w:r>
        <w:rPr>
          <w:rFonts w:hint="eastAsia" w:ascii="黑体" w:hAnsi="黑体" w:eastAsia="黑体"/>
          <w:szCs w:val="32"/>
        </w:rPr>
        <w:t>二、机构设置</w:t>
      </w:r>
    </w:p>
    <w:p>
      <w:pPr>
        <w:ind w:firstLine="628" w:firstLineChars="200"/>
        <w:rPr>
          <w:rFonts w:ascii="仿宋_GB2312" w:hAnsi="仿宋"/>
          <w:szCs w:val="32"/>
        </w:rPr>
      </w:pPr>
      <w:r>
        <w:rPr>
          <w:rFonts w:hint="eastAsia" w:ascii="仿宋_GB2312" w:hAnsi="仿宋"/>
          <w:szCs w:val="32"/>
        </w:rPr>
        <w:t>从决算单位构成看，淮南市八公山区审计局2018年度部门决算包括：</w:t>
      </w:r>
      <w:r>
        <w:rPr>
          <w:rFonts w:hint="eastAsia" w:ascii="仿宋_GB2312" w:hAnsi="仿宋"/>
          <w:color w:val="000000"/>
          <w:szCs w:val="32"/>
        </w:rPr>
        <w:t>本级决算</w:t>
      </w:r>
      <w:r>
        <w:rPr>
          <w:rFonts w:hint="eastAsia" w:ascii="仿宋_GB2312" w:hAnsi="仿宋"/>
          <w:szCs w:val="32"/>
        </w:rPr>
        <w:t>，与预算比较</w:t>
      </w:r>
      <w:r>
        <w:rPr>
          <w:rFonts w:hint="eastAsia" w:ascii="楷体_GB2312" w:hAnsi="仿宋" w:eastAsia="楷体_GB2312"/>
          <w:szCs w:val="32"/>
        </w:rPr>
        <w:t>，</w:t>
      </w:r>
      <w:r>
        <w:rPr>
          <w:rFonts w:hint="eastAsia" w:ascii="仿宋_GB2312" w:hAnsi="仿宋"/>
          <w:szCs w:val="32"/>
        </w:rPr>
        <w:t>增加0户。</w:t>
      </w:r>
    </w:p>
    <w:p>
      <w:pPr>
        <w:ind w:firstLine="628" w:firstLineChars="200"/>
        <w:rPr>
          <w:rFonts w:ascii="仿宋_GB2312" w:hAnsi="仿宋"/>
          <w:szCs w:val="32"/>
        </w:rPr>
      </w:pPr>
      <w:r>
        <w:rPr>
          <w:rFonts w:hint="eastAsia" w:ascii="仿宋_GB2312" w:hAnsi="仿宋"/>
          <w:szCs w:val="32"/>
        </w:rPr>
        <w:t>纳入淮南市八公山区审计局2018年度部门决算编制范围的二级单位共0个，详细情况见下表：</w:t>
      </w:r>
    </w:p>
    <w:tbl>
      <w:tblPr>
        <w:tblStyle w:val="7"/>
        <w:tblW w:w="7226" w:type="dxa"/>
        <w:tblInd w:w="828" w:type="dxa"/>
        <w:shd w:val="clear" w:color="auto" w:fill="FFFFFF"/>
        <w:tblLayout w:type="fixed"/>
        <w:tblCellMar>
          <w:top w:w="0" w:type="dxa"/>
          <w:left w:w="0" w:type="dxa"/>
          <w:bottom w:w="0" w:type="dxa"/>
          <w:right w:w="0" w:type="dxa"/>
        </w:tblCellMar>
      </w:tblPr>
      <w:tblGrid>
        <w:gridCol w:w="1389"/>
        <w:gridCol w:w="5837"/>
      </w:tblGrid>
      <w:tr>
        <w:tblPrEx>
          <w:shd w:val="clear" w:color="auto" w:fill="FFFFFF"/>
          <w:tblCellMar>
            <w:top w:w="0" w:type="dxa"/>
            <w:left w:w="0" w:type="dxa"/>
            <w:bottom w:w="0" w:type="dxa"/>
            <w:right w:w="0" w:type="dxa"/>
          </w:tblCellMar>
        </w:tblPrEx>
        <w:trPr>
          <w:trHeight w:val="397" w:hRule="exact"/>
        </w:trPr>
        <w:tc>
          <w:tcPr>
            <w:tcW w:w="13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sz w:val="24"/>
              </w:rPr>
            </w:pPr>
            <w:r>
              <w:rPr>
                <w:rFonts w:hint="eastAsia" w:ascii="宋体" w:hAnsi="宋体"/>
                <w:sz w:val="24"/>
              </w:rPr>
              <w:t>序号</w:t>
            </w:r>
          </w:p>
        </w:tc>
        <w:tc>
          <w:tcPr>
            <w:tcW w:w="58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sz w:val="24"/>
              </w:rPr>
            </w:pPr>
            <w:r>
              <w:rPr>
                <w:rFonts w:hint="eastAsia" w:ascii="宋体" w:hAnsi="宋体"/>
                <w:sz w:val="24"/>
              </w:rPr>
              <w:t>单位名称</w:t>
            </w:r>
          </w:p>
        </w:tc>
      </w:tr>
      <w:tr>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sz w:val="24"/>
              </w:rPr>
            </w:pPr>
            <w:r>
              <w:rPr>
                <w:rFonts w:hint="eastAsia" w:ascii="宋体" w:hAnsi="宋体"/>
                <w:sz w:val="24"/>
              </w:rPr>
              <w:t>1</w:t>
            </w:r>
          </w:p>
        </w:tc>
        <w:tc>
          <w:tcPr>
            <w:tcW w:w="5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sz w:val="24"/>
              </w:rPr>
            </w:pPr>
            <w:r>
              <w:rPr>
                <w:rFonts w:hint="eastAsia" w:ascii="宋体" w:hAnsi="宋体"/>
                <w:sz w:val="24"/>
              </w:rPr>
              <w:t>淮南市八公山区审计局本级</w:t>
            </w:r>
          </w:p>
        </w:tc>
      </w:tr>
    </w:tbl>
    <w:p>
      <w:pPr>
        <w:ind w:firstLine="628" w:firstLineChars="200"/>
        <w:rPr>
          <w:rFonts w:ascii="黑体" w:hAnsi="黑体" w:eastAsia="黑体"/>
          <w:szCs w:val="32"/>
        </w:rPr>
      </w:pPr>
      <w:r>
        <w:rPr>
          <w:rFonts w:hint="eastAsia" w:ascii="黑体" w:hAnsi="黑体" w:eastAsia="黑体"/>
          <w:szCs w:val="32"/>
        </w:rPr>
        <w:t>第二部分 八公山区审计局2018年部门决算表</w:t>
      </w:r>
    </w:p>
    <w:p>
      <w:pPr>
        <w:rPr>
          <w:rFonts w:ascii="黑体" w:hAnsi="黑体" w:eastAsia="黑体"/>
          <w:szCs w:val="32"/>
        </w:rPr>
      </w:pPr>
    </w:p>
    <w:p>
      <w:pPr>
        <w:numPr>
          <w:ilvl w:val="0"/>
          <w:numId w:val="1"/>
        </w:numPr>
        <w:ind w:firstLine="628" w:firstLineChars="200"/>
        <w:jc w:val="center"/>
        <w:rPr>
          <w:rFonts w:ascii="黑体" w:hAnsi="黑体" w:eastAsia="黑体"/>
          <w:szCs w:val="32"/>
        </w:rPr>
      </w:pPr>
      <w:r>
        <w:rPr>
          <w:rFonts w:hint="eastAsia" w:ascii="黑体" w:hAnsi="黑体" w:eastAsia="黑体"/>
          <w:szCs w:val="32"/>
        </w:rPr>
        <w:t>收入支出决算总表</w:t>
      </w:r>
    </w:p>
    <w:tbl>
      <w:tblPr>
        <w:tblStyle w:val="7"/>
        <w:tblW w:w="8548" w:type="dxa"/>
        <w:tblInd w:w="0" w:type="dxa"/>
        <w:tblLayout w:type="fixed"/>
        <w:tblCellMar>
          <w:top w:w="15" w:type="dxa"/>
          <w:left w:w="15" w:type="dxa"/>
          <w:bottom w:w="15" w:type="dxa"/>
          <w:right w:w="15" w:type="dxa"/>
        </w:tblCellMar>
      </w:tblPr>
      <w:tblGrid>
        <w:gridCol w:w="2049"/>
        <w:gridCol w:w="453"/>
        <w:gridCol w:w="1972"/>
        <w:gridCol w:w="1818"/>
        <w:gridCol w:w="453"/>
        <w:gridCol w:w="1803"/>
      </w:tblGrid>
      <w:tr>
        <w:tblPrEx>
          <w:tblCellMar>
            <w:top w:w="15" w:type="dxa"/>
            <w:left w:w="15" w:type="dxa"/>
            <w:bottom w:w="15" w:type="dxa"/>
            <w:right w:w="15" w:type="dxa"/>
          </w:tblCellMar>
        </w:tblPrEx>
        <w:trPr>
          <w:trHeight w:val="285" w:hRule="atLeast"/>
        </w:trPr>
        <w:tc>
          <w:tcPr>
            <w:tcW w:w="2049" w:type="dxa"/>
            <w:vAlign w:val="bottom"/>
          </w:tcPr>
          <w:p>
            <w:pPr>
              <w:rPr>
                <w:rFonts w:ascii="Arial" w:hAnsi="Arial" w:cs="Arial"/>
                <w:color w:val="000000"/>
                <w:sz w:val="20"/>
              </w:rPr>
            </w:pPr>
          </w:p>
        </w:tc>
        <w:tc>
          <w:tcPr>
            <w:tcW w:w="453" w:type="dxa"/>
            <w:vAlign w:val="bottom"/>
          </w:tcPr>
          <w:p>
            <w:pPr>
              <w:rPr>
                <w:rFonts w:ascii="Arial" w:hAnsi="Arial" w:cs="Arial"/>
                <w:color w:val="000000"/>
                <w:sz w:val="20"/>
              </w:rPr>
            </w:pPr>
          </w:p>
        </w:tc>
        <w:tc>
          <w:tcPr>
            <w:tcW w:w="1972" w:type="dxa"/>
            <w:vAlign w:val="bottom"/>
          </w:tcPr>
          <w:p>
            <w:pPr>
              <w:rPr>
                <w:rFonts w:ascii="Arial" w:hAnsi="Arial" w:cs="Arial"/>
                <w:color w:val="000000"/>
                <w:sz w:val="20"/>
              </w:rPr>
            </w:pPr>
          </w:p>
        </w:tc>
        <w:tc>
          <w:tcPr>
            <w:tcW w:w="1818" w:type="dxa"/>
            <w:vAlign w:val="bottom"/>
          </w:tcPr>
          <w:p>
            <w:pPr>
              <w:rPr>
                <w:rFonts w:ascii="Arial" w:hAnsi="Arial" w:cs="Arial"/>
                <w:color w:val="000000"/>
                <w:sz w:val="20"/>
              </w:rPr>
            </w:pPr>
          </w:p>
        </w:tc>
        <w:tc>
          <w:tcPr>
            <w:tcW w:w="453" w:type="dxa"/>
            <w:vAlign w:val="bottom"/>
          </w:tcPr>
          <w:p>
            <w:pPr>
              <w:rPr>
                <w:rFonts w:ascii="Arial" w:hAnsi="Arial" w:cs="Arial"/>
                <w:color w:val="000000"/>
                <w:sz w:val="20"/>
              </w:rPr>
            </w:pPr>
          </w:p>
        </w:tc>
        <w:tc>
          <w:tcPr>
            <w:tcW w:w="1803" w:type="dxa"/>
            <w:vAlign w:val="bottom"/>
          </w:tcPr>
          <w:p>
            <w:pPr>
              <w:widowControl/>
              <w:jc w:val="right"/>
              <w:textAlignment w:val="bottom"/>
              <w:rPr>
                <w:rFonts w:ascii="宋体" w:hAnsi="宋体" w:eastAsia="宋体" w:cs="宋体"/>
                <w:color w:val="000000"/>
                <w:sz w:val="20"/>
              </w:rPr>
            </w:pPr>
            <w:r>
              <w:rPr>
                <w:rFonts w:hint="eastAsia" w:ascii="宋体" w:hAnsi="宋体" w:eastAsia="宋体" w:cs="宋体"/>
                <w:color w:val="000000"/>
                <w:kern w:val="0"/>
                <w:sz w:val="20"/>
              </w:rPr>
              <w:t>公开01表</w:t>
            </w:r>
          </w:p>
        </w:tc>
      </w:tr>
      <w:tr>
        <w:tblPrEx>
          <w:tblCellMar>
            <w:top w:w="15" w:type="dxa"/>
            <w:left w:w="15" w:type="dxa"/>
            <w:bottom w:w="15" w:type="dxa"/>
            <w:right w:w="15" w:type="dxa"/>
          </w:tblCellMar>
        </w:tblPrEx>
        <w:trPr>
          <w:trHeight w:val="285" w:hRule="atLeast"/>
        </w:trPr>
        <w:tc>
          <w:tcPr>
            <w:tcW w:w="2049" w:type="dxa"/>
            <w:vAlign w:val="bottom"/>
          </w:tcPr>
          <w:p>
            <w:pPr>
              <w:widowControl/>
              <w:jc w:val="left"/>
              <w:textAlignment w:val="bottom"/>
              <w:rPr>
                <w:rFonts w:ascii="宋体" w:hAnsi="宋体" w:eastAsia="宋体" w:cs="宋体"/>
                <w:color w:val="000000"/>
                <w:sz w:val="20"/>
              </w:rPr>
            </w:pPr>
            <w:r>
              <w:rPr>
                <w:rFonts w:hint="eastAsia" w:ascii="宋体" w:hAnsi="宋体" w:eastAsia="宋体" w:cs="宋体"/>
                <w:color w:val="000000"/>
                <w:kern w:val="0"/>
                <w:sz w:val="20"/>
              </w:rPr>
              <w:t>部门：</w:t>
            </w:r>
          </w:p>
        </w:tc>
        <w:tc>
          <w:tcPr>
            <w:tcW w:w="453" w:type="dxa"/>
            <w:vAlign w:val="bottom"/>
          </w:tcPr>
          <w:p>
            <w:pPr>
              <w:rPr>
                <w:rFonts w:ascii="Arial" w:hAnsi="Arial" w:cs="Arial"/>
                <w:color w:val="000000"/>
                <w:sz w:val="20"/>
              </w:rPr>
            </w:pPr>
          </w:p>
        </w:tc>
        <w:tc>
          <w:tcPr>
            <w:tcW w:w="1972" w:type="dxa"/>
            <w:vAlign w:val="bottom"/>
          </w:tcPr>
          <w:p>
            <w:pPr>
              <w:rPr>
                <w:rFonts w:ascii="Arial" w:hAnsi="Arial" w:cs="Arial"/>
                <w:color w:val="000000"/>
                <w:sz w:val="20"/>
              </w:rPr>
            </w:pPr>
          </w:p>
        </w:tc>
        <w:tc>
          <w:tcPr>
            <w:tcW w:w="1818" w:type="dxa"/>
            <w:vAlign w:val="bottom"/>
          </w:tcPr>
          <w:p>
            <w:pPr>
              <w:rPr>
                <w:rFonts w:ascii="Arial" w:hAnsi="Arial" w:cs="Arial"/>
                <w:color w:val="000000"/>
                <w:sz w:val="20"/>
              </w:rPr>
            </w:pPr>
          </w:p>
        </w:tc>
        <w:tc>
          <w:tcPr>
            <w:tcW w:w="453" w:type="dxa"/>
            <w:vAlign w:val="bottom"/>
          </w:tcPr>
          <w:p>
            <w:pPr>
              <w:rPr>
                <w:rFonts w:ascii="Arial" w:hAnsi="Arial" w:cs="Arial"/>
                <w:color w:val="000000"/>
                <w:sz w:val="20"/>
              </w:rPr>
            </w:pPr>
          </w:p>
        </w:tc>
        <w:tc>
          <w:tcPr>
            <w:tcW w:w="1803" w:type="dxa"/>
            <w:vAlign w:val="bottom"/>
          </w:tcPr>
          <w:p>
            <w:pPr>
              <w:widowControl/>
              <w:jc w:val="right"/>
              <w:textAlignment w:val="bottom"/>
              <w:rPr>
                <w:rFonts w:ascii="宋体" w:hAnsi="宋体" w:eastAsia="宋体" w:cs="宋体"/>
                <w:color w:val="000000"/>
                <w:sz w:val="20"/>
              </w:rPr>
            </w:pPr>
            <w:r>
              <w:rPr>
                <w:rFonts w:hint="eastAsia" w:ascii="宋体" w:hAnsi="宋体" w:eastAsia="宋体" w:cs="宋体"/>
                <w:color w:val="000000"/>
                <w:kern w:val="0"/>
                <w:sz w:val="20"/>
              </w:rPr>
              <w:t>单位：万元</w:t>
            </w:r>
          </w:p>
        </w:tc>
      </w:tr>
      <w:tr>
        <w:tblPrEx>
          <w:tblCellMar>
            <w:top w:w="15" w:type="dxa"/>
            <w:left w:w="15" w:type="dxa"/>
            <w:bottom w:w="15" w:type="dxa"/>
            <w:right w:w="15" w:type="dxa"/>
          </w:tblCellMar>
        </w:tblPrEx>
        <w:trPr>
          <w:trHeight w:val="300" w:hRule="atLeast"/>
        </w:trPr>
        <w:tc>
          <w:tcPr>
            <w:tcW w:w="447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收入</w:t>
            </w:r>
          </w:p>
        </w:tc>
        <w:tc>
          <w:tcPr>
            <w:tcW w:w="4074" w:type="dxa"/>
            <w:gridSpan w:val="3"/>
            <w:tcBorders>
              <w:top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支出</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1972"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181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1803" w:type="dxa"/>
            <w:tcBorders>
              <w:bottom w:val="single" w:color="000000" w:sz="4" w:space="0"/>
              <w:right w:val="single" w:color="000000" w:sz="12"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453" w:type="dxa"/>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972"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81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453" w:type="dxa"/>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803" w:type="dxa"/>
            <w:tcBorders>
              <w:bottom w:val="single" w:color="000000" w:sz="4" w:space="0"/>
              <w:right w:val="single" w:color="000000" w:sz="12"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一、财政拨款收入</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89.99</w:t>
            </w: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一、一般公共服务支出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85.56</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其中：政府性基金预算财政拨款</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二、外交支出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二、上级补助收入</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三、国防支出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三、事业收入</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四、公共安全支出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四、经营收入</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五、教育支出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五、附属单位上缴收入</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六、科学技术支出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六、其他收入</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七、文化体育与传媒支出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八、社会保障和就业支出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九、医疗卫生与计划生育支出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0.48</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十、节能环保支出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十一、城乡社区支出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0.86</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十二、农林水支出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46</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十三、交通运输支出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47</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十四、资源勘探信息等支出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十五、商业服务业等支出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49</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十六、金融支出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十七、援助其他地区支出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十八、国土海洋气象等支出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十九、住房保障支出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53</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3.09</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二十、粮油物资储备支出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二十一、其他支出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55</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二十二、债务还本支出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二十三、债务付息支出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57</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本年收入合计</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89.99</w:t>
            </w:r>
          </w:p>
        </w:tc>
        <w:tc>
          <w:tcPr>
            <w:tcW w:w="1818" w:type="dxa"/>
            <w:tcBorders>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本年支出合计</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58</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89.99</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用事业基金弥补收支差额</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结余分配</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其中：提取职工福利基金</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其中：项目支出结转和结余</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转入事业基金</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61</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其中：项目支出结转和结余</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63</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64</w:t>
            </w:r>
          </w:p>
        </w:tc>
        <w:tc>
          <w:tcPr>
            <w:tcW w:w="1803" w:type="dxa"/>
            <w:tcBorders>
              <w:bottom w:val="single" w:color="000000" w:sz="4" w:space="0"/>
              <w:right w:val="single" w:color="000000" w:sz="12" w:space="0"/>
            </w:tcBorders>
            <w:vAlign w:val="center"/>
          </w:tcPr>
          <w:p>
            <w:pPr>
              <w:jc w:val="lef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453" w:type="dxa"/>
            <w:tcBorders>
              <w:bottom w:val="single" w:color="000000" w:sz="12"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w:t>
            </w:r>
          </w:p>
        </w:tc>
        <w:tc>
          <w:tcPr>
            <w:tcW w:w="1972" w:type="dxa"/>
            <w:tcBorders>
              <w:bottom w:val="single" w:color="000000" w:sz="12"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89.99</w:t>
            </w:r>
          </w:p>
        </w:tc>
        <w:tc>
          <w:tcPr>
            <w:tcW w:w="1818" w:type="dxa"/>
            <w:tcBorders>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453" w:type="dxa"/>
            <w:tcBorders>
              <w:bottom w:val="single" w:color="000000" w:sz="12"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65</w:t>
            </w:r>
          </w:p>
        </w:tc>
        <w:tc>
          <w:tcPr>
            <w:tcW w:w="1803" w:type="dxa"/>
            <w:tcBorders>
              <w:bottom w:val="single" w:color="000000" w:sz="12" w:space="0"/>
              <w:right w:val="single" w:color="000000" w:sz="12"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89.99</w:t>
            </w:r>
          </w:p>
        </w:tc>
      </w:tr>
    </w:tbl>
    <w:p>
      <w:pPr>
        <w:rPr>
          <w:rFonts w:ascii="黑体" w:hAnsi="黑体" w:eastAsia="黑体"/>
          <w:szCs w:val="32"/>
        </w:rPr>
      </w:pPr>
    </w:p>
    <w:p>
      <w:pPr>
        <w:ind w:firstLine="628" w:firstLineChars="200"/>
        <w:jc w:val="center"/>
        <w:rPr>
          <w:rFonts w:ascii="宋体" w:hAnsi="宋体" w:eastAsia="宋体"/>
          <w:color w:val="FF0000"/>
          <w:sz w:val="20"/>
        </w:rPr>
      </w:pPr>
      <w:r>
        <w:rPr>
          <w:rFonts w:hint="eastAsia" w:ascii="黑体" w:hAnsi="黑体" w:eastAsia="黑体"/>
          <w:szCs w:val="32"/>
        </w:rPr>
        <w:t xml:space="preserve">二、收入决算表                                      </w:t>
      </w:r>
    </w:p>
    <w:tbl>
      <w:tblPr>
        <w:tblStyle w:val="7"/>
        <w:tblW w:w="9452" w:type="dxa"/>
        <w:tblInd w:w="93" w:type="dxa"/>
        <w:tblLayout w:type="fixed"/>
        <w:tblCellMar>
          <w:top w:w="15" w:type="dxa"/>
          <w:left w:w="108" w:type="dxa"/>
          <w:bottom w:w="15" w:type="dxa"/>
          <w:right w:w="108" w:type="dxa"/>
        </w:tblCellMar>
      </w:tblPr>
      <w:tblGrid>
        <w:gridCol w:w="1267"/>
        <w:gridCol w:w="1565"/>
        <w:gridCol w:w="1338"/>
        <w:gridCol w:w="1290"/>
        <w:gridCol w:w="600"/>
        <w:gridCol w:w="810"/>
        <w:gridCol w:w="945"/>
        <w:gridCol w:w="964"/>
        <w:gridCol w:w="626"/>
        <w:gridCol w:w="47"/>
      </w:tblGrid>
      <w:tr>
        <w:tblPrEx>
          <w:tblCellMar>
            <w:top w:w="15" w:type="dxa"/>
            <w:left w:w="108" w:type="dxa"/>
            <w:bottom w:w="15" w:type="dxa"/>
            <w:right w:w="108" w:type="dxa"/>
          </w:tblCellMar>
        </w:tblPrEx>
        <w:trPr>
          <w:gridAfter w:val="1"/>
          <w:wAfter w:w="47" w:type="dxa"/>
          <w:trHeight w:val="300" w:hRule="atLeast"/>
        </w:trPr>
        <w:tc>
          <w:tcPr>
            <w:tcW w:w="2832" w:type="dxa"/>
            <w:gridSpan w:val="2"/>
            <w:vAlign w:val="bottom"/>
          </w:tcPr>
          <w:p>
            <w:pPr>
              <w:widowControl/>
              <w:jc w:val="left"/>
              <w:rPr>
                <w:rFonts w:ascii="宋体" w:hAnsi="宋体" w:eastAsia="宋体" w:cs="宋体"/>
                <w:kern w:val="0"/>
                <w:sz w:val="20"/>
              </w:rPr>
            </w:pPr>
          </w:p>
        </w:tc>
        <w:tc>
          <w:tcPr>
            <w:tcW w:w="1338" w:type="dxa"/>
            <w:vAlign w:val="bottom"/>
          </w:tcPr>
          <w:p>
            <w:pPr>
              <w:widowControl/>
              <w:jc w:val="left"/>
              <w:rPr>
                <w:rFonts w:ascii="Arial" w:hAnsi="Arial" w:eastAsia="宋体" w:cs="宋体"/>
                <w:color w:val="000000"/>
                <w:kern w:val="0"/>
                <w:sz w:val="20"/>
              </w:rPr>
            </w:pPr>
          </w:p>
        </w:tc>
        <w:tc>
          <w:tcPr>
            <w:tcW w:w="1290" w:type="dxa"/>
            <w:vAlign w:val="bottom"/>
          </w:tcPr>
          <w:p>
            <w:pPr>
              <w:widowControl/>
              <w:jc w:val="left"/>
              <w:rPr>
                <w:rFonts w:ascii="Arial" w:hAnsi="Arial" w:eastAsia="宋体" w:cs="宋体"/>
                <w:color w:val="000000"/>
                <w:kern w:val="0"/>
                <w:sz w:val="20"/>
              </w:rPr>
            </w:pPr>
          </w:p>
        </w:tc>
        <w:tc>
          <w:tcPr>
            <w:tcW w:w="600" w:type="dxa"/>
            <w:vAlign w:val="bottom"/>
          </w:tcPr>
          <w:p>
            <w:pPr>
              <w:widowControl/>
              <w:jc w:val="center"/>
              <w:rPr>
                <w:rFonts w:ascii="宋体" w:hAnsi="宋体" w:eastAsia="宋体" w:cs="宋体"/>
                <w:color w:val="000000"/>
                <w:kern w:val="0"/>
                <w:sz w:val="20"/>
              </w:rPr>
            </w:pPr>
          </w:p>
        </w:tc>
        <w:tc>
          <w:tcPr>
            <w:tcW w:w="810" w:type="dxa"/>
            <w:vAlign w:val="bottom"/>
          </w:tcPr>
          <w:p>
            <w:pPr>
              <w:widowControl/>
              <w:jc w:val="left"/>
              <w:rPr>
                <w:rFonts w:ascii="Arial" w:hAnsi="Arial" w:eastAsia="宋体" w:cs="宋体"/>
                <w:color w:val="000000"/>
                <w:kern w:val="0"/>
                <w:sz w:val="20"/>
              </w:rPr>
            </w:pPr>
          </w:p>
        </w:tc>
        <w:tc>
          <w:tcPr>
            <w:tcW w:w="2535" w:type="dxa"/>
            <w:gridSpan w:val="3"/>
            <w:vAlign w:val="bottom"/>
          </w:tcPr>
          <w:p>
            <w:pPr>
              <w:widowControl/>
              <w:jc w:val="right"/>
              <w:rPr>
                <w:rFonts w:ascii="宋体" w:hAnsi="宋体" w:eastAsia="宋体" w:cs="宋体"/>
                <w:kern w:val="0"/>
                <w:sz w:val="20"/>
              </w:rPr>
            </w:pPr>
            <w:r>
              <w:rPr>
                <w:rFonts w:hint="eastAsia" w:ascii="宋体" w:hAnsi="宋体" w:eastAsia="宋体" w:cs="宋体"/>
                <w:kern w:val="0"/>
                <w:sz w:val="20"/>
              </w:rPr>
              <w:t xml:space="preserve"> 公开02表</w:t>
            </w:r>
          </w:p>
        </w:tc>
      </w:tr>
      <w:tr>
        <w:tblPrEx>
          <w:tblCellMar>
            <w:top w:w="15" w:type="dxa"/>
            <w:left w:w="108" w:type="dxa"/>
            <w:bottom w:w="15" w:type="dxa"/>
            <w:right w:w="108" w:type="dxa"/>
          </w:tblCellMar>
        </w:tblPrEx>
        <w:trPr>
          <w:gridAfter w:val="1"/>
          <w:wAfter w:w="47" w:type="dxa"/>
          <w:trHeight w:val="300" w:hRule="atLeast"/>
        </w:trPr>
        <w:tc>
          <w:tcPr>
            <w:tcW w:w="2832" w:type="dxa"/>
            <w:gridSpan w:val="2"/>
            <w:vAlign w:val="bottom"/>
          </w:tcPr>
          <w:p>
            <w:pPr>
              <w:widowControl/>
              <w:jc w:val="left"/>
              <w:rPr>
                <w:rFonts w:ascii="Arial" w:hAnsi="Arial" w:eastAsia="宋体" w:cs="宋体"/>
                <w:kern w:val="0"/>
                <w:sz w:val="20"/>
              </w:rPr>
            </w:pPr>
            <w:r>
              <w:rPr>
                <w:rFonts w:hint="eastAsia" w:ascii="宋体" w:hAnsi="宋体" w:eastAsia="宋体" w:cs="宋体"/>
                <w:kern w:val="0"/>
                <w:sz w:val="20"/>
              </w:rPr>
              <w:t>部门：</w:t>
            </w:r>
          </w:p>
        </w:tc>
        <w:tc>
          <w:tcPr>
            <w:tcW w:w="1338" w:type="dxa"/>
            <w:vAlign w:val="bottom"/>
          </w:tcPr>
          <w:p>
            <w:pPr>
              <w:widowControl/>
              <w:jc w:val="left"/>
              <w:rPr>
                <w:rFonts w:ascii="Arial" w:hAnsi="Arial" w:eastAsia="宋体" w:cs="宋体"/>
                <w:color w:val="000000"/>
                <w:kern w:val="0"/>
                <w:sz w:val="20"/>
              </w:rPr>
            </w:pPr>
          </w:p>
        </w:tc>
        <w:tc>
          <w:tcPr>
            <w:tcW w:w="1290" w:type="dxa"/>
            <w:vAlign w:val="bottom"/>
          </w:tcPr>
          <w:p>
            <w:pPr>
              <w:widowControl/>
              <w:jc w:val="left"/>
              <w:rPr>
                <w:rFonts w:ascii="Arial" w:hAnsi="Arial" w:eastAsia="宋体" w:cs="宋体"/>
                <w:color w:val="000000"/>
                <w:kern w:val="0"/>
                <w:sz w:val="20"/>
              </w:rPr>
            </w:pPr>
          </w:p>
        </w:tc>
        <w:tc>
          <w:tcPr>
            <w:tcW w:w="600" w:type="dxa"/>
            <w:vAlign w:val="bottom"/>
          </w:tcPr>
          <w:p>
            <w:pPr>
              <w:widowControl/>
              <w:jc w:val="center"/>
              <w:rPr>
                <w:rFonts w:ascii="宋体" w:hAnsi="宋体" w:eastAsia="宋体" w:cs="宋体"/>
                <w:color w:val="000000"/>
                <w:kern w:val="0"/>
                <w:sz w:val="20"/>
              </w:rPr>
            </w:pPr>
          </w:p>
        </w:tc>
        <w:tc>
          <w:tcPr>
            <w:tcW w:w="810" w:type="dxa"/>
            <w:vAlign w:val="bottom"/>
          </w:tcPr>
          <w:p>
            <w:pPr>
              <w:widowControl/>
              <w:jc w:val="left"/>
              <w:rPr>
                <w:rFonts w:ascii="Arial" w:hAnsi="Arial" w:eastAsia="宋体" w:cs="宋体"/>
                <w:color w:val="000000"/>
                <w:kern w:val="0"/>
                <w:sz w:val="20"/>
              </w:rPr>
            </w:pPr>
          </w:p>
        </w:tc>
        <w:tc>
          <w:tcPr>
            <w:tcW w:w="2535" w:type="dxa"/>
            <w:gridSpan w:val="3"/>
            <w:vAlign w:val="bottom"/>
          </w:tcPr>
          <w:p>
            <w:pPr>
              <w:widowControl/>
              <w:ind w:right="60"/>
              <w:jc w:val="right"/>
              <w:rPr>
                <w:rFonts w:ascii="宋体" w:hAnsi="宋体" w:eastAsia="宋体" w:cs="宋体"/>
                <w:color w:val="000000"/>
                <w:kern w:val="0"/>
                <w:sz w:val="20"/>
              </w:rPr>
            </w:pPr>
            <w:r>
              <w:rPr>
                <w:rFonts w:hint="eastAsia" w:ascii="宋体" w:hAnsi="宋体" w:eastAsia="宋体" w:cs="宋体"/>
                <w:color w:val="000000"/>
                <w:kern w:val="0"/>
                <w:sz w:val="20"/>
              </w:rPr>
              <w:t>金额单位：万元</w:t>
            </w:r>
          </w:p>
        </w:tc>
      </w:tr>
      <w:tr>
        <w:tblPrEx>
          <w:tblCellMar>
            <w:top w:w="15" w:type="dxa"/>
            <w:left w:w="108" w:type="dxa"/>
            <w:bottom w:w="15" w:type="dxa"/>
            <w:right w:w="108" w:type="dxa"/>
          </w:tblCellMar>
        </w:tblPrEx>
        <w:trPr>
          <w:gridAfter w:val="1"/>
          <w:wAfter w:w="47" w:type="dxa"/>
          <w:trHeight w:val="450" w:hRule="atLeast"/>
        </w:trPr>
        <w:tc>
          <w:tcPr>
            <w:tcW w:w="2832" w:type="dxa"/>
            <w:gridSpan w:val="2"/>
            <w:tcBorders>
              <w:top w:val="single" w:color="000000" w:sz="12" w:space="0"/>
              <w:left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338"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本年收入合计</w:t>
            </w:r>
          </w:p>
        </w:tc>
        <w:tc>
          <w:tcPr>
            <w:tcW w:w="1290"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财政拨款收入</w:t>
            </w:r>
          </w:p>
        </w:tc>
        <w:tc>
          <w:tcPr>
            <w:tcW w:w="600"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上级补助收入</w:t>
            </w:r>
          </w:p>
        </w:tc>
        <w:tc>
          <w:tcPr>
            <w:tcW w:w="810"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事业</w:t>
            </w:r>
          </w:p>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收入</w:t>
            </w:r>
          </w:p>
        </w:tc>
        <w:tc>
          <w:tcPr>
            <w:tcW w:w="945"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经营</w:t>
            </w:r>
          </w:p>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收入</w:t>
            </w:r>
          </w:p>
        </w:tc>
        <w:tc>
          <w:tcPr>
            <w:tcW w:w="964"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附属单位上缴收入</w:t>
            </w:r>
          </w:p>
        </w:tc>
        <w:tc>
          <w:tcPr>
            <w:tcW w:w="626"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其他收入</w:t>
            </w:r>
          </w:p>
        </w:tc>
      </w:tr>
      <w:tr>
        <w:tblPrEx>
          <w:tblCellMar>
            <w:top w:w="15" w:type="dxa"/>
            <w:left w:w="108" w:type="dxa"/>
            <w:bottom w:w="15" w:type="dxa"/>
            <w:right w:w="108" w:type="dxa"/>
          </w:tblCellMar>
        </w:tblPrEx>
        <w:trPr>
          <w:gridAfter w:val="1"/>
          <w:wAfter w:w="47" w:type="dxa"/>
          <w:trHeight w:val="915"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支出功能分类科目编码</w:t>
            </w:r>
          </w:p>
        </w:tc>
        <w:tc>
          <w:tcPr>
            <w:tcW w:w="1565"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338"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90"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600"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810"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45"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64"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626"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gridAfter w:val="1"/>
          <w:wAfter w:w="47" w:type="dxa"/>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1565"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b/>
                <w:color w:val="000000"/>
                <w:kern w:val="0"/>
                <w:sz w:val="22"/>
                <w:szCs w:val="22"/>
              </w:rPr>
              <w:t>89.99</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b/>
                <w:color w:val="000000"/>
                <w:kern w:val="0"/>
                <w:sz w:val="22"/>
                <w:szCs w:val="22"/>
              </w:rPr>
              <w:t>89.99</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gridAfter w:val="1"/>
          <w:wAfter w:w="47" w:type="dxa"/>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一般公共服务支出</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85.56</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85.56</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gridAfter w:val="1"/>
          <w:wAfter w:w="47" w:type="dxa"/>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20108</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审计事务</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85.56</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85.56</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gridAfter w:val="1"/>
          <w:wAfter w:w="47" w:type="dxa"/>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2010801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行政运行</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10.31</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10.31</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gridAfter w:val="1"/>
          <w:wAfter w:w="47" w:type="dxa"/>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2010802</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一般行政管理事务</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3.34</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3.34</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gridAfter w:val="1"/>
          <w:wAfter w:w="47" w:type="dxa"/>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2010804</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审计业务</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71.91</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71.91</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gridAfter w:val="1"/>
          <w:wAfter w:w="47" w:type="dxa"/>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医疗卫生与计划生育支出</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gridAfter w:val="1"/>
          <w:wAfter w:w="47" w:type="dxa"/>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21011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行政事业单位医疗</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2101101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行政单位医疗</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73" w:type="dxa"/>
            <w:gridSpan w:val="2"/>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212</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城乡社区支出</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73" w:type="dxa"/>
            <w:gridSpan w:val="2"/>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21201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城乡社区管理事务</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73" w:type="dxa"/>
            <w:gridSpan w:val="2"/>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2120199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其他城乡社区管理事务支出</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73" w:type="dxa"/>
            <w:gridSpan w:val="2"/>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住房保障支出</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3.09</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3.09</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73" w:type="dxa"/>
            <w:gridSpan w:val="2"/>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22101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保障性安居工程支出</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73" w:type="dxa"/>
            <w:gridSpan w:val="2"/>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2210199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其他保障性安居工程支出</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73" w:type="dxa"/>
            <w:gridSpan w:val="2"/>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22102</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住房改革支出</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73" w:type="dxa"/>
            <w:gridSpan w:val="2"/>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2210201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住房公积金</w:t>
            </w:r>
          </w:p>
        </w:tc>
        <w:tc>
          <w:tcPr>
            <w:tcW w:w="133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129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60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1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73" w:type="dxa"/>
            <w:gridSpan w:val="2"/>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bl>
    <w:p>
      <w:pPr>
        <w:ind w:firstLine="628" w:firstLineChars="200"/>
        <w:rPr>
          <w:rFonts w:ascii="黑体" w:hAnsi="黑体" w:eastAsia="黑体"/>
          <w:szCs w:val="32"/>
        </w:rPr>
      </w:pPr>
    </w:p>
    <w:p>
      <w:pPr>
        <w:ind w:firstLine="628" w:firstLineChars="200"/>
        <w:jc w:val="center"/>
        <w:rPr>
          <w:rFonts w:ascii="黑体" w:hAnsi="黑体" w:eastAsia="黑体"/>
          <w:szCs w:val="32"/>
        </w:rPr>
      </w:pPr>
      <w:r>
        <w:rPr>
          <w:rFonts w:hint="eastAsia" w:ascii="黑体" w:hAnsi="黑体" w:eastAsia="黑体"/>
          <w:szCs w:val="32"/>
        </w:rPr>
        <w:t>三、支出决算表</w:t>
      </w:r>
    </w:p>
    <w:tbl>
      <w:tblPr>
        <w:tblStyle w:val="7"/>
        <w:tblW w:w="9420" w:type="dxa"/>
        <w:tblInd w:w="93" w:type="dxa"/>
        <w:tblLayout w:type="fixed"/>
        <w:tblCellMar>
          <w:top w:w="15" w:type="dxa"/>
          <w:left w:w="108" w:type="dxa"/>
          <w:bottom w:w="15" w:type="dxa"/>
          <w:right w:w="108" w:type="dxa"/>
        </w:tblCellMar>
      </w:tblPr>
      <w:tblGrid>
        <w:gridCol w:w="360"/>
        <w:gridCol w:w="315"/>
        <w:gridCol w:w="375"/>
        <w:gridCol w:w="1055"/>
        <w:gridCol w:w="1060"/>
        <w:gridCol w:w="1305"/>
        <w:gridCol w:w="1365"/>
        <w:gridCol w:w="1410"/>
        <w:gridCol w:w="555"/>
        <w:gridCol w:w="668"/>
        <w:gridCol w:w="952"/>
      </w:tblGrid>
      <w:tr>
        <w:tblPrEx>
          <w:tblCellMar>
            <w:top w:w="15" w:type="dxa"/>
            <w:left w:w="108" w:type="dxa"/>
            <w:bottom w:w="15" w:type="dxa"/>
            <w:right w:w="108" w:type="dxa"/>
          </w:tblCellMar>
        </w:tblPrEx>
        <w:trPr>
          <w:trHeight w:val="285" w:hRule="atLeast"/>
        </w:trPr>
        <w:tc>
          <w:tcPr>
            <w:tcW w:w="360" w:type="dxa"/>
            <w:vAlign w:val="bottom"/>
          </w:tcPr>
          <w:p>
            <w:pPr>
              <w:widowControl/>
              <w:jc w:val="left"/>
              <w:rPr>
                <w:rFonts w:ascii="Arial" w:hAnsi="Arial" w:eastAsia="宋体" w:cs="宋体"/>
                <w:color w:val="000000"/>
                <w:kern w:val="0"/>
                <w:sz w:val="20"/>
              </w:rPr>
            </w:pPr>
          </w:p>
        </w:tc>
        <w:tc>
          <w:tcPr>
            <w:tcW w:w="315" w:type="dxa"/>
            <w:vAlign w:val="bottom"/>
          </w:tcPr>
          <w:p>
            <w:pPr>
              <w:widowControl/>
              <w:jc w:val="left"/>
              <w:rPr>
                <w:rFonts w:ascii="Arial" w:hAnsi="Arial" w:eastAsia="宋体" w:cs="宋体"/>
                <w:color w:val="000000"/>
                <w:kern w:val="0"/>
                <w:sz w:val="20"/>
              </w:rPr>
            </w:pPr>
          </w:p>
        </w:tc>
        <w:tc>
          <w:tcPr>
            <w:tcW w:w="375" w:type="dxa"/>
            <w:vAlign w:val="bottom"/>
          </w:tcPr>
          <w:p>
            <w:pPr>
              <w:widowControl/>
              <w:jc w:val="left"/>
              <w:rPr>
                <w:rFonts w:ascii="Arial" w:hAnsi="Arial" w:eastAsia="宋体" w:cs="宋体"/>
                <w:color w:val="000000"/>
                <w:kern w:val="0"/>
                <w:sz w:val="20"/>
              </w:rPr>
            </w:pPr>
          </w:p>
        </w:tc>
        <w:tc>
          <w:tcPr>
            <w:tcW w:w="2115" w:type="dxa"/>
            <w:gridSpan w:val="2"/>
            <w:vAlign w:val="bottom"/>
          </w:tcPr>
          <w:p>
            <w:pPr>
              <w:widowControl/>
              <w:jc w:val="left"/>
              <w:rPr>
                <w:rFonts w:ascii="Arial" w:hAnsi="Arial" w:eastAsia="宋体" w:cs="宋体"/>
                <w:color w:val="000000"/>
                <w:kern w:val="0"/>
                <w:sz w:val="20"/>
              </w:rPr>
            </w:pPr>
          </w:p>
        </w:tc>
        <w:tc>
          <w:tcPr>
            <w:tcW w:w="1305" w:type="dxa"/>
            <w:vAlign w:val="bottom"/>
          </w:tcPr>
          <w:p>
            <w:pPr>
              <w:widowControl/>
              <w:jc w:val="left"/>
              <w:rPr>
                <w:rFonts w:ascii="Arial" w:hAnsi="Arial" w:eastAsia="宋体" w:cs="宋体"/>
                <w:color w:val="000000"/>
                <w:kern w:val="0"/>
                <w:sz w:val="20"/>
              </w:rPr>
            </w:pPr>
          </w:p>
        </w:tc>
        <w:tc>
          <w:tcPr>
            <w:tcW w:w="1365" w:type="dxa"/>
            <w:vAlign w:val="bottom"/>
          </w:tcPr>
          <w:p>
            <w:pPr>
              <w:widowControl/>
              <w:jc w:val="left"/>
              <w:rPr>
                <w:rFonts w:ascii="Arial" w:hAnsi="Arial" w:eastAsia="宋体" w:cs="宋体"/>
                <w:color w:val="000000"/>
                <w:kern w:val="0"/>
                <w:sz w:val="20"/>
              </w:rPr>
            </w:pPr>
          </w:p>
        </w:tc>
        <w:tc>
          <w:tcPr>
            <w:tcW w:w="1410" w:type="dxa"/>
            <w:vAlign w:val="bottom"/>
          </w:tcPr>
          <w:p>
            <w:pPr>
              <w:widowControl/>
              <w:jc w:val="left"/>
              <w:rPr>
                <w:rFonts w:ascii="Arial" w:hAnsi="Arial" w:eastAsia="宋体" w:cs="宋体"/>
                <w:color w:val="000000"/>
                <w:kern w:val="0"/>
                <w:sz w:val="20"/>
              </w:rPr>
            </w:pPr>
          </w:p>
        </w:tc>
        <w:tc>
          <w:tcPr>
            <w:tcW w:w="555" w:type="dxa"/>
            <w:vAlign w:val="bottom"/>
          </w:tcPr>
          <w:p>
            <w:pPr>
              <w:widowControl/>
              <w:jc w:val="left"/>
              <w:rPr>
                <w:rFonts w:ascii="Arial" w:hAnsi="Arial" w:eastAsia="宋体" w:cs="宋体"/>
                <w:color w:val="000000"/>
                <w:kern w:val="0"/>
                <w:sz w:val="20"/>
              </w:rPr>
            </w:pPr>
          </w:p>
        </w:tc>
        <w:tc>
          <w:tcPr>
            <w:tcW w:w="1620" w:type="dxa"/>
            <w:gridSpan w:val="2"/>
            <w:vAlign w:val="bottom"/>
          </w:tcPr>
          <w:p>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公开03表</w:t>
            </w:r>
          </w:p>
        </w:tc>
      </w:tr>
      <w:tr>
        <w:tblPrEx>
          <w:tblCellMar>
            <w:top w:w="15" w:type="dxa"/>
            <w:left w:w="108" w:type="dxa"/>
            <w:bottom w:w="15" w:type="dxa"/>
            <w:right w:w="108" w:type="dxa"/>
          </w:tblCellMar>
        </w:tblPrEx>
        <w:trPr>
          <w:trHeight w:val="300" w:hRule="atLeast"/>
        </w:trPr>
        <w:tc>
          <w:tcPr>
            <w:tcW w:w="675" w:type="dxa"/>
            <w:gridSpan w:val="2"/>
            <w:vAlign w:val="bottom"/>
          </w:tcPr>
          <w:p>
            <w:pPr>
              <w:widowControl/>
              <w:jc w:val="left"/>
              <w:rPr>
                <w:rFonts w:ascii="Arial" w:hAnsi="Arial" w:eastAsia="宋体" w:cs="宋体"/>
                <w:color w:val="000000"/>
                <w:kern w:val="0"/>
                <w:sz w:val="20"/>
              </w:rPr>
            </w:pPr>
            <w:r>
              <w:rPr>
                <w:rFonts w:hint="eastAsia" w:ascii="宋体" w:hAnsi="宋体" w:eastAsia="宋体" w:cs="宋体"/>
                <w:color w:val="000000"/>
                <w:kern w:val="0"/>
                <w:sz w:val="20"/>
              </w:rPr>
              <w:t>部门：</w:t>
            </w:r>
          </w:p>
        </w:tc>
        <w:tc>
          <w:tcPr>
            <w:tcW w:w="375" w:type="dxa"/>
            <w:vAlign w:val="bottom"/>
          </w:tcPr>
          <w:p>
            <w:pPr>
              <w:widowControl/>
              <w:jc w:val="left"/>
              <w:rPr>
                <w:rFonts w:ascii="Arial" w:hAnsi="Arial" w:eastAsia="宋体" w:cs="宋体"/>
                <w:color w:val="000000"/>
                <w:kern w:val="0"/>
                <w:sz w:val="20"/>
              </w:rPr>
            </w:pPr>
          </w:p>
        </w:tc>
        <w:tc>
          <w:tcPr>
            <w:tcW w:w="2115" w:type="dxa"/>
            <w:gridSpan w:val="2"/>
            <w:vAlign w:val="bottom"/>
          </w:tcPr>
          <w:p>
            <w:pPr>
              <w:widowControl/>
              <w:jc w:val="left"/>
              <w:rPr>
                <w:rFonts w:ascii="Arial" w:hAnsi="Arial" w:eastAsia="宋体" w:cs="宋体"/>
                <w:color w:val="000000"/>
                <w:kern w:val="0"/>
                <w:sz w:val="20"/>
              </w:rPr>
            </w:pPr>
          </w:p>
        </w:tc>
        <w:tc>
          <w:tcPr>
            <w:tcW w:w="1305" w:type="dxa"/>
            <w:tcBorders>
              <w:bottom w:val="single" w:color="auto" w:sz="4" w:space="0"/>
            </w:tcBorders>
            <w:vAlign w:val="bottom"/>
          </w:tcPr>
          <w:p>
            <w:pPr>
              <w:widowControl/>
              <w:jc w:val="left"/>
              <w:rPr>
                <w:rFonts w:ascii="Arial" w:hAnsi="Arial" w:eastAsia="宋体" w:cs="宋体"/>
                <w:color w:val="000000"/>
                <w:kern w:val="0"/>
                <w:sz w:val="20"/>
              </w:rPr>
            </w:pPr>
          </w:p>
        </w:tc>
        <w:tc>
          <w:tcPr>
            <w:tcW w:w="1365" w:type="dxa"/>
            <w:vAlign w:val="bottom"/>
          </w:tcPr>
          <w:p>
            <w:pPr>
              <w:widowControl/>
              <w:jc w:val="center"/>
              <w:rPr>
                <w:rFonts w:ascii="宋体" w:hAnsi="宋体" w:eastAsia="宋体" w:cs="宋体"/>
                <w:color w:val="000000"/>
                <w:kern w:val="0"/>
                <w:sz w:val="24"/>
                <w:szCs w:val="24"/>
              </w:rPr>
            </w:pPr>
          </w:p>
        </w:tc>
        <w:tc>
          <w:tcPr>
            <w:tcW w:w="1410" w:type="dxa"/>
            <w:vAlign w:val="bottom"/>
          </w:tcPr>
          <w:p>
            <w:pPr>
              <w:widowControl/>
              <w:jc w:val="left"/>
              <w:rPr>
                <w:rFonts w:ascii="Arial" w:hAnsi="Arial" w:eastAsia="宋体" w:cs="宋体"/>
                <w:color w:val="000000"/>
                <w:kern w:val="0"/>
                <w:sz w:val="20"/>
              </w:rPr>
            </w:pPr>
          </w:p>
        </w:tc>
        <w:tc>
          <w:tcPr>
            <w:tcW w:w="555" w:type="dxa"/>
            <w:vAlign w:val="bottom"/>
          </w:tcPr>
          <w:p>
            <w:pPr>
              <w:widowControl/>
              <w:jc w:val="left"/>
              <w:rPr>
                <w:rFonts w:ascii="Arial" w:hAnsi="Arial" w:eastAsia="宋体" w:cs="宋体"/>
                <w:color w:val="000000"/>
                <w:kern w:val="0"/>
                <w:sz w:val="20"/>
              </w:rPr>
            </w:pPr>
          </w:p>
        </w:tc>
        <w:tc>
          <w:tcPr>
            <w:tcW w:w="1620" w:type="dxa"/>
            <w:gridSpan w:val="2"/>
            <w:vAlign w:val="bottom"/>
          </w:tcPr>
          <w:p>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金额单位：万元</w:t>
            </w:r>
          </w:p>
        </w:tc>
      </w:tr>
      <w:tr>
        <w:tblPrEx>
          <w:tblCellMar>
            <w:top w:w="15" w:type="dxa"/>
            <w:left w:w="108" w:type="dxa"/>
            <w:bottom w:w="15" w:type="dxa"/>
            <w:right w:w="108" w:type="dxa"/>
          </w:tblCellMar>
        </w:tblPrEx>
        <w:trPr>
          <w:trHeight w:val="1391" w:hRule="atLeast"/>
        </w:trPr>
        <w:tc>
          <w:tcPr>
            <w:tcW w:w="3165" w:type="dxa"/>
            <w:gridSpan w:val="5"/>
            <w:tcBorders>
              <w:top w:val="single" w:color="000000" w:sz="12" w:space="0"/>
              <w:left w:val="single" w:color="000000" w:sz="12" w:space="0"/>
              <w:bottom w:val="single" w:color="000000"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30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本年支出合计</w:t>
            </w:r>
          </w:p>
        </w:tc>
        <w:tc>
          <w:tcPr>
            <w:tcW w:w="1365" w:type="dxa"/>
            <w:vMerge w:val="restart"/>
            <w:tcBorders>
              <w:top w:val="single" w:color="000000" w:sz="12" w:space="0"/>
              <w:left w:val="single" w:color="auto"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1410"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555"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上缴上级支出</w:t>
            </w:r>
          </w:p>
        </w:tc>
        <w:tc>
          <w:tcPr>
            <w:tcW w:w="668"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经营支出</w:t>
            </w:r>
          </w:p>
        </w:tc>
        <w:tc>
          <w:tcPr>
            <w:tcW w:w="952" w:type="dxa"/>
            <w:vMerge w:val="restart"/>
            <w:tcBorders>
              <w:top w:val="single" w:color="000000" w:sz="12" w:space="0"/>
              <w:bottom w:val="single" w:color="000000" w:sz="4" w:space="0"/>
              <w:right w:val="single" w:color="000000" w:sz="12"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对附属单位补助支出</w:t>
            </w:r>
          </w:p>
        </w:tc>
      </w:tr>
      <w:tr>
        <w:tblPrEx>
          <w:tblCellMar>
            <w:top w:w="15" w:type="dxa"/>
            <w:left w:w="108" w:type="dxa"/>
            <w:bottom w:w="15" w:type="dxa"/>
            <w:right w:w="108" w:type="dxa"/>
          </w:tblCellMar>
        </w:tblPrEx>
        <w:trPr>
          <w:trHeight w:val="806" w:hRule="atLeast"/>
        </w:trPr>
        <w:tc>
          <w:tcPr>
            <w:tcW w:w="2105" w:type="dxa"/>
            <w:gridSpan w:val="4"/>
            <w:tcBorders>
              <w:top w:val="single" w:color="000000" w:sz="4" w:space="0"/>
              <w:left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支出功能分类科目编码</w:t>
            </w:r>
          </w:p>
        </w:tc>
        <w:tc>
          <w:tcPr>
            <w:tcW w:w="1060" w:type="dxa"/>
            <w:tcBorders>
              <w:top w:val="single" w:color="000000" w:sz="4" w:space="0"/>
              <w:bottom w:val="single" w:color="000000"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305" w:type="dxa"/>
            <w:vMerge w:val="continue"/>
            <w:tcBorders>
              <w:top w:val="single" w:color="000000" w:sz="12"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365" w:type="dxa"/>
            <w:vMerge w:val="continue"/>
            <w:tcBorders>
              <w:top w:val="single" w:color="000000" w:sz="12"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410"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55"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668"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52" w:type="dxa"/>
            <w:vMerge w:val="continue"/>
            <w:tcBorders>
              <w:top w:val="single" w:color="000000" w:sz="12" w:space="0"/>
              <w:bottom w:val="single" w:color="000000" w:sz="4" w:space="0"/>
              <w:right w:val="single" w:color="000000" w:sz="12" w:space="0"/>
            </w:tcBorders>
            <w:vAlign w:val="center"/>
          </w:tcPr>
          <w:p>
            <w:pPr>
              <w:widowControl/>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360"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类</w:t>
            </w:r>
          </w:p>
        </w:tc>
        <w:tc>
          <w:tcPr>
            <w:tcW w:w="315"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款</w:t>
            </w:r>
          </w:p>
        </w:tc>
        <w:tc>
          <w:tcPr>
            <w:tcW w:w="375"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2115" w:type="dxa"/>
            <w:gridSpan w:val="2"/>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305" w:type="dxa"/>
            <w:tcBorders>
              <w:top w:val="single" w:color="auto"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b/>
                <w:color w:val="000000"/>
                <w:kern w:val="0"/>
                <w:sz w:val="22"/>
                <w:szCs w:val="22"/>
              </w:rPr>
              <w:t>89.99</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b/>
                <w:color w:val="000000"/>
                <w:kern w:val="0"/>
                <w:sz w:val="22"/>
                <w:szCs w:val="22"/>
              </w:rPr>
              <w:t>18.08</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b/>
                <w:color w:val="000000"/>
                <w:kern w:val="0"/>
                <w:sz w:val="22"/>
                <w:szCs w:val="22"/>
              </w:rPr>
              <w:t>71.91</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一般公共服务支出</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85.56</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13.65</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71.91</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20108</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审计事务</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85.56</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13.65</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71.91</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2010801</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行政运行</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10.31</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10.31</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2010802</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一般行政管理事务</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3.34</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3.34</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2010804</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审计业务</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71.91</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71.91</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医疗卫生与计划生育支出</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21011</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行政事业单位医疗</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2101101</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行政单位医疗</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212</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城乡社区支出</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21201</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城乡社区管理事务</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2120199</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其他城乡社区管理事务支出</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住房保障支出</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3.09</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3.09</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22101</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保障性安居工程支出</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2210199</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其他保障性安居工程支出</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22102</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住房改革支出</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05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2210201</w:t>
            </w:r>
          </w:p>
        </w:tc>
        <w:tc>
          <w:tcPr>
            <w:tcW w:w="2115" w:type="dxa"/>
            <w:gridSpan w:val="2"/>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住房公积金</w:t>
            </w:r>
          </w:p>
        </w:tc>
        <w:tc>
          <w:tcPr>
            <w:tcW w:w="130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13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14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55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6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bl>
    <w:p>
      <w:pPr>
        <w:ind w:firstLine="628" w:firstLineChars="200"/>
        <w:rPr>
          <w:rFonts w:ascii="黑体" w:hAnsi="黑体" w:eastAsia="黑体"/>
          <w:szCs w:val="32"/>
        </w:rPr>
      </w:pPr>
    </w:p>
    <w:p>
      <w:pPr>
        <w:ind w:firstLine="628" w:firstLineChars="200"/>
        <w:rPr>
          <w:rFonts w:ascii="黑体" w:hAnsi="黑体" w:eastAsia="黑体"/>
          <w:szCs w:val="32"/>
        </w:rPr>
      </w:pPr>
    </w:p>
    <w:p>
      <w:pPr>
        <w:ind w:firstLine="628" w:firstLineChars="200"/>
        <w:jc w:val="center"/>
        <w:rPr>
          <w:rFonts w:ascii="黑体" w:hAnsi="黑体" w:eastAsia="黑体"/>
          <w:szCs w:val="32"/>
        </w:rPr>
      </w:pPr>
      <w:r>
        <w:rPr>
          <w:rFonts w:hint="eastAsia" w:ascii="黑体" w:hAnsi="黑体" w:eastAsia="黑体"/>
          <w:szCs w:val="32"/>
        </w:rPr>
        <w:t>四、财政拨款收入支出决算总表</w:t>
      </w:r>
    </w:p>
    <w:tbl>
      <w:tblPr>
        <w:tblStyle w:val="7"/>
        <w:tblW w:w="8936" w:type="dxa"/>
        <w:tblInd w:w="0" w:type="dxa"/>
        <w:tblLayout w:type="fixed"/>
        <w:tblCellMar>
          <w:top w:w="15" w:type="dxa"/>
          <w:left w:w="15" w:type="dxa"/>
          <w:bottom w:w="15" w:type="dxa"/>
          <w:right w:w="15" w:type="dxa"/>
        </w:tblCellMar>
      </w:tblPr>
      <w:tblGrid>
        <w:gridCol w:w="1606"/>
        <w:gridCol w:w="428"/>
        <w:gridCol w:w="1549"/>
        <w:gridCol w:w="1716"/>
        <w:gridCol w:w="439"/>
        <w:gridCol w:w="790"/>
        <w:gridCol w:w="703"/>
        <w:gridCol w:w="1705"/>
      </w:tblGrid>
      <w:tr>
        <w:tblPrEx>
          <w:tblCellMar>
            <w:top w:w="15" w:type="dxa"/>
            <w:left w:w="15" w:type="dxa"/>
            <w:bottom w:w="15" w:type="dxa"/>
            <w:right w:w="15" w:type="dxa"/>
          </w:tblCellMar>
        </w:tblPrEx>
        <w:trPr>
          <w:trHeight w:val="285" w:hRule="atLeast"/>
        </w:trPr>
        <w:tc>
          <w:tcPr>
            <w:tcW w:w="1606" w:type="dxa"/>
            <w:vAlign w:val="bottom"/>
          </w:tcPr>
          <w:p>
            <w:pPr>
              <w:rPr>
                <w:rFonts w:ascii="Arial" w:hAnsi="Arial" w:cs="Arial"/>
                <w:color w:val="000000"/>
                <w:sz w:val="20"/>
              </w:rPr>
            </w:pPr>
          </w:p>
        </w:tc>
        <w:tc>
          <w:tcPr>
            <w:tcW w:w="428" w:type="dxa"/>
            <w:vAlign w:val="bottom"/>
          </w:tcPr>
          <w:p>
            <w:pPr>
              <w:rPr>
                <w:rFonts w:ascii="Arial" w:hAnsi="Arial" w:cs="Arial"/>
                <w:color w:val="000000"/>
                <w:sz w:val="20"/>
              </w:rPr>
            </w:pPr>
          </w:p>
        </w:tc>
        <w:tc>
          <w:tcPr>
            <w:tcW w:w="1549" w:type="dxa"/>
            <w:vAlign w:val="bottom"/>
          </w:tcPr>
          <w:p>
            <w:pPr>
              <w:rPr>
                <w:rFonts w:ascii="Arial" w:hAnsi="Arial" w:cs="Arial"/>
                <w:color w:val="000000"/>
                <w:sz w:val="20"/>
              </w:rPr>
            </w:pPr>
          </w:p>
        </w:tc>
        <w:tc>
          <w:tcPr>
            <w:tcW w:w="1716" w:type="dxa"/>
            <w:vAlign w:val="bottom"/>
          </w:tcPr>
          <w:p>
            <w:pPr>
              <w:rPr>
                <w:rFonts w:ascii="Arial" w:hAnsi="Arial" w:cs="Arial"/>
                <w:color w:val="000000"/>
                <w:sz w:val="20"/>
              </w:rPr>
            </w:pPr>
          </w:p>
        </w:tc>
        <w:tc>
          <w:tcPr>
            <w:tcW w:w="439" w:type="dxa"/>
            <w:vAlign w:val="bottom"/>
          </w:tcPr>
          <w:p>
            <w:pPr>
              <w:rPr>
                <w:rFonts w:ascii="Arial" w:hAnsi="Arial" w:cs="Arial"/>
                <w:color w:val="000000"/>
                <w:sz w:val="20"/>
              </w:rPr>
            </w:pPr>
          </w:p>
        </w:tc>
        <w:tc>
          <w:tcPr>
            <w:tcW w:w="790" w:type="dxa"/>
            <w:vAlign w:val="bottom"/>
          </w:tcPr>
          <w:p>
            <w:pPr>
              <w:rPr>
                <w:rFonts w:ascii="Arial" w:hAnsi="Arial" w:cs="Arial"/>
                <w:color w:val="000000"/>
                <w:sz w:val="20"/>
              </w:rPr>
            </w:pPr>
          </w:p>
        </w:tc>
        <w:tc>
          <w:tcPr>
            <w:tcW w:w="703" w:type="dxa"/>
            <w:vAlign w:val="bottom"/>
          </w:tcPr>
          <w:p>
            <w:pPr>
              <w:rPr>
                <w:rFonts w:ascii="Arial" w:hAnsi="Arial" w:cs="Arial"/>
                <w:color w:val="000000"/>
                <w:sz w:val="20"/>
              </w:rPr>
            </w:pPr>
          </w:p>
        </w:tc>
        <w:tc>
          <w:tcPr>
            <w:tcW w:w="1705" w:type="dxa"/>
            <w:vAlign w:val="bottom"/>
          </w:tcPr>
          <w:p>
            <w:pPr>
              <w:widowControl/>
              <w:jc w:val="right"/>
              <w:textAlignment w:val="bottom"/>
              <w:rPr>
                <w:rFonts w:ascii="宋体" w:hAnsi="宋体" w:eastAsia="宋体" w:cs="宋体"/>
                <w:color w:val="000000"/>
                <w:sz w:val="20"/>
              </w:rPr>
            </w:pPr>
            <w:r>
              <w:rPr>
                <w:rFonts w:hint="eastAsia" w:ascii="宋体" w:hAnsi="宋体" w:eastAsia="宋体" w:cs="宋体"/>
                <w:color w:val="000000"/>
                <w:kern w:val="0"/>
                <w:sz w:val="20"/>
              </w:rPr>
              <w:t>公开04表</w:t>
            </w:r>
          </w:p>
        </w:tc>
      </w:tr>
      <w:tr>
        <w:tblPrEx>
          <w:tblCellMar>
            <w:top w:w="15" w:type="dxa"/>
            <w:left w:w="15" w:type="dxa"/>
            <w:bottom w:w="15" w:type="dxa"/>
            <w:right w:w="15" w:type="dxa"/>
          </w:tblCellMar>
        </w:tblPrEx>
        <w:trPr>
          <w:trHeight w:val="285" w:hRule="atLeast"/>
        </w:trPr>
        <w:tc>
          <w:tcPr>
            <w:tcW w:w="1606" w:type="dxa"/>
            <w:vAlign w:val="bottom"/>
          </w:tcPr>
          <w:p>
            <w:pPr>
              <w:widowControl/>
              <w:jc w:val="left"/>
              <w:textAlignment w:val="bottom"/>
              <w:rPr>
                <w:rFonts w:ascii="宋体" w:hAnsi="宋体" w:eastAsia="宋体" w:cs="宋体"/>
                <w:color w:val="000000"/>
                <w:sz w:val="20"/>
              </w:rPr>
            </w:pPr>
            <w:r>
              <w:rPr>
                <w:rFonts w:hint="eastAsia" w:ascii="宋体" w:hAnsi="宋体" w:eastAsia="宋体" w:cs="宋体"/>
                <w:color w:val="000000"/>
                <w:kern w:val="0"/>
                <w:sz w:val="20"/>
              </w:rPr>
              <w:t>部门：</w:t>
            </w:r>
          </w:p>
        </w:tc>
        <w:tc>
          <w:tcPr>
            <w:tcW w:w="428" w:type="dxa"/>
            <w:vAlign w:val="bottom"/>
          </w:tcPr>
          <w:p>
            <w:pPr>
              <w:rPr>
                <w:rFonts w:ascii="Arial" w:hAnsi="Arial" w:cs="Arial"/>
                <w:color w:val="000000"/>
                <w:sz w:val="20"/>
              </w:rPr>
            </w:pPr>
          </w:p>
        </w:tc>
        <w:tc>
          <w:tcPr>
            <w:tcW w:w="1549" w:type="dxa"/>
            <w:vAlign w:val="bottom"/>
          </w:tcPr>
          <w:p>
            <w:pPr>
              <w:rPr>
                <w:rFonts w:ascii="Arial" w:hAnsi="Arial" w:cs="Arial"/>
                <w:color w:val="000000"/>
                <w:sz w:val="20"/>
              </w:rPr>
            </w:pPr>
          </w:p>
        </w:tc>
        <w:tc>
          <w:tcPr>
            <w:tcW w:w="1716" w:type="dxa"/>
            <w:vAlign w:val="bottom"/>
          </w:tcPr>
          <w:p>
            <w:pPr>
              <w:rPr>
                <w:rFonts w:ascii="Arial" w:hAnsi="Arial" w:cs="Arial"/>
                <w:color w:val="000000"/>
                <w:sz w:val="20"/>
              </w:rPr>
            </w:pPr>
          </w:p>
        </w:tc>
        <w:tc>
          <w:tcPr>
            <w:tcW w:w="439" w:type="dxa"/>
            <w:vAlign w:val="bottom"/>
          </w:tcPr>
          <w:p>
            <w:pPr>
              <w:rPr>
                <w:rFonts w:ascii="Arial" w:hAnsi="Arial" w:cs="Arial"/>
                <w:color w:val="000000"/>
                <w:sz w:val="20"/>
              </w:rPr>
            </w:pPr>
          </w:p>
        </w:tc>
        <w:tc>
          <w:tcPr>
            <w:tcW w:w="790" w:type="dxa"/>
            <w:vAlign w:val="bottom"/>
          </w:tcPr>
          <w:p>
            <w:pPr>
              <w:rPr>
                <w:rFonts w:ascii="Arial" w:hAnsi="Arial" w:cs="Arial"/>
                <w:color w:val="000000"/>
                <w:sz w:val="20"/>
              </w:rPr>
            </w:pPr>
          </w:p>
        </w:tc>
        <w:tc>
          <w:tcPr>
            <w:tcW w:w="703" w:type="dxa"/>
            <w:vAlign w:val="bottom"/>
          </w:tcPr>
          <w:p>
            <w:pPr>
              <w:rPr>
                <w:rFonts w:ascii="Arial" w:hAnsi="Arial" w:cs="Arial"/>
                <w:color w:val="000000"/>
                <w:sz w:val="20"/>
              </w:rPr>
            </w:pPr>
          </w:p>
        </w:tc>
        <w:tc>
          <w:tcPr>
            <w:tcW w:w="1705" w:type="dxa"/>
            <w:vAlign w:val="bottom"/>
          </w:tcPr>
          <w:p>
            <w:pPr>
              <w:widowControl/>
              <w:jc w:val="right"/>
              <w:textAlignment w:val="bottom"/>
              <w:rPr>
                <w:rFonts w:ascii="宋体" w:hAnsi="宋体" w:eastAsia="宋体" w:cs="宋体"/>
                <w:color w:val="000000"/>
                <w:sz w:val="20"/>
              </w:rPr>
            </w:pPr>
            <w:r>
              <w:rPr>
                <w:rFonts w:hint="eastAsia" w:ascii="宋体" w:hAnsi="宋体" w:eastAsia="宋体" w:cs="宋体"/>
                <w:color w:val="000000"/>
                <w:kern w:val="0"/>
                <w:sz w:val="20"/>
              </w:rPr>
              <w:t>金额单位：万元</w:t>
            </w:r>
          </w:p>
        </w:tc>
      </w:tr>
      <w:tr>
        <w:tblPrEx>
          <w:tblCellMar>
            <w:top w:w="15" w:type="dxa"/>
            <w:left w:w="15" w:type="dxa"/>
            <w:bottom w:w="15" w:type="dxa"/>
            <w:right w:w="15" w:type="dxa"/>
          </w:tblCellMar>
        </w:tblPrEx>
        <w:trPr>
          <w:trHeight w:val="300" w:hRule="atLeast"/>
        </w:trPr>
        <w:tc>
          <w:tcPr>
            <w:tcW w:w="358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     入</w:t>
            </w:r>
          </w:p>
        </w:tc>
        <w:tc>
          <w:tcPr>
            <w:tcW w:w="5353" w:type="dxa"/>
            <w:gridSpan w:val="5"/>
            <w:tcBorders>
              <w:top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     出</w:t>
            </w:r>
          </w:p>
        </w:tc>
      </w:tr>
      <w:tr>
        <w:tblPrEx>
          <w:tblCellMar>
            <w:top w:w="15" w:type="dxa"/>
            <w:left w:w="15" w:type="dxa"/>
            <w:bottom w:w="15" w:type="dxa"/>
            <w:right w:w="15" w:type="dxa"/>
          </w:tblCellMar>
        </w:tblPrEx>
        <w:trPr>
          <w:trHeight w:val="285" w:hRule="atLeast"/>
        </w:trPr>
        <w:tc>
          <w:tcPr>
            <w:tcW w:w="1606"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428"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1549"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1716"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439"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790"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703"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一般公共预算财政拨款</w:t>
            </w:r>
          </w:p>
        </w:tc>
        <w:tc>
          <w:tcPr>
            <w:tcW w:w="1705" w:type="dxa"/>
            <w:vMerge w:val="restart"/>
            <w:tcBorders>
              <w:bottom w:val="single" w:color="000000" w:sz="4" w:space="0"/>
              <w:right w:val="single" w:color="000000" w:sz="12"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政府性基金预算财政拨款</w:t>
            </w:r>
          </w:p>
        </w:tc>
      </w:tr>
      <w:tr>
        <w:tblPrEx>
          <w:tblCellMar>
            <w:top w:w="15" w:type="dxa"/>
            <w:left w:w="15" w:type="dxa"/>
            <w:bottom w:w="15" w:type="dxa"/>
            <w:right w:w="15" w:type="dxa"/>
          </w:tblCellMar>
        </w:tblPrEx>
        <w:trPr>
          <w:trHeight w:val="615" w:hRule="atLeast"/>
        </w:trPr>
        <w:tc>
          <w:tcPr>
            <w:tcW w:w="1606"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42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549"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716"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439"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90"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03"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705" w:type="dxa"/>
            <w:vMerge w:val="continue"/>
            <w:tcBorders>
              <w:bottom w:val="single" w:color="000000" w:sz="4" w:space="0"/>
              <w:right w:val="single" w:color="000000" w:sz="12" w:space="0"/>
            </w:tcBorders>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428" w:type="dxa"/>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54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716"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439" w:type="dxa"/>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90"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70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705" w:type="dxa"/>
            <w:tcBorders>
              <w:bottom w:val="single" w:color="000000" w:sz="4" w:space="0"/>
              <w:right w:val="single" w:color="000000" w:sz="12"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r>
      <w:tr>
        <w:tblPrEx>
          <w:tblCellMar>
            <w:top w:w="15" w:type="dxa"/>
            <w:left w:w="15" w:type="dxa"/>
            <w:bottom w:w="15" w:type="dxa"/>
            <w:right w:w="15" w:type="dxa"/>
          </w:tblCellMar>
        </w:tblPrEx>
        <w:trPr>
          <w:trHeight w:val="555" w:hRule="atLeast"/>
        </w:trPr>
        <w:tc>
          <w:tcPr>
            <w:tcW w:w="160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一、一般公共预算财政拨款</w:t>
            </w: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89.99</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一、一般公共服务支出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85.56</w:t>
            </w: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85.56</w:t>
            </w: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600" w:hRule="atLeast"/>
        </w:trPr>
        <w:tc>
          <w:tcPr>
            <w:tcW w:w="160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二、政府性基金预算财政拨款</w:t>
            </w: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二、外交支出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三、国防支出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34</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四、公共安全支出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五、教育支出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六、科学技术支出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七、文化体育与传媒支出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八、社会保障和就业支出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九、医疗卫生与计划生育支出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0.48</w:t>
            </w: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0.48</w:t>
            </w: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十、节能环保支出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十一、城乡社区支出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0.86</w:t>
            </w: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0.86</w:t>
            </w: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十二、农林水支出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十三、交通运输支出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十四、资源勘探信息等支出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十五、商业服务业等支出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46</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十六、金融支出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47</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十七、援助其他地区支出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十八、国土海洋气象等支出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49</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十九、住房保障支出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3.09</w:t>
            </w: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3.09</w:t>
            </w: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二十、粮油物资储备支出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二十一、其他支出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二十二、债务还本支出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53</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二十三、债务付息支出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本年收入合计</w:t>
            </w: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89.99</w:t>
            </w:r>
          </w:p>
        </w:tc>
        <w:tc>
          <w:tcPr>
            <w:tcW w:w="1716" w:type="dxa"/>
            <w:tcBorders>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本年支出合计</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55</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89.99</w:t>
            </w: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600" w:hRule="atLeast"/>
        </w:trPr>
        <w:tc>
          <w:tcPr>
            <w:tcW w:w="160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年初财政拨款结转和结余</w:t>
            </w: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年末财政拨款结转和结余</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780" w:hRule="atLeast"/>
        </w:trPr>
        <w:tc>
          <w:tcPr>
            <w:tcW w:w="160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一、一般公共预算财政拨款</w:t>
            </w: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57</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600" w:hRule="atLeast"/>
        </w:trPr>
        <w:tc>
          <w:tcPr>
            <w:tcW w:w="160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二、政府性基金预算财政拨款</w:t>
            </w: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58</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428" w:type="dxa"/>
            <w:tcBorders>
              <w:bottom w:val="single" w:color="000000" w:sz="12"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1549" w:type="dxa"/>
            <w:tcBorders>
              <w:bottom w:val="single" w:color="000000" w:sz="12"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89.99</w:t>
            </w:r>
          </w:p>
        </w:tc>
        <w:tc>
          <w:tcPr>
            <w:tcW w:w="1716" w:type="dxa"/>
            <w:tcBorders>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439" w:type="dxa"/>
            <w:tcBorders>
              <w:bottom w:val="single" w:color="000000" w:sz="12"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w:t>
            </w:r>
          </w:p>
        </w:tc>
        <w:tc>
          <w:tcPr>
            <w:tcW w:w="790" w:type="dxa"/>
            <w:tcBorders>
              <w:bottom w:val="single" w:color="000000" w:sz="12" w:space="0"/>
              <w:right w:val="single" w:color="000000" w:sz="4" w:space="0"/>
            </w:tcBorders>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89.99</w:t>
            </w:r>
          </w:p>
        </w:tc>
        <w:tc>
          <w:tcPr>
            <w:tcW w:w="703" w:type="dxa"/>
            <w:tcBorders>
              <w:bottom w:val="single" w:color="000000" w:sz="12"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12" w:space="0"/>
              <w:right w:val="single" w:color="000000" w:sz="12" w:space="0"/>
            </w:tcBorders>
            <w:vAlign w:val="center"/>
          </w:tcPr>
          <w:p>
            <w:pPr>
              <w:jc w:val="right"/>
              <w:rPr>
                <w:rFonts w:ascii="宋体" w:hAnsi="宋体" w:eastAsia="宋体" w:cs="宋体"/>
                <w:color w:val="000000"/>
                <w:sz w:val="22"/>
                <w:szCs w:val="22"/>
              </w:rPr>
            </w:pPr>
          </w:p>
        </w:tc>
      </w:tr>
    </w:tbl>
    <w:p>
      <w:pPr>
        <w:ind w:firstLine="628" w:firstLineChars="200"/>
        <w:rPr>
          <w:rFonts w:ascii="黑体" w:hAnsi="黑体" w:eastAsia="黑体"/>
          <w:szCs w:val="32"/>
        </w:rPr>
      </w:pPr>
    </w:p>
    <w:p>
      <w:pPr>
        <w:ind w:firstLine="628" w:firstLineChars="200"/>
        <w:jc w:val="center"/>
        <w:rPr>
          <w:rFonts w:ascii="黑体" w:hAnsi="黑体" w:eastAsia="黑体"/>
          <w:szCs w:val="32"/>
        </w:rPr>
      </w:pPr>
      <w:r>
        <w:rPr>
          <w:rFonts w:hint="eastAsia" w:ascii="黑体" w:hAnsi="黑体" w:eastAsia="黑体"/>
          <w:szCs w:val="32"/>
        </w:rPr>
        <w:t>五、一般公共预算财政拨款收入支出决算表</w:t>
      </w:r>
    </w:p>
    <w:tbl>
      <w:tblPr>
        <w:tblStyle w:val="7"/>
        <w:tblW w:w="9557" w:type="dxa"/>
        <w:tblInd w:w="93" w:type="dxa"/>
        <w:tblLayout w:type="fixed"/>
        <w:tblCellMar>
          <w:top w:w="15" w:type="dxa"/>
          <w:left w:w="108" w:type="dxa"/>
          <w:bottom w:w="15" w:type="dxa"/>
          <w:right w:w="108" w:type="dxa"/>
        </w:tblCellMar>
      </w:tblPr>
      <w:tblGrid>
        <w:gridCol w:w="605"/>
        <w:gridCol w:w="415"/>
        <w:gridCol w:w="240"/>
        <w:gridCol w:w="975"/>
        <w:gridCol w:w="330"/>
        <w:gridCol w:w="390"/>
        <w:gridCol w:w="315"/>
        <w:gridCol w:w="825"/>
        <w:gridCol w:w="765"/>
        <w:gridCol w:w="825"/>
        <w:gridCol w:w="810"/>
        <w:gridCol w:w="795"/>
        <w:gridCol w:w="780"/>
        <w:gridCol w:w="345"/>
        <w:gridCol w:w="345"/>
        <w:gridCol w:w="390"/>
        <w:gridCol w:w="407"/>
      </w:tblGrid>
      <w:tr>
        <w:tblPrEx>
          <w:tblCellMar>
            <w:top w:w="15" w:type="dxa"/>
            <w:left w:w="108" w:type="dxa"/>
            <w:bottom w:w="15" w:type="dxa"/>
            <w:right w:w="108" w:type="dxa"/>
          </w:tblCellMar>
        </w:tblPrEx>
        <w:trPr>
          <w:trHeight w:val="360" w:hRule="atLeast"/>
        </w:trPr>
        <w:tc>
          <w:tcPr>
            <w:tcW w:w="605" w:type="dxa"/>
            <w:vAlign w:val="bottom"/>
          </w:tcPr>
          <w:p>
            <w:pPr>
              <w:widowControl/>
              <w:jc w:val="left"/>
              <w:rPr>
                <w:rFonts w:ascii="Arial" w:hAnsi="Arial" w:eastAsia="宋体" w:cs="宋体"/>
                <w:color w:val="000000"/>
                <w:kern w:val="0"/>
                <w:sz w:val="20"/>
              </w:rPr>
            </w:pPr>
          </w:p>
        </w:tc>
        <w:tc>
          <w:tcPr>
            <w:tcW w:w="415" w:type="dxa"/>
            <w:vAlign w:val="bottom"/>
          </w:tcPr>
          <w:p>
            <w:pPr>
              <w:widowControl/>
              <w:jc w:val="left"/>
              <w:rPr>
                <w:rFonts w:ascii="Arial" w:hAnsi="Arial" w:eastAsia="宋体" w:cs="宋体"/>
                <w:color w:val="000000"/>
                <w:kern w:val="0"/>
                <w:sz w:val="20"/>
              </w:rPr>
            </w:pPr>
          </w:p>
        </w:tc>
        <w:tc>
          <w:tcPr>
            <w:tcW w:w="240" w:type="dxa"/>
            <w:vAlign w:val="bottom"/>
          </w:tcPr>
          <w:p>
            <w:pPr>
              <w:widowControl/>
              <w:jc w:val="left"/>
              <w:rPr>
                <w:rFonts w:ascii="Arial" w:hAnsi="Arial" w:eastAsia="宋体" w:cs="宋体"/>
                <w:color w:val="000000"/>
                <w:kern w:val="0"/>
                <w:sz w:val="20"/>
              </w:rPr>
            </w:pPr>
          </w:p>
        </w:tc>
        <w:tc>
          <w:tcPr>
            <w:tcW w:w="975" w:type="dxa"/>
            <w:vAlign w:val="bottom"/>
          </w:tcPr>
          <w:p>
            <w:pPr>
              <w:widowControl/>
              <w:jc w:val="left"/>
              <w:rPr>
                <w:rFonts w:ascii="Arial" w:hAnsi="Arial" w:eastAsia="宋体" w:cs="宋体"/>
                <w:color w:val="000000"/>
                <w:kern w:val="0"/>
                <w:sz w:val="20"/>
              </w:rPr>
            </w:pPr>
          </w:p>
        </w:tc>
        <w:tc>
          <w:tcPr>
            <w:tcW w:w="330" w:type="dxa"/>
            <w:vAlign w:val="bottom"/>
          </w:tcPr>
          <w:p>
            <w:pPr>
              <w:widowControl/>
              <w:jc w:val="left"/>
              <w:rPr>
                <w:rFonts w:ascii="Arial" w:hAnsi="Arial" w:eastAsia="宋体" w:cs="宋体"/>
                <w:color w:val="000000"/>
                <w:kern w:val="0"/>
                <w:sz w:val="20"/>
              </w:rPr>
            </w:pPr>
          </w:p>
        </w:tc>
        <w:tc>
          <w:tcPr>
            <w:tcW w:w="390" w:type="dxa"/>
            <w:vAlign w:val="bottom"/>
          </w:tcPr>
          <w:p>
            <w:pPr>
              <w:widowControl/>
              <w:jc w:val="left"/>
              <w:rPr>
                <w:rFonts w:ascii="Arial" w:hAnsi="Arial" w:eastAsia="宋体" w:cs="宋体"/>
                <w:color w:val="000000"/>
                <w:kern w:val="0"/>
                <w:sz w:val="20"/>
              </w:rPr>
            </w:pPr>
          </w:p>
        </w:tc>
        <w:tc>
          <w:tcPr>
            <w:tcW w:w="315" w:type="dxa"/>
            <w:vAlign w:val="bottom"/>
          </w:tcPr>
          <w:p>
            <w:pPr>
              <w:widowControl/>
              <w:jc w:val="left"/>
              <w:rPr>
                <w:rFonts w:ascii="Arial" w:hAnsi="Arial" w:eastAsia="宋体" w:cs="宋体"/>
                <w:color w:val="000000"/>
                <w:kern w:val="0"/>
                <w:sz w:val="20"/>
              </w:rPr>
            </w:pPr>
          </w:p>
        </w:tc>
        <w:tc>
          <w:tcPr>
            <w:tcW w:w="825" w:type="dxa"/>
            <w:vAlign w:val="bottom"/>
          </w:tcPr>
          <w:p>
            <w:pPr>
              <w:widowControl/>
              <w:jc w:val="left"/>
              <w:rPr>
                <w:rFonts w:ascii="Arial" w:hAnsi="Arial" w:eastAsia="宋体" w:cs="宋体"/>
                <w:color w:val="000000"/>
                <w:kern w:val="0"/>
                <w:sz w:val="20"/>
              </w:rPr>
            </w:pPr>
          </w:p>
        </w:tc>
        <w:tc>
          <w:tcPr>
            <w:tcW w:w="765" w:type="dxa"/>
            <w:vAlign w:val="bottom"/>
          </w:tcPr>
          <w:p>
            <w:pPr>
              <w:widowControl/>
              <w:jc w:val="left"/>
              <w:rPr>
                <w:rFonts w:ascii="Arial" w:hAnsi="Arial" w:eastAsia="宋体" w:cs="宋体"/>
                <w:color w:val="000000"/>
                <w:kern w:val="0"/>
                <w:sz w:val="20"/>
              </w:rPr>
            </w:pPr>
          </w:p>
        </w:tc>
        <w:tc>
          <w:tcPr>
            <w:tcW w:w="825" w:type="dxa"/>
            <w:vAlign w:val="bottom"/>
          </w:tcPr>
          <w:p>
            <w:pPr>
              <w:widowControl/>
              <w:jc w:val="left"/>
              <w:rPr>
                <w:rFonts w:ascii="Arial" w:hAnsi="Arial" w:eastAsia="宋体" w:cs="宋体"/>
                <w:color w:val="000000"/>
                <w:kern w:val="0"/>
                <w:sz w:val="20"/>
              </w:rPr>
            </w:pPr>
          </w:p>
        </w:tc>
        <w:tc>
          <w:tcPr>
            <w:tcW w:w="810" w:type="dxa"/>
            <w:vAlign w:val="bottom"/>
          </w:tcPr>
          <w:p>
            <w:pPr>
              <w:widowControl/>
              <w:jc w:val="left"/>
              <w:rPr>
                <w:rFonts w:ascii="Arial" w:hAnsi="Arial" w:eastAsia="宋体" w:cs="宋体"/>
                <w:color w:val="000000"/>
                <w:kern w:val="0"/>
                <w:sz w:val="20"/>
              </w:rPr>
            </w:pPr>
          </w:p>
        </w:tc>
        <w:tc>
          <w:tcPr>
            <w:tcW w:w="795" w:type="dxa"/>
            <w:vAlign w:val="bottom"/>
          </w:tcPr>
          <w:p>
            <w:pPr>
              <w:widowControl/>
              <w:jc w:val="left"/>
              <w:rPr>
                <w:rFonts w:ascii="Arial" w:hAnsi="Arial" w:eastAsia="宋体" w:cs="宋体"/>
                <w:color w:val="000000"/>
                <w:kern w:val="0"/>
                <w:sz w:val="20"/>
              </w:rPr>
            </w:pPr>
          </w:p>
        </w:tc>
        <w:tc>
          <w:tcPr>
            <w:tcW w:w="780" w:type="dxa"/>
            <w:vAlign w:val="bottom"/>
          </w:tcPr>
          <w:p>
            <w:pPr>
              <w:widowControl/>
              <w:jc w:val="left"/>
              <w:rPr>
                <w:rFonts w:ascii="Arial" w:hAnsi="Arial" w:eastAsia="宋体" w:cs="宋体"/>
                <w:color w:val="000000"/>
                <w:kern w:val="0"/>
                <w:sz w:val="20"/>
              </w:rPr>
            </w:pPr>
          </w:p>
        </w:tc>
        <w:tc>
          <w:tcPr>
            <w:tcW w:w="345" w:type="dxa"/>
            <w:vAlign w:val="bottom"/>
          </w:tcPr>
          <w:p>
            <w:pPr>
              <w:widowControl/>
              <w:jc w:val="left"/>
              <w:rPr>
                <w:rFonts w:ascii="Arial" w:hAnsi="Arial" w:eastAsia="宋体" w:cs="宋体"/>
                <w:color w:val="000000"/>
                <w:kern w:val="0"/>
                <w:sz w:val="20"/>
              </w:rPr>
            </w:pPr>
          </w:p>
        </w:tc>
        <w:tc>
          <w:tcPr>
            <w:tcW w:w="1142" w:type="dxa"/>
            <w:gridSpan w:val="3"/>
            <w:vAlign w:val="bottom"/>
          </w:tcPr>
          <w:p>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公开05表</w:t>
            </w:r>
          </w:p>
        </w:tc>
      </w:tr>
      <w:tr>
        <w:tblPrEx>
          <w:tblCellMar>
            <w:top w:w="15" w:type="dxa"/>
            <w:left w:w="108" w:type="dxa"/>
            <w:bottom w:w="15" w:type="dxa"/>
            <w:right w:w="108" w:type="dxa"/>
          </w:tblCellMar>
        </w:tblPrEx>
        <w:trPr>
          <w:trHeight w:val="450" w:hRule="atLeast"/>
        </w:trPr>
        <w:tc>
          <w:tcPr>
            <w:tcW w:w="1020" w:type="dxa"/>
            <w:gridSpan w:val="2"/>
            <w:vAlign w:val="center"/>
          </w:tcPr>
          <w:p>
            <w:pPr>
              <w:widowControl/>
              <w:jc w:val="left"/>
              <w:rPr>
                <w:rFonts w:ascii="Arial" w:hAnsi="Arial" w:eastAsia="宋体" w:cs="宋体"/>
                <w:color w:val="000000"/>
                <w:kern w:val="0"/>
                <w:sz w:val="20"/>
              </w:rPr>
            </w:pPr>
            <w:r>
              <w:rPr>
                <w:rFonts w:hint="eastAsia" w:ascii="宋体" w:hAnsi="宋体" w:eastAsia="宋体" w:cs="宋体"/>
                <w:kern w:val="0"/>
                <w:sz w:val="20"/>
              </w:rPr>
              <w:t>部门：</w:t>
            </w:r>
          </w:p>
        </w:tc>
        <w:tc>
          <w:tcPr>
            <w:tcW w:w="240" w:type="dxa"/>
            <w:vAlign w:val="center"/>
          </w:tcPr>
          <w:p>
            <w:pPr>
              <w:widowControl/>
              <w:jc w:val="left"/>
              <w:rPr>
                <w:rFonts w:ascii="Arial" w:hAnsi="Arial" w:eastAsia="宋体" w:cs="宋体"/>
                <w:color w:val="000000"/>
                <w:kern w:val="0"/>
                <w:sz w:val="20"/>
              </w:rPr>
            </w:pPr>
          </w:p>
        </w:tc>
        <w:tc>
          <w:tcPr>
            <w:tcW w:w="975" w:type="dxa"/>
            <w:vAlign w:val="center"/>
          </w:tcPr>
          <w:p>
            <w:pPr>
              <w:widowControl/>
              <w:jc w:val="left"/>
              <w:rPr>
                <w:rFonts w:ascii="Arial" w:hAnsi="Arial" w:eastAsia="宋体" w:cs="宋体"/>
                <w:color w:val="000000"/>
                <w:kern w:val="0"/>
                <w:sz w:val="20"/>
              </w:rPr>
            </w:pPr>
          </w:p>
        </w:tc>
        <w:tc>
          <w:tcPr>
            <w:tcW w:w="330" w:type="dxa"/>
            <w:vAlign w:val="center"/>
          </w:tcPr>
          <w:p>
            <w:pPr>
              <w:widowControl/>
              <w:jc w:val="left"/>
              <w:rPr>
                <w:rFonts w:ascii="Arial" w:hAnsi="Arial" w:eastAsia="宋体" w:cs="宋体"/>
                <w:color w:val="000000"/>
                <w:kern w:val="0"/>
                <w:sz w:val="20"/>
              </w:rPr>
            </w:pPr>
          </w:p>
        </w:tc>
        <w:tc>
          <w:tcPr>
            <w:tcW w:w="390" w:type="dxa"/>
            <w:vAlign w:val="center"/>
          </w:tcPr>
          <w:p>
            <w:pPr>
              <w:widowControl/>
              <w:jc w:val="left"/>
              <w:rPr>
                <w:rFonts w:ascii="Arial" w:hAnsi="Arial" w:eastAsia="宋体" w:cs="宋体"/>
                <w:color w:val="000000"/>
                <w:kern w:val="0"/>
                <w:sz w:val="20"/>
              </w:rPr>
            </w:pPr>
          </w:p>
        </w:tc>
        <w:tc>
          <w:tcPr>
            <w:tcW w:w="315" w:type="dxa"/>
            <w:vAlign w:val="center"/>
          </w:tcPr>
          <w:p>
            <w:pPr>
              <w:widowControl/>
              <w:jc w:val="left"/>
              <w:rPr>
                <w:rFonts w:ascii="Arial" w:hAnsi="Arial" w:eastAsia="宋体" w:cs="宋体"/>
                <w:color w:val="000000"/>
                <w:kern w:val="0"/>
                <w:sz w:val="20"/>
              </w:rPr>
            </w:pPr>
          </w:p>
        </w:tc>
        <w:tc>
          <w:tcPr>
            <w:tcW w:w="825" w:type="dxa"/>
            <w:vAlign w:val="center"/>
          </w:tcPr>
          <w:p>
            <w:pPr>
              <w:widowControl/>
              <w:jc w:val="left"/>
              <w:rPr>
                <w:rFonts w:ascii="Arial" w:hAnsi="Arial" w:eastAsia="宋体" w:cs="宋体"/>
                <w:color w:val="000000"/>
                <w:kern w:val="0"/>
                <w:sz w:val="20"/>
              </w:rPr>
            </w:pPr>
          </w:p>
        </w:tc>
        <w:tc>
          <w:tcPr>
            <w:tcW w:w="765" w:type="dxa"/>
            <w:vAlign w:val="center"/>
          </w:tcPr>
          <w:p>
            <w:pPr>
              <w:widowControl/>
              <w:jc w:val="left"/>
              <w:rPr>
                <w:rFonts w:ascii="Arial" w:hAnsi="Arial" w:eastAsia="宋体" w:cs="宋体"/>
                <w:color w:val="000000"/>
                <w:kern w:val="0"/>
                <w:sz w:val="20"/>
              </w:rPr>
            </w:pPr>
          </w:p>
        </w:tc>
        <w:tc>
          <w:tcPr>
            <w:tcW w:w="825" w:type="dxa"/>
            <w:vAlign w:val="center"/>
          </w:tcPr>
          <w:p>
            <w:pPr>
              <w:widowControl/>
              <w:jc w:val="left"/>
              <w:rPr>
                <w:rFonts w:ascii="Arial" w:hAnsi="Arial" w:eastAsia="宋体" w:cs="宋体"/>
                <w:color w:val="000000"/>
                <w:kern w:val="0"/>
                <w:sz w:val="20"/>
              </w:rPr>
            </w:pPr>
          </w:p>
        </w:tc>
        <w:tc>
          <w:tcPr>
            <w:tcW w:w="810" w:type="dxa"/>
            <w:vAlign w:val="center"/>
          </w:tcPr>
          <w:p>
            <w:pPr>
              <w:widowControl/>
              <w:jc w:val="left"/>
              <w:rPr>
                <w:rFonts w:ascii="Arial" w:hAnsi="Arial" w:eastAsia="宋体" w:cs="宋体"/>
                <w:color w:val="000000"/>
                <w:kern w:val="0"/>
                <w:sz w:val="20"/>
              </w:rPr>
            </w:pPr>
          </w:p>
        </w:tc>
        <w:tc>
          <w:tcPr>
            <w:tcW w:w="795" w:type="dxa"/>
            <w:vAlign w:val="center"/>
          </w:tcPr>
          <w:p>
            <w:pPr>
              <w:widowControl/>
              <w:jc w:val="left"/>
              <w:rPr>
                <w:rFonts w:ascii="Arial" w:hAnsi="Arial" w:eastAsia="宋体" w:cs="宋体"/>
                <w:color w:val="000000"/>
                <w:kern w:val="0"/>
                <w:sz w:val="20"/>
              </w:rPr>
            </w:pPr>
          </w:p>
        </w:tc>
        <w:tc>
          <w:tcPr>
            <w:tcW w:w="780" w:type="dxa"/>
            <w:vAlign w:val="center"/>
          </w:tcPr>
          <w:p>
            <w:pPr>
              <w:widowControl/>
              <w:jc w:val="left"/>
              <w:rPr>
                <w:rFonts w:ascii="Arial" w:hAnsi="Arial" w:eastAsia="宋体" w:cs="宋体"/>
                <w:color w:val="000000"/>
                <w:kern w:val="0"/>
                <w:sz w:val="20"/>
              </w:rPr>
            </w:pPr>
          </w:p>
        </w:tc>
        <w:tc>
          <w:tcPr>
            <w:tcW w:w="345" w:type="dxa"/>
            <w:vAlign w:val="center"/>
          </w:tcPr>
          <w:p>
            <w:pPr>
              <w:widowControl/>
              <w:jc w:val="left"/>
              <w:rPr>
                <w:rFonts w:ascii="Arial" w:hAnsi="Arial" w:eastAsia="宋体" w:cs="宋体"/>
                <w:color w:val="000000"/>
                <w:kern w:val="0"/>
                <w:sz w:val="20"/>
              </w:rPr>
            </w:pPr>
          </w:p>
        </w:tc>
        <w:tc>
          <w:tcPr>
            <w:tcW w:w="1142" w:type="dxa"/>
            <w:gridSpan w:val="3"/>
            <w:vAlign w:val="center"/>
          </w:tcPr>
          <w:p>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金额单位：万元</w:t>
            </w:r>
          </w:p>
        </w:tc>
      </w:tr>
      <w:tr>
        <w:tblPrEx>
          <w:tblCellMar>
            <w:top w:w="15" w:type="dxa"/>
            <w:left w:w="108" w:type="dxa"/>
            <w:bottom w:w="15" w:type="dxa"/>
            <w:right w:w="108" w:type="dxa"/>
          </w:tblCellMar>
        </w:tblPrEx>
        <w:trPr>
          <w:trHeight w:val="781" w:hRule="atLeast"/>
        </w:trPr>
        <w:tc>
          <w:tcPr>
            <w:tcW w:w="1260" w:type="dxa"/>
            <w:gridSpan w:val="3"/>
            <w:vMerge w:val="restart"/>
            <w:tcBorders>
              <w:top w:val="single" w:color="000000" w:sz="12" w:space="0"/>
              <w:left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科目编码</w:t>
            </w:r>
          </w:p>
        </w:tc>
        <w:tc>
          <w:tcPr>
            <w:tcW w:w="975"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035" w:type="dxa"/>
            <w:gridSpan w:val="3"/>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年初结转和结余</w:t>
            </w:r>
          </w:p>
        </w:tc>
        <w:tc>
          <w:tcPr>
            <w:tcW w:w="2415" w:type="dxa"/>
            <w:gridSpan w:val="3"/>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本年收入</w:t>
            </w:r>
          </w:p>
        </w:tc>
        <w:tc>
          <w:tcPr>
            <w:tcW w:w="2385" w:type="dxa"/>
            <w:gridSpan w:val="3"/>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w:t>
            </w:r>
          </w:p>
        </w:tc>
        <w:tc>
          <w:tcPr>
            <w:tcW w:w="1487" w:type="dxa"/>
            <w:gridSpan w:val="4"/>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r>
      <w:tr>
        <w:tblPrEx>
          <w:tblCellMar>
            <w:top w:w="15" w:type="dxa"/>
            <w:left w:w="108" w:type="dxa"/>
            <w:bottom w:w="15" w:type="dxa"/>
            <w:right w:w="108" w:type="dxa"/>
          </w:tblCellMar>
        </w:tblPrEx>
        <w:trPr>
          <w:trHeight w:val="300" w:hRule="atLeast"/>
        </w:trPr>
        <w:tc>
          <w:tcPr>
            <w:tcW w:w="1260" w:type="dxa"/>
            <w:gridSpan w:val="3"/>
            <w:vMerge w:val="continue"/>
            <w:tcBorders>
              <w:top w:val="single" w:color="000000" w:sz="12"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75"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3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39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基本支出结转</w:t>
            </w:r>
          </w:p>
        </w:tc>
        <w:tc>
          <w:tcPr>
            <w:tcW w:w="315"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项目支出结转和结余</w:t>
            </w:r>
          </w:p>
        </w:tc>
        <w:tc>
          <w:tcPr>
            <w:tcW w:w="825"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765"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825"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81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795"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78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345"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345"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基本支出结转</w:t>
            </w:r>
          </w:p>
        </w:tc>
        <w:tc>
          <w:tcPr>
            <w:tcW w:w="797" w:type="dxa"/>
            <w:gridSpan w:val="2"/>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项目支出结转和结余</w:t>
            </w:r>
          </w:p>
        </w:tc>
      </w:tr>
      <w:tr>
        <w:tblPrEx>
          <w:tblCellMar>
            <w:top w:w="15" w:type="dxa"/>
            <w:left w:w="108" w:type="dxa"/>
            <w:bottom w:w="15" w:type="dxa"/>
            <w:right w:w="108" w:type="dxa"/>
          </w:tblCellMar>
        </w:tblPrEx>
        <w:trPr>
          <w:trHeight w:val="286" w:hRule="atLeast"/>
        </w:trPr>
        <w:tc>
          <w:tcPr>
            <w:tcW w:w="1260" w:type="dxa"/>
            <w:gridSpan w:val="3"/>
            <w:vMerge w:val="continue"/>
            <w:tcBorders>
              <w:top w:val="single" w:color="000000" w:sz="12"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75"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3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9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1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82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76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82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81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79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78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4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4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9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项目支出结转</w:t>
            </w:r>
          </w:p>
        </w:tc>
        <w:tc>
          <w:tcPr>
            <w:tcW w:w="407"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项目支出结余</w:t>
            </w:r>
          </w:p>
        </w:tc>
      </w:tr>
      <w:tr>
        <w:tblPrEx>
          <w:tblCellMar>
            <w:top w:w="15" w:type="dxa"/>
            <w:left w:w="108" w:type="dxa"/>
            <w:bottom w:w="15" w:type="dxa"/>
            <w:right w:w="108" w:type="dxa"/>
          </w:tblCellMar>
        </w:tblPrEx>
        <w:trPr>
          <w:trHeight w:val="870" w:hRule="atLeast"/>
        </w:trPr>
        <w:tc>
          <w:tcPr>
            <w:tcW w:w="1260" w:type="dxa"/>
            <w:gridSpan w:val="3"/>
            <w:vMerge w:val="continue"/>
            <w:tcBorders>
              <w:top w:val="single" w:color="000000" w:sz="12"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75"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3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9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1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82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76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82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81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79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78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4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4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9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07"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300"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类款项</w:t>
            </w:r>
          </w:p>
        </w:tc>
        <w:tc>
          <w:tcPr>
            <w:tcW w:w="975"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b/>
                <w:bCs/>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b/>
                <w:bCs/>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b/>
                <w:bCs/>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bCs/>
                <w:color w:val="000000"/>
                <w:kern w:val="0"/>
                <w:sz w:val="22"/>
                <w:szCs w:val="22"/>
              </w:rPr>
            </w:pPr>
            <w:r>
              <w:rPr>
                <w:rFonts w:hint="eastAsia" w:ascii="宋体" w:hAnsi="宋体" w:eastAsia="宋体" w:cs="宋体"/>
                <w:color w:val="000000"/>
                <w:kern w:val="0"/>
                <w:sz w:val="22"/>
                <w:szCs w:val="22"/>
              </w:rPr>
              <w:t>89.99</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bCs/>
                <w:color w:val="000000"/>
                <w:kern w:val="0"/>
                <w:sz w:val="22"/>
                <w:szCs w:val="22"/>
              </w:rPr>
            </w:pPr>
            <w:r>
              <w:rPr>
                <w:rFonts w:hint="eastAsia" w:ascii="宋体" w:hAnsi="宋体" w:eastAsia="宋体" w:cs="宋体"/>
                <w:color w:val="000000"/>
                <w:kern w:val="0"/>
                <w:sz w:val="22"/>
                <w:szCs w:val="22"/>
              </w:rPr>
              <w:t>18.08</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bCs/>
                <w:color w:val="000000"/>
                <w:kern w:val="0"/>
                <w:sz w:val="22"/>
                <w:szCs w:val="22"/>
              </w:rPr>
            </w:pPr>
            <w:r>
              <w:rPr>
                <w:rFonts w:hint="eastAsia" w:ascii="宋体" w:hAnsi="宋体" w:eastAsia="宋体" w:cs="宋体"/>
                <w:color w:val="000000"/>
                <w:kern w:val="0"/>
                <w:sz w:val="22"/>
                <w:szCs w:val="22"/>
              </w:rPr>
              <w:t>71.91</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bCs/>
                <w:color w:val="000000"/>
                <w:kern w:val="0"/>
                <w:sz w:val="22"/>
                <w:szCs w:val="22"/>
              </w:rPr>
            </w:pPr>
            <w:r>
              <w:rPr>
                <w:rFonts w:hint="eastAsia" w:ascii="宋体" w:hAnsi="宋体" w:eastAsia="宋体" w:cs="宋体"/>
                <w:color w:val="000000"/>
                <w:kern w:val="0"/>
                <w:sz w:val="22"/>
                <w:szCs w:val="22"/>
              </w:rPr>
              <w:t>89.99</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bCs/>
                <w:color w:val="000000"/>
                <w:kern w:val="0"/>
                <w:sz w:val="22"/>
                <w:szCs w:val="22"/>
              </w:rPr>
            </w:pPr>
            <w:r>
              <w:rPr>
                <w:rFonts w:hint="eastAsia" w:ascii="宋体" w:hAnsi="宋体" w:eastAsia="宋体" w:cs="宋体"/>
                <w:color w:val="000000"/>
                <w:kern w:val="0"/>
                <w:sz w:val="22"/>
                <w:szCs w:val="22"/>
              </w:rPr>
              <w:t>18.08</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bCs/>
                <w:color w:val="000000"/>
                <w:kern w:val="0"/>
                <w:sz w:val="22"/>
                <w:szCs w:val="22"/>
              </w:rPr>
            </w:pPr>
            <w:r>
              <w:rPr>
                <w:rFonts w:hint="eastAsia" w:ascii="宋体" w:hAnsi="宋体" w:eastAsia="宋体" w:cs="宋体"/>
                <w:color w:val="000000"/>
                <w:kern w:val="0"/>
                <w:sz w:val="22"/>
                <w:szCs w:val="22"/>
              </w:rPr>
              <w:t>71.91</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b/>
                <w:bCs/>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b/>
                <w:bCs/>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b/>
                <w:bCs/>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b/>
                <w:bCs/>
                <w:color w:val="000000"/>
                <w:kern w:val="0"/>
                <w:sz w:val="22"/>
                <w:szCs w:val="22"/>
              </w:rPr>
            </w:pPr>
          </w:p>
        </w:tc>
      </w:tr>
      <w:tr>
        <w:tblPrEx>
          <w:tblCellMar>
            <w:top w:w="15" w:type="dxa"/>
            <w:left w:w="108" w:type="dxa"/>
            <w:bottom w:w="15" w:type="dxa"/>
            <w:right w:w="108" w:type="dxa"/>
          </w:tblCellMar>
        </w:tblPrEx>
        <w:trPr>
          <w:trHeight w:val="634"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一般公共服务支出</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85.56</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13.65</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71.91</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85.56</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13.65</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71.91</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799"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20108</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审计事务</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13.65</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13.65</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13.65</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13.65</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1"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2010801</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行政运行</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10.31</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10.31</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10.31</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10.31</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539"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2010802</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一般行政管理事务</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3.34</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3.34</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3.34</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3.34</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03"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2010804</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审计业务</w:t>
            </w:r>
          </w:p>
        </w:tc>
        <w:tc>
          <w:tcPr>
            <w:tcW w:w="330"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71.91</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71.91</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71.91</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71.91</w:t>
            </w:r>
          </w:p>
        </w:tc>
        <w:tc>
          <w:tcPr>
            <w:tcW w:w="34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医疗卫生与计划生育支出</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21011</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行政事业单位医疗</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2101101</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行政单位医疗</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0.48</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212</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城乡社区支出</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21201</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城乡社区管理事务</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2120199</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其他城乡社区管理事务支出</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0.86</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住房保障支出</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3.09</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3.09</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3.09</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3.09</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22101</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保障性安居工程支出</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2210199</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其他保障性安居工程支出</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1.73</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22102</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住房改革支出</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260"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2210201</w:t>
            </w:r>
          </w:p>
        </w:tc>
        <w:tc>
          <w:tcPr>
            <w:tcW w:w="97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住房公积金</w:t>
            </w:r>
          </w:p>
        </w:tc>
        <w:tc>
          <w:tcPr>
            <w:tcW w:w="33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76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82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8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795"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w:t>
            </w:r>
          </w:p>
        </w:tc>
        <w:tc>
          <w:tcPr>
            <w:tcW w:w="7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4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3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07"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bl>
    <w:p>
      <w:pPr>
        <w:ind w:firstLine="628" w:firstLineChars="200"/>
        <w:rPr>
          <w:rFonts w:ascii="黑体" w:hAnsi="黑体" w:eastAsia="黑体"/>
          <w:szCs w:val="32"/>
        </w:rPr>
      </w:pPr>
    </w:p>
    <w:p>
      <w:pPr>
        <w:ind w:firstLine="628" w:firstLineChars="200"/>
        <w:rPr>
          <w:rFonts w:ascii="黑体" w:hAnsi="黑体" w:eastAsia="黑体"/>
          <w:szCs w:val="32"/>
        </w:rPr>
      </w:pPr>
    </w:p>
    <w:p>
      <w:pPr>
        <w:ind w:firstLine="628" w:firstLineChars="200"/>
        <w:rPr>
          <w:rFonts w:ascii="黑体" w:hAnsi="黑体" w:eastAsia="黑体"/>
          <w:szCs w:val="32"/>
        </w:rPr>
      </w:pPr>
    </w:p>
    <w:p>
      <w:pPr>
        <w:ind w:firstLine="628" w:firstLineChars="200"/>
        <w:rPr>
          <w:rFonts w:ascii="黑体" w:hAnsi="黑体" w:eastAsia="黑体"/>
          <w:szCs w:val="32"/>
        </w:rPr>
      </w:pPr>
    </w:p>
    <w:p>
      <w:pPr>
        <w:numPr>
          <w:ilvl w:val="0"/>
          <w:numId w:val="2"/>
        </w:numPr>
        <w:ind w:firstLine="628" w:firstLineChars="200"/>
        <w:jc w:val="center"/>
        <w:rPr>
          <w:rFonts w:ascii="黑体" w:hAnsi="黑体" w:eastAsia="黑体"/>
          <w:szCs w:val="32"/>
        </w:rPr>
      </w:pPr>
      <w:r>
        <w:rPr>
          <w:rFonts w:hint="eastAsia" w:ascii="黑体" w:hAnsi="黑体" w:eastAsia="黑体"/>
          <w:szCs w:val="32"/>
        </w:rPr>
        <w:t>一般公共预算财政拨款基本支出决算表</w:t>
      </w:r>
    </w:p>
    <w:tbl>
      <w:tblPr>
        <w:tblStyle w:val="7"/>
        <w:tblW w:w="9011" w:type="dxa"/>
        <w:tblInd w:w="0" w:type="dxa"/>
        <w:tblLayout w:type="fixed"/>
        <w:tblCellMar>
          <w:top w:w="15" w:type="dxa"/>
          <w:left w:w="15" w:type="dxa"/>
          <w:bottom w:w="15" w:type="dxa"/>
          <w:right w:w="15" w:type="dxa"/>
        </w:tblCellMar>
      </w:tblPr>
      <w:tblGrid>
        <w:gridCol w:w="583"/>
        <w:gridCol w:w="1498"/>
        <w:gridCol w:w="631"/>
        <w:gridCol w:w="932"/>
        <w:gridCol w:w="1358"/>
        <w:gridCol w:w="603"/>
        <w:gridCol w:w="932"/>
        <w:gridCol w:w="1053"/>
        <w:gridCol w:w="499"/>
        <w:gridCol w:w="922"/>
      </w:tblGrid>
      <w:tr>
        <w:tblPrEx>
          <w:tblCellMar>
            <w:top w:w="15" w:type="dxa"/>
            <w:left w:w="15" w:type="dxa"/>
            <w:bottom w:w="15" w:type="dxa"/>
            <w:right w:w="15" w:type="dxa"/>
          </w:tblCellMar>
        </w:tblPrEx>
        <w:trPr>
          <w:trHeight w:val="270" w:hRule="atLeast"/>
        </w:trPr>
        <w:tc>
          <w:tcPr>
            <w:tcW w:w="583" w:type="dxa"/>
            <w:vAlign w:val="bottom"/>
          </w:tcPr>
          <w:p>
            <w:pPr>
              <w:rPr>
                <w:rFonts w:ascii="宋体" w:hAnsi="宋体" w:eastAsia="宋体" w:cs="宋体"/>
                <w:color w:val="000000"/>
                <w:sz w:val="22"/>
                <w:szCs w:val="22"/>
              </w:rPr>
            </w:pPr>
          </w:p>
        </w:tc>
        <w:tc>
          <w:tcPr>
            <w:tcW w:w="1498" w:type="dxa"/>
            <w:vAlign w:val="bottom"/>
          </w:tcPr>
          <w:p>
            <w:pPr>
              <w:rPr>
                <w:rFonts w:ascii="宋体" w:hAnsi="宋体" w:eastAsia="宋体" w:cs="宋体"/>
                <w:color w:val="000000"/>
                <w:sz w:val="22"/>
                <w:szCs w:val="22"/>
              </w:rPr>
            </w:pPr>
          </w:p>
        </w:tc>
        <w:tc>
          <w:tcPr>
            <w:tcW w:w="631" w:type="dxa"/>
            <w:vAlign w:val="bottom"/>
          </w:tcPr>
          <w:p>
            <w:pPr>
              <w:rPr>
                <w:rFonts w:ascii="宋体" w:hAnsi="宋体" w:eastAsia="宋体" w:cs="宋体"/>
                <w:color w:val="000000"/>
                <w:sz w:val="22"/>
                <w:szCs w:val="22"/>
              </w:rPr>
            </w:pPr>
          </w:p>
        </w:tc>
        <w:tc>
          <w:tcPr>
            <w:tcW w:w="932" w:type="dxa"/>
            <w:vAlign w:val="bottom"/>
          </w:tcPr>
          <w:p>
            <w:pPr>
              <w:rPr>
                <w:rFonts w:ascii="宋体" w:hAnsi="宋体" w:eastAsia="宋体" w:cs="宋体"/>
                <w:color w:val="000000"/>
                <w:sz w:val="22"/>
                <w:szCs w:val="22"/>
              </w:rPr>
            </w:pPr>
          </w:p>
        </w:tc>
        <w:tc>
          <w:tcPr>
            <w:tcW w:w="1358" w:type="dxa"/>
            <w:vAlign w:val="bottom"/>
          </w:tcPr>
          <w:p>
            <w:pPr>
              <w:rPr>
                <w:rFonts w:ascii="宋体" w:hAnsi="宋体" w:eastAsia="宋体" w:cs="宋体"/>
                <w:color w:val="000000"/>
                <w:sz w:val="22"/>
                <w:szCs w:val="22"/>
              </w:rPr>
            </w:pPr>
          </w:p>
        </w:tc>
        <w:tc>
          <w:tcPr>
            <w:tcW w:w="603" w:type="dxa"/>
            <w:vAlign w:val="bottom"/>
          </w:tcPr>
          <w:p>
            <w:pPr>
              <w:rPr>
                <w:rFonts w:ascii="宋体" w:hAnsi="宋体" w:eastAsia="宋体" w:cs="宋体"/>
                <w:color w:val="000000"/>
                <w:sz w:val="22"/>
                <w:szCs w:val="22"/>
              </w:rPr>
            </w:pPr>
          </w:p>
        </w:tc>
        <w:tc>
          <w:tcPr>
            <w:tcW w:w="932" w:type="dxa"/>
            <w:vAlign w:val="bottom"/>
          </w:tcPr>
          <w:p>
            <w:pPr>
              <w:rPr>
                <w:rFonts w:ascii="宋体" w:hAnsi="宋体" w:eastAsia="宋体" w:cs="宋体"/>
                <w:color w:val="000000"/>
                <w:sz w:val="22"/>
                <w:szCs w:val="22"/>
              </w:rPr>
            </w:pPr>
          </w:p>
        </w:tc>
        <w:tc>
          <w:tcPr>
            <w:tcW w:w="1053" w:type="dxa"/>
            <w:vAlign w:val="bottom"/>
          </w:tcPr>
          <w:p>
            <w:pPr>
              <w:rPr>
                <w:rFonts w:ascii="宋体" w:hAnsi="宋体" w:eastAsia="宋体" w:cs="宋体"/>
                <w:color w:val="000000"/>
                <w:sz w:val="22"/>
                <w:szCs w:val="22"/>
              </w:rPr>
            </w:pPr>
          </w:p>
        </w:tc>
        <w:tc>
          <w:tcPr>
            <w:tcW w:w="1421" w:type="dxa"/>
            <w:gridSpan w:val="2"/>
            <w:vAlign w:val="bottom"/>
          </w:tcPr>
          <w:p>
            <w:pPr>
              <w:widowControl/>
              <w:jc w:val="right"/>
              <w:textAlignment w:val="bottom"/>
              <w:rPr>
                <w:rFonts w:ascii="宋体" w:hAnsi="宋体" w:eastAsia="宋体" w:cs="宋体"/>
                <w:color w:val="000000"/>
                <w:sz w:val="20"/>
              </w:rPr>
            </w:pPr>
            <w:r>
              <w:rPr>
                <w:rFonts w:hint="eastAsia" w:ascii="宋体" w:hAnsi="宋体" w:eastAsia="宋体" w:cs="宋体"/>
                <w:color w:val="000000"/>
                <w:kern w:val="0"/>
                <w:sz w:val="20"/>
              </w:rPr>
              <w:t>公开06表</w:t>
            </w:r>
          </w:p>
        </w:tc>
      </w:tr>
      <w:tr>
        <w:tblPrEx>
          <w:tblCellMar>
            <w:top w:w="15" w:type="dxa"/>
            <w:left w:w="15" w:type="dxa"/>
            <w:bottom w:w="15" w:type="dxa"/>
            <w:right w:w="15" w:type="dxa"/>
          </w:tblCellMar>
        </w:tblPrEx>
        <w:trPr>
          <w:trHeight w:val="270" w:hRule="atLeast"/>
        </w:trPr>
        <w:tc>
          <w:tcPr>
            <w:tcW w:w="583" w:type="dxa"/>
            <w:vAlign w:val="bottom"/>
          </w:tcPr>
          <w:p>
            <w:pPr>
              <w:widowControl/>
              <w:jc w:val="left"/>
              <w:textAlignment w:val="bottom"/>
              <w:rPr>
                <w:rFonts w:ascii="宋体" w:hAnsi="宋体" w:eastAsia="宋体" w:cs="宋体"/>
                <w:color w:val="000000"/>
                <w:sz w:val="22"/>
                <w:szCs w:val="22"/>
              </w:rPr>
            </w:pPr>
            <w:r>
              <w:rPr>
                <w:rFonts w:hint="eastAsia" w:ascii="宋体" w:hAnsi="宋体" w:eastAsia="宋体" w:cs="宋体"/>
                <w:color w:val="000000"/>
                <w:kern w:val="0"/>
                <w:sz w:val="20"/>
              </w:rPr>
              <w:t>部门</w:t>
            </w:r>
            <w:r>
              <w:rPr>
                <w:rFonts w:hint="eastAsia" w:ascii="宋体" w:hAnsi="宋体" w:eastAsia="宋体" w:cs="宋体"/>
                <w:color w:val="000000"/>
                <w:kern w:val="0"/>
                <w:sz w:val="22"/>
                <w:szCs w:val="22"/>
              </w:rPr>
              <w:t>：</w:t>
            </w:r>
          </w:p>
        </w:tc>
        <w:tc>
          <w:tcPr>
            <w:tcW w:w="1498" w:type="dxa"/>
            <w:vAlign w:val="bottom"/>
          </w:tcPr>
          <w:p>
            <w:pPr>
              <w:rPr>
                <w:rFonts w:ascii="宋体" w:hAnsi="宋体" w:eastAsia="宋体" w:cs="宋体"/>
                <w:color w:val="000000"/>
                <w:sz w:val="22"/>
                <w:szCs w:val="22"/>
              </w:rPr>
            </w:pPr>
          </w:p>
        </w:tc>
        <w:tc>
          <w:tcPr>
            <w:tcW w:w="631" w:type="dxa"/>
            <w:vAlign w:val="bottom"/>
          </w:tcPr>
          <w:p>
            <w:pPr>
              <w:rPr>
                <w:rFonts w:ascii="宋体" w:hAnsi="宋体" w:eastAsia="宋体" w:cs="宋体"/>
                <w:color w:val="000000"/>
                <w:sz w:val="22"/>
                <w:szCs w:val="22"/>
              </w:rPr>
            </w:pPr>
          </w:p>
        </w:tc>
        <w:tc>
          <w:tcPr>
            <w:tcW w:w="932" w:type="dxa"/>
            <w:vAlign w:val="bottom"/>
          </w:tcPr>
          <w:p>
            <w:pPr>
              <w:rPr>
                <w:rFonts w:ascii="宋体" w:hAnsi="宋体" w:eastAsia="宋体" w:cs="宋体"/>
                <w:color w:val="000000"/>
                <w:sz w:val="22"/>
                <w:szCs w:val="22"/>
              </w:rPr>
            </w:pPr>
          </w:p>
        </w:tc>
        <w:tc>
          <w:tcPr>
            <w:tcW w:w="1358" w:type="dxa"/>
            <w:vAlign w:val="bottom"/>
          </w:tcPr>
          <w:p>
            <w:pPr>
              <w:rPr>
                <w:rFonts w:ascii="宋体" w:hAnsi="宋体" w:eastAsia="宋体" w:cs="宋体"/>
                <w:color w:val="000000"/>
                <w:sz w:val="22"/>
                <w:szCs w:val="22"/>
              </w:rPr>
            </w:pPr>
          </w:p>
        </w:tc>
        <w:tc>
          <w:tcPr>
            <w:tcW w:w="603" w:type="dxa"/>
            <w:vAlign w:val="bottom"/>
          </w:tcPr>
          <w:p>
            <w:pPr>
              <w:rPr>
                <w:rFonts w:ascii="宋体" w:hAnsi="宋体" w:eastAsia="宋体" w:cs="宋体"/>
                <w:color w:val="000000"/>
                <w:sz w:val="22"/>
                <w:szCs w:val="22"/>
              </w:rPr>
            </w:pPr>
          </w:p>
        </w:tc>
        <w:tc>
          <w:tcPr>
            <w:tcW w:w="932" w:type="dxa"/>
            <w:vAlign w:val="bottom"/>
          </w:tcPr>
          <w:p>
            <w:pPr>
              <w:rPr>
                <w:rFonts w:ascii="宋体" w:hAnsi="宋体" w:eastAsia="宋体" w:cs="宋体"/>
                <w:color w:val="000000"/>
                <w:sz w:val="22"/>
                <w:szCs w:val="22"/>
              </w:rPr>
            </w:pPr>
          </w:p>
        </w:tc>
        <w:tc>
          <w:tcPr>
            <w:tcW w:w="1053" w:type="dxa"/>
            <w:vAlign w:val="bottom"/>
          </w:tcPr>
          <w:p>
            <w:pPr>
              <w:rPr>
                <w:rFonts w:ascii="宋体" w:hAnsi="宋体" w:eastAsia="宋体" w:cs="宋体"/>
                <w:color w:val="000000"/>
                <w:sz w:val="22"/>
                <w:szCs w:val="22"/>
              </w:rPr>
            </w:pPr>
          </w:p>
        </w:tc>
        <w:tc>
          <w:tcPr>
            <w:tcW w:w="1421" w:type="dxa"/>
            <w:gridSpan w:val="2"/>
            <w:vAlign w:val="bottom"/>
          </w:tcPr>
          <w:p>
            <w:pPr>
              <w:widowControl/>
              <w:textAlignment w:val="bottom"/>
              <w:rPr>
                <w:rFonts w:ascii="宋体" w:hAnsi="宋体" w:eastAsia="宋体" w:cs="宋体"/>
                <w:color w:val="000000"/>
                <w:sz w:val="20"/>
              </w:rPr>
            </w:pPr>
            <w:r>
              <w:rPr>
                <w:rFonts w:hint="eastAsia" w:ascii="宋体" w:hAnsi="宋体" w:eastAsia="宋体" w:cs="宋体"/>
                <w:color w:val="000000"/>
                <w:kern w:val="0"/>
                <w:sz w:val="20"/>
              </w:rPr>
              <w:t>金额单位：万元</w:t>
            </w:r>
          </w:p>
        </w:tc>
      </w:tr>
      <w:tr>
        <w:tblPrEx>
          <w:tblCellMar>
            <w:top w:w="15" w:type="dxa"/>
            <w:left w:w="15" w:type="dxa"/>
            <w:bottom w:w="15" w:type="dxa"/>
            <w:right w:w="15" w:type="dxa"/>
          </w:tblCellMar>
        </w:tblPrEx>
        <w:trPr>
          <w:trHeight w:val="300" w:hRule="atLeast"/>
        </w:trPr>
        <w:tc>
          <w:tcPr>
            <w:tcW w:w="271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人员经费</w:t>
            </w:r>
          </w:p>
        </w:tc>
        <w:tc>
          <w:tcPr>
            <w:tcW w:w="6299" w:type="dxa"/>
            <w:gridSpan w:val="7"/>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公用经费</w:t>
            </w:r>
          </w:p>
        </w:tc>
      </w:tr>
      <w:tr>
        <w:tblPrEx>
          <w:tblCellMar>
            <w:top w:w="15" w:type="dxa"/>
            <w:left w:w="15" w:type="dxa"/>
            <w:bottom w:w="15" w:type="dxa"/>
            <w:right w:w="15" w:type="dxa"/>
          </w:tblCellMar>
        </w:tblPrEx>
        <w:trPr>
          <w:trHeight w:val="315" w:hRule="atLeast"/>
        </w:trPr>
        <w:tc>
          <w:tcPr>
            <w:tcW w:w="583"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1498"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631"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932"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1358"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603"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932"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1552" w:type="dxa"/>
            <w:gridSpan w:val="2"/>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922"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r>
      <w:tr>
        <w:tblPrEx>
          <w:tblCellMar>
            <w:top w:w="15" w:type="dxa"/>
            <w:left w:w="15" w:type="dxa"/>
            <w:bottom w:w="15" w:type="dxa"/>
            <w:right w:w="15" w:type="dxa"/>
          </w:tblCellMar>
        </w:tblPrEx>
        <w:trPr>
          <w:trHeight w:val="312" w:hRule="atLeast"/>
        </w:trPr>
        <w:tc>
          <w:tcPr>
            <w:tcW w:w="583"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49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631"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32"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35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603"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32"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552" w:type="dxa"/>
            <w:gridSpan w:val="2"/>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22"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工资福利支出</w:t>
            </w:r>
          </w:p>
        </w:tc>
        <w:tc>
          <w:tcPr>
            <w:tcW w:w="631"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15.06</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商品和服务支出</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2.03</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307</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债务利息及费用支出</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基本工资</w:t>
            </w:r>
          </w:p>
        </w:tc>
        <w:tc>
          <w:tcPr>
            <w:tcW w:w="631"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6.4</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30201</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办公费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30701</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国内债务付息</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30102</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津贴补贴</w:t>
            </w:r>
          </w:p>
        </w:tc>
        <w:tc>
          <w:tcPr>
            <w:tcW w:w="631"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2.38</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30202</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印刷费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30702</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国外债务付息</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30103</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奖金</w:t>
            </w:r>
          </w:p>
        </w:tc>
        <w:tc>
          <w:tcPr>
            <w:tcW w:w="631"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1.76</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30203</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咨询费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30703</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国内债务发行费用</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30106</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伙食补助费</w:t>
            </w:r>
          </w:p>
        </w:tc>
        <w:tc>
          <w:tcPr>
            <w:tcW w:w="631"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30204</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手续费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30704</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国外债务发行费用</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30107</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绩效工资</w:t>
            </w:r>
          </w:p>
        </w:tc>
        <w:tc>
          <w:tcPr>
            <w:tcW w:w="631"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30205</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水费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资本性支出</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0.99</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30108</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w:t>
            </w:r>
          </w:p>
        </w:tc>
        <w:tc>
          <w:tcPr>
            <w:tcW w:w="631"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2.49</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30206</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电费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31001</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房屋建筑物购建</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30109</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职业年金缴费</w:t>
            </w:r>
          </w:p>
        </w:tc>
        <w:tc>
          <w:tcPr>
            <w:tcW w:w="631"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30207</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邮电费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31002</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办公设备购置</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0.99</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30110</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职工基本医疗保险缴费</w:t>
            </w:r>
          </w:p>
        </w:tc>
        <w:tc>
          <w:tcPr>
            <w:tcW w:w="631"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30208</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取暖费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31003</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专用设备购置</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30111</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公务员医疗补助缴费</w:t>
            </w:r>
          </w:p>
        </w:tc>
        <w:tc>
          <w:tcPr>
            <w:tcW w:w="631"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30209</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物业管理费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31005</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基础设施建设</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30112</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其他社会保障缴费</w:t>
            </w:r>
          </w:p>
        </w:tc>
        <w:tc>
          <w:tcPr>
            <w:tcW w:w="631"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0.67</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30211</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差旅费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31006</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大型修缮</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30113</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住房公积金</w:t>
            </w:r>
          </w:p>
        </w:tc>
        <w:tc>
          <w:tcPr>
            <w:tcW w:w="631"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1.36</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30212</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因公出国（境）费用</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31007</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信息网络及软件购置更新</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30114</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医疗费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30213</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维修(护)费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31008</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物资储备</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30199</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其他工资福利支出</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30214</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租赁费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31009</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土地补偿</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对个人和家庭的补助</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30215</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会议费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31010</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安置补助</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30301</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离休费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30216</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培训费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31011</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地上附着物和青苗补偿</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30302</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退休费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30217</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公务接待费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31012</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拆迁补偿</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30303</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退职（役）费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30218</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专用材料费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31013</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公务用车购置</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30304</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抚恤金</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30224</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被装购置费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31019</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其他交通工具购置</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30305</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生活补助</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30225</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专用燃料费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31021</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文物和陈列品购置</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30306</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救济费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30226</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劳务费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0.41</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31022</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无形资产购置</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3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30307</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医疗费补助</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30227</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委托业务费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31099</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其他资本性支出</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30308</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助学金</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30228</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工会经费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312</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对企业补助</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30309</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奖励金</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30229</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福利费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1.01</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31201</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资本金注入</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30310</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个人农业生产补贴</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30231</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公务用车运行维护费</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31203</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政府投资基金股权投资</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30399</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其他对个人和家庭的补助支出</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30239</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其他交通费用</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0.13</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31204</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费用补贴</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49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30240</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税金及附加费用</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31205</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利息补贴</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70" w:hRule="atLeast"/>
        </w:trPr>
        <w:tc>
          <w:tcPr>
            <w:tcW w:w="583"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49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30299</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其他商品和服务支出</w:t>
            </w:r>
          </w:p>
        </w:tc>
        <w:tc>
          <w:tcPr>
            <w:tcW w:w="603"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0.48</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31299 </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其他对企业补助</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49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35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其他支出</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49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35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39906</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赠与</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49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35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39907</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国家赔偿费用支出</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0"/>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49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35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39908</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对民间非营利组织和群众性自治组织补贴</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49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35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39999</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其他支出</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2081"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人员经费合计</w:t>
            </w:r>
          </w:p>
        </w:tc>
        <w:tc>
          <w:tcPr>
            <w:tcW w:w="631"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15.06</w:t>
            </w:r>
          </w:p>
        </w:tc>
        <w:tc>
          <w:tcPr>
            <w:tcW w:w="5377" w:type="dxa"/>
            <w:gridSpan w:val="6"/>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公用经费合计</w:t>
            </w:r>
          </w:p>
        </w:tc>
        <w:tc>
          <w:tcPr>
            <w:tcW w:w="92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w:t>
            </w:r>
          </w:p>
        </w:tc>
      </w:tr>
    </w:tbl>
    <w:p>
      <w:pPr>
        <w:rPr>
          <w:rFonts w:ascii="黑体" w:hAnsi="黑体" w:eastAsia="黑体"/>
          <w:szCs w:val="32"/>
        </w:rPr>
      </w:pPr>
    </w:p>
    <w:p>
      <w:pPr>
        <w:jc w:val="center"/>
        <w:rPr>
          <w:rFonts w:ascii="黑体" w:hAnsi="黑体" w:eastAsia="黑体"/>
          <w:szCs w:val="32"/>
        </w:rPr>
      </w:pPr>
      <w:r>
        <w:rPr>
          <w:rFonts w:hint="eastAsia" w:ascii="黑体" w:hAnsi="黑体" w:eastAsia="黑体"/>
          <w:szCs w:val="32"/>
        </w:rPr>
        <w:t>七、政府性基金预算财政拨款收入支出决算表</w:t>
      </w:r>
    </w:p>
    <w:tbl>
      <w:tblPr>
        <w:tblStyle w:val="7"/>
        <w:tblW w:w="9930" w:type="dxa"/>
        <w:tblInd w:w="-150" w:type="dxa"/>
        <w:tblLayout w:type="fixed"/>
        <w:tblCellMar>
          <w:top w:w="15" w:type="dxa"/>
          <w:left w:w="15" w:type="dxa"/>
          <w:bottom w:w="15" w:type="dxa"/>
          <w:right w:w="15" w:type="dxa"/>
        </w:tblCellMar>
      </w:tblPr>
      <w:tblGrid>
        <w:gridCol w:w="569"/>
        <w:gridCol w:w="83"/>
        <w:gridCol w:w="240"/>
        <w:gridCol w:w="383"/>
        <w:gridCol w:w="690"/>
        <w:gridCol w:w="789"/>
        <w:gridCol w:w="726"/>
        <w:gridCol w:w="928"/>
        <w:gridCol w:w="396"/>
        <w:gridCol w:w="371"/>
        <w:gridCol w:w="506"/>
        <w:gridCol w:w="468"/>
        <w:gridCol w:w="295"/>
        <w:gridCol w:w="468"/>
        <w:gridCol w:w="353"/>
        <w:gridCol w:w="814"/>
        <w:gridCol w:w="531"/>
        <w:gridCol w:w="397"/>
        <w:gridCol w:w="923"/>
      </w:tblGrid>
      <w:tr>
        <w:tblPrEx>
          <w:tblCellMar>
            <w:top w:w="15" w:type="dxa"/>
            <w:left w:w="15" w:type="dxa"/>
            <w:bottom w:w="15" w:type="dxa"/>
            <w:right w:w="15" w:type="dxa"/>
          </w:tblCellMar>
        </w:tblPrEx>
        <w:trPr>
          <w:trHeight w:val="285" w:hRule="atLeast"/>
        </w:trPr>
        <w:tc>
          <w:tcPr>
            <w:tcW w:w="652" w:type="dxa"/>
            <w:gridSpan w:val="2"/>
            <w:vAlign w:val="bottom"/>
          </w:tcPr>
          <w:p>
            <w:pPr>
              <w:rPr>
                <w:rFonts w:ascii="Arial" w:hAnsi="Arial" w:cs="Arial"/>
                <w:color w:val="000000"/>
                <w:sz w:val="20"/>
              </w:rPr>
            </w:pPr>
          </w:p>
        </w:tc>
        <w:tc>
          <w:tcPr>
            <w:tcW w:w="240" w:type="dxa"/>
            <w:vAlign w:val="bottom"/>
          </w:tcPr>
          <w:p>
            <w:pPr>
              <w:rPr>
                <w:rFonts w:ascii="Arial" w:hAnsi="Arial" w:cs="Arial"/>
                <w:color w:val="000000"/>
                <w:sz w:val="20"/>
              </w:rPr>
            </w:pPr>
          </w:p>
        </w:tc>
        <w:tc>
          <w:tcPr>
            <w:tcW w:w="383" w:type="dxa"/>
            <w:vAlign w:val="bottom"/>
          </w:tcPr>
          <w:p>
            <w:pPr>
              <w:rPr>
                <w:rFonts w:ascii="Arial" w:hAnsi="Arial" w:cs="Arial"/>
                <w:color w:val="000000"/>
                <w:sz w:val="20"/>
              </w:rPr>
            </w:pPr>
          </w:p>
        </w:tc>
        <w:tc>
          <w:tcPr>
            <w:tcW w:w="690" w:type="dxa"/>
            <w:vAlign w:val="bottom"/>
          </w:tcPr>
          <w:p>
            <w:pPr>
              <w:rPr>
                <w:rFonts w:ascii="Arial" w:hAnsi="Arial" w:cs="Arial"/>
                <w:color w:val="000000"/>
                <w:sz w:val="20"/>
              </w:rPr>
            </w:pPr>
          </w:p>
        </w:tc>
        <w:tc>
          <w:tcPr>
            <w:tcW w:w="789" w:type="dxa"/>
            <w:vAlign w:val="bottom"/>
          </w:tcPr>
          <w:p>
            <w:pPr>
              <w:rPr>
                <w:rFonts w:ascii="Arial" w:hAnsi="Arial" w:cs="Arial"/>
                <w:color w:val="000000"/>
                <w:sz w:val="20"/>
              </w:rPr>
            </w:pPr>
          </w:p>
        </w:tc>
        <w:tc>
          <w:tcPr>
            <w:tcW w:w="726" w:type="dxa"/>
            <w:vAlign w:val="bottom"/>
          </w:tcPr>
          <w:p>
            <w:pPr>
              <w:rPr>
                <w:rFonts w:ascii="Arial" w:hAnsi="Arial" w:cs="Arial"/>
                <w:color w:val="000000"/>
                <w:sz w:val="20"/>
              </w:rPr>
            </w:pPr>
          </w:p>
        </w:tc>
        <w:tc>
          <w:tcPr>
            <w:tcW w:w="928" w:type="dxa"/>
            <w:vAlign w:val="bottom"/>
          </w:tcPr>
          <w:p>
            <w:pPr>
              <w:rPr>
                <w:rFonts w:ascii="Arial" w:hAnsi="Arial" w:cs="Arial"/>
                <w:color w:val="000000"/>
                <w:sz w:val="20"/>
              </w:rPr>
            </w:pPr>
          </w:p>
        </w:tc>
        <w:tc>
          <w:tcPr>
            <w:tcW w:w="396" w:type="dxa"/>
            <w:vAlign w:val="bottom"/>
          </w:tcPr>
          <w:p>
            <w:pPr>
              <w:rPr>
                <w:rFonts w:ascii="Arial" w:hAnsi="Arial" w:cs="Arial"/>
                <w:color w:val="000000"/>
                <w:sz w:val="20"/>
              </w:rPr>
            </w:pPr>
          </w:p>
        </w:tc>
        <w:tc>
          <w:tcPr>
            <w:tcW w:w="371" w:type="dxa"/>
            <w:vAlign w:val="bottom"/>
          </w:tcPr>
          <w:p>
            <w:pPr>
              <w:rPr>
                <w:rFonts w:ascii="Arial" w:hAnsi="Arial" w:cs="Arial"/>
                <w:color w:val="000000"/>
                <w:sz w:val="20"/>
              </w:rPr>
            </w:pPr>
          </w:p>
        </w:tc>
        <w:tc>
          <w:tcPr>
            <w:tcW w:w="506" w:type="dxa"/>
            <w:vAlign w:val="bottom"/>
          </w:tcPr>
          <w:p>
            <w:pPr>
              <w:rPr>
                <w:rFonts w:ascii="Arial" w:hAnsi="Arial" w:cs="Arial"/>
                <w:color w:val="000000"/>
                <w:sz w:val="20"/>
              </w:rPr>
            </w:pPr>
          </w:p>
        </w:tc>
        <w:tc>
          <w:tcPr>
            <w:tcW w:w="468" w:type="dxa"/>
            <w:vAlign w:val="bottom"/>
          </w:tcPr>
          <w:p>
            <w:pPr>
              <w:rPr>
                <w:rFonts w:ascii="Arial" w:hAnsi="Arial" w:cs="Arial"/>
                <w:color w:val="000000"/>
                <w:sz w:val="20"/>
              </w:rPr>
            </w:pPr>
          </w:p>
        </w:tc>
        <w:tc>
          <w:tcPr>
            <w:tcW w:w="295" w:type="dxa"/>
            <w:vAlign w:val="bottom"/>
          </w:tcPr>
          <w:p>
            <w:pPr>
              <w:rPr>
                <w:rFonts w:ascii="Arial" w:hAnsi="Arial" w:cs="Arial"/>
                <w:color w:val="000000"/>
                <w:sz w:val="20"/>
              </w:rPr>
            </w:pPr>
          </w:p>
        </w:tc>
        <w:tc>
          <w:tcPr>
            <w:tcW w:w="468" w:type="dxa"/>
            <w:vAlign w:val="bottom"/>
          </w:tcPr>
          <w:p>
            <w:pPr>
              <w:rPr>
                <w:rFonts w:ascii="Arial" w:hAnsi="Arial" w:cs="Arial"/>
                <w:color w:val="000000"/>
                <w:sz w:val="20"/>
              </w:rPr>
            </w:pPr>
          </w:p>
        </w:tc>
        <w:tc>
          <w:tcPr>
            <w:tcW w:w="353" w:type="dxa"/>
            <w:vAlign w:val="bottom"/>
          </w:tcPr>
          <w:p>
            <w:pPr>
              <w:rPr>
                <w:rFonts w:ascii="Arial" w:hAnsi="Arial" w:cs="Arial"/>
                <w:color w:val="000000"/>
                <w:sz w:val="20"/>
              </w:rPr>
            </w:pPr>
          </w:p>
        </w:tc>
        <w:tc>
          <w:tcPr>
            <w:tcW w:w="814" w:type="dxa"/>
            <w:vAlign w:val="bottom"/>
          </w:tcPr>
          <w:p>
            <w:pPr>
              <w:rPr>
                <w:rFonts w:ascii="Arial" w:hAnsi="Arial" w:cs="Arial"/>
                <w:color w:val="000000"/>
                <w:sz w:val="20"/>
              </w:rPr>
            </w:pPr>
          </w:p>
        </w:tc>
        <w:tc>
          <w:tcPr>
            <w:tcW w:w="531" w:type="dxa"/>
            <w:vAlign w:val="bottom"/>
          </w:tcPr>
          <w:p>
            <w:pPr>
              <w:rPr>
                <w:rFonts w:ascii="Arial" w:hAnsi="Arial" w:cs="Arial"/>
                <w:color w:val="000000"/>
                <w:sz w:val="20"/>
              </w:rPr>
            </w:pPr>
          </w:p>
        </w:tc>
        <w:tc>
          <w:tcPr>
            <w:tcW w:w="1320" w:type="dxa"/>
            <w:gridSpan w:val="2"/>
            <w:vAlign w:val="bottom"/>
          </w:tcPr>
          <w:p>
            <w:pPr>
              <w:widowControl/>
              <w:jc w:val="right"/>
              <w:textAlignment w:val="bottom"/>
              <w:rPr>
                <w:rFonts w:ascii="宋体" w:hAnsi="宋体" w:eastAsia="宋体" w:cs="宋体"/>
                <w:color w:val="000000"/>
                <w:sz w:val="20"/>
              </w:rPr>
            </w:pPr>
            <w:r>
              <w:rPr>
                <w:rFonts w:hint="eastAsia" w:ascii="宋体" w:hAnsi="宋体" w:eastAsia="宋体" w:cs="宋体"/>
                <w:color w:val="000000"/>
                <w:kern w:val="0"/>
                <w:sz w:val="20"/>
              </w:rPr>
              <w:t>公开07表</w:t>
            </w:r>
          </w:p>
        </w:tc>
      </w:tr>
      <w:tr>
        <w:tblPrEx>
          <w:tblCellMar>
            <w:top w:w="15" w:type="dxa"/>
            <w:left w:w="15" w:type="dxa"/>
            <w:bottom w:w="15" w:type="dxa"/>
            <w:right w:w="15" w:type="dxa"/>
          </w:tblCellMar>
        </w:tblPrEx>
        <w:trPr>
          <w:trHeight w:val="285" w:hRule="atLeast"/>
        </w:trPr>
        <w:tc>
          <w:tcPr>
            <w:tcW w:w="652" w:type="dxa"/>
            <w:gridSpan w:val="2"/>
            <w:vAlign w:val="bottom"/>
          </w:tcPr>
          <w:p>
            <w:pPr>
              <w:widowControl/>
              <w:jc w:val="left"/>
              <w:textAlignment w:val="bottom"/>
              <w:rPr>
                <w:rFonts w:ascii="宋体" w:hAnsi="宋体" w:eastAsia="宋体" w:cs="宋体"/>
                <w:color w:val="000000"/>
                <w:sz w:val="20"/>
              </w:rPr>
            </w:pPr>
            <w:r>
              <w:rPr>
                <w:rFonts w:hint="eastAsia" w:ascii="宋体" w:hAnsi="宋体" w:eastAsia="宋体" w:cs="宋体"/>
                <w:color w:val="000000"/>
                <w:kern w:val="0"/>
                <w:sz w:val="20"/>
              </w:rPr>
              <w:t>部门：</w:t>
            </w:r>
          </w:p>
        </w:tc>
        <w:tc>
          <w:tcPr>
            <w:tcW w:w="240" w:type="dxa"/>
            <w:vAlign w:val="bottom"/>
          </w:tcPr>
          <w:p>
            <w:pPr>
              <w:rPr>
                <w:rFonts w:ascii="Arial" w:hAnsi="Arial" w:cs="Arial"/>
                <w:color w:val="000000"/>
                <w:sz w:val="20"/>
              </w:rPr>
            </w:pPr>
          </w:p>
        </w:tc>
        <w:tc>
          <w:tcPr>
            <w:tcW w:w="383" w:type="dxa"/>
            <w:vAlign w:val="bottom"/>
          </w:tcPr>
          <w:p>
            <w:pPr>
              <w:rPr>
                <w:rFonts w:ascii="Arial" w:hAnsi="Arial" w:cs="Arial"/>
                <w:color w:val="000000"/>
                <w:sz w:val="20"/>
              </w:rPr>
            </w:pPr>
          </w:p>
        </w:tc>
        <w:tc>
          <w:tcPr>
            <w:tcW w:w="690" w:type="dxa"/>
            <w:vAlign w:val="bottom"/>
          </w:tcPr>
          <w:p>
            <w:pPr>
              <w:rPr>
                <w:rFonts w:ascii="Arial" w:hAnsi="Arial" w:cs="Arial"/>
                <w:color w:val="000000"/>
                <w:sz w:val="20"/>
              </w:rPr>
            </w:pPr>
          </w:p>
        </w:tc>
        <w:tc>
          <w:tcPr>
            <w:tcW w:w="789" w:type="dxa"/>
            <w:vAlign w:val="bottom"/>
          </w:tcPr>
          <w:p>
            <w:pPr>
              <w:rPr>
                <w:rFonts w:ascii="Arial" w:hAnsi="Arial" w:cs="Arial"/>
                <w:color w:val="000000"/>
                <w:sz w:val="20"/>
              </w:rPr>
            </w:pPr>
          </w:p>
        </w:tc>
        <w:tc>
          <w:tcPr>
            <w:tcW w:w="726" w:type="dxa"/>
            <w:vAlign w:val="bottom"/>
          </w:tcPr>
          <w:p>
            <w:pPr>
              <w:rPr>
                <w:rFonts w:ascii="Arial" w:hAnsi="Arial" w:cs="Arial"/>
                <w:color w:val="000000"/>
                <w:sz w:val="20"/>
              </w:rPr>
            </w:pPr>
          </w:p>
        </w:tc>
        <w:tc>
          <w:tcPr>
            <w:tcW w:w="928" w:type="dxa"/>
            <w:vAlign w:val="bottom"/>
          </w:tcPr>
          <w:p>
            <w:pPr>
              <w:rPr>
                <w:rFonts w:ascii="Arial" w:hAnsi="Arial" w:cs="Arial"/>
                <w:color w:val="000000"/>
                <w:sz w:val="20"/>
              </w:rPr>
            </w:pPr>
          </w:p>
        </w:tc>
        <w:tc>
          <w:tcPr>
            <w:tcW w:w="396" w:type="dxa"/>
            <w:vAlign w:val="bottom"/>
          </w:tcPr>
          <w:p>
            <w:pPr>
              <w:rPr>
                <w:rFonts w:ascii="Arial" w:hAnsi="Arial" w:cs="Arial"/>
                <w:color w:val="000000"/>
                <w:sz w:val="20"/>
              </w:rPr>
            </w:pPr>
          </w:p>
        </w:tc>
        <w:tc>
          <w:tcPr>
            <w:tcW w:w="371" w:type="dxa"/>
            <w:vAlign w:val="bottom"/>
          </w:tcPr>
          <w:p>
            <w:pPr>
              <w:rPr>
                <w:rFonts w:ascii="Arial" w:hAnsi="Arial" w:cs="Arial"/>
                <w:color w:val="000000"/>
                <w:sz w:val="20"/>
              </w:rPr>
            </w:pPr>
          </w:p>
        </w:tc>
        <w:tc>
          <w:tcPr>
            <w:tcW w:w="506" w:type="dxa"/>
            <w:vAlign w:val="bottom"/>
          </w:tcPr>
          <w:p>
            <w:pPr>
              <w:rPr>
                <w:rFonts w:ascii="Arial" w:hAnsi="Arial" w:cs="Arial"/>
                <w:color w:val="000000"/>
                <w:sz w:val="20"/>
              </w:rPr>
            </w:pPr>
          </w:p>
        </w:tc>
        <w:tc>
          <w:tcPr>
            <w:tcW w:w="468" w:type="dxa"/>
            <w:vAlign w:val="bottom"/>
          </w:tcPr>
          <w:p>
            <w:pPr>
              <w:rPr>
                <w:rFonts w:ascii="Arial" w:hAnsi="Arial" w:cs="Arial"/>
                <w:color w:val="000000"/>
                <w:sz w:val="20"/>
              </w:rPr>
            </w:pPr>
          </w:p>
        </w:tc>
        <w:tc>
          <w:tcPr>
            <w:tcW w:w="295" w:type="dxa"/>
            <w:vAlign w:val="bottom"/>
          </w:tcPr>
          <w:p>
            <w:pPr>
              <w:rPr>
                <w:rFonts w:ascii="Arial" w:hAnsi="Arial" w:cs="Arial"/>
                <w:color w:val="000000"/>
                <w:sz w:val="20"/>
              </w:rPr>
            </w:pPr>
          </w:p>
        </w:tc>
        <w:tc>
          <w:tcPr>
            <w:tcW w:w="468" w:type="dxa"/>
            <w:vAlign w:val="bottom"/>
          </w:tcPr>
          <w:p>
            <w:pPr>
              <w:rPr>
                <w:rFonts w:ascii="Arial" w:hAnsi="Arial" w:cs="Arial"/>
                <w:color w:val="000000"/>
                <w:sz w:val="20"/>
              </w:rPr>
            </w:pPr>
          </w:p>
        </w:tc>
        <w:tc>
          <w:tcPr>
            <w:tcW w:w="353" w:type="dxa"/>
            <w:vAlign w:val="bottom"/>
          </w:tcPr>
          <w:p>
            <w:pPr>
              <w:rPr>
                <w:rFonts w:ascii="Arial" w:hAnsi="Arial" w:cs="Arial"/>
                <w:color w:val="000000"/>
                <w:sz w:val="20"/>
              </w:rPr>
            </w:pPr>
          </w:p>
        </w:tc>
        <w:tc>
          <w:tcPr>
            <w:tcW w:w="814" w:type="dxa"/>
            <w:vAlign w:val="bottom"/>
          </w:tcPr>
          <w:p>
            <w:pPr>
              <w:rPr>
                <w:rFonts w:ascii="Arial" w:hAnsi="Arial" w:cs="Arial"/>
                <w:color w:val="000000"/>
                <w:sz w:val="20"/>
              </w:rPr>
            </w:pPr>
          </w:p>
        </w:tc>
        <w:tc>
          <w:tcPr>
            <w:tcW w:w="531" w:type="dxa"/>
            <w:vAlign w:val="bottom"/>
          </w:tcPr>
          <w:p>
            <w:pPr>
              <w:rPr>
                <w:rFonts w:ascii="Arial" w:hAnsi="Arial" w:cs="Arial"/>
                <w:color w:val="000000"/>
                <w:sz w:val="20"/>
              </w:rPr>
            </w:pPr>
          </w:p>
        </w:tc>
        <w:tc>
          <w:tcPr>
            <w:tcW w:w="1320" w:type="dxa"/>
            <w:gridSpan w:val="2"/>
            <w:vAlign w:val="bottom"/>
          </w:tcPr>
          <w:p>
            <w:pPr>
              <w:widowControl/>
              <w:jc w:val="right"/>
              <w:textAlignment w:val="bottom"/>
              <w:rPr>
                <w:rFonts w:ascii="宋体" w:hAnsi="宋体" w:eastAsia="宋体" w:cs="宋体"/>
                <w:color w:val="000000"/>
                <w:sz w:val="20"/>
              </w:rPr>
            </w:pPr>
            <w:r>
              <w:rPr>
                <w:rFonts w:hint="eastAsia" w:ascii="宋体" w:hAnsi="宋体" w:eastAsia="宋体" w:cs="宋体"/>
                <w:color w:val="000000"/>
                <w:kern w:val="0"/>
                <w:sz w:val="20"/>
              </w:rPr>
              <w:t>金额单位：万元</w:t>
            </w:r>
          </w:p>
        </w:tc>
      </w:tr>
      <w:tr>
        <w:tblPrEx>
          <w:tblCellMar>
            <w:top w:w="15" w:type="dxa"/>
            <w:left w:w="15" w:type="dxa"/>
            <w:bottom w:w="15" w:type="dxa"/>
            <w:right w:w="15" w:type="dxa"/>
          </w:tblCellMar>
        </w:tblPrEx>
        <w:trPr>
          <w:trHeight w:val="300" w:hRule="atLeast"/>
        </w:trPr>
        <w:tc>
          <w:tcPr>
            <w:tcW w:w="1275"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69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443"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1273"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1231"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3018" w:type="dxa"/>
            <w:gridSpan w:val="5"/>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tblPrEx>
          <w:tblCellMar>
            <w:top w:w="15" w:type="dxa"/>
            <w:left w:w="15" w:type="dxa"/>
            <w:bottom w:w="15" w:type="dxa"/>
            <w:right w:w="15" w:type="dxa"/>
          </w:tblCellMar>
        </w:tblPrEx>
        <w:trPr>
          <w:trHeight w:val="300" w:hRule="atLeast"/>
        </w:trPr>
        <w:tc>
          <w:tcPr>
            <w:tcW w:w="1275"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690"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89"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726"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基本支出结转</w:t>
            </w:r>
          </w:p>
        </w:tc>
        <w:tc>
          <w:tcPr>
            <w:tcW w:w="928"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项目支出结转和结余</w:t>
            </w:r>
          </w:p>
        </w:tc>
        <w:tc>
          <w:tcPr>
            <w:tcW w:w="396"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371"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506"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468"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95"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468"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353"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814"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基本支出结转</w:t>
            </w:r>
          </w:p>
        </w:tc>
        <w:tc>
          <w:tcPr>
            <w:tcW w:w="1851" w:type="dxa"/>
            <w:gridSpan w:val="3"/>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项目支出结转和结余</w:t>
            </w:r>
          </w:p>
        </w:tc>
      </w:tr>
      <w:tr>
        <w:tblPrEx>
          <w:tblCellMar>
            <w:top w:w="15" w:type="dxa"/>
            <w:left w:w="15" w:type="dxa"/>
            <w:bottom w:w="15" w:type="dxa"/>
            <w:right w:w="15" w:type="dxa"/>
          </w:tblCellMar>
        </w:tblPrEx>
        <w:trPr>
          <w:trHeight w:val="300" w:hRule="atLeast"/>
        </w:trPr>
        <w:tc>
          <w:tcPr>
            <w:tcW w:w="1275"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690"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89"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26"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2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96"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71"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506"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46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295"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46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53"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814"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28" w:type="dxa"/>
            <w:gridSpan w:val="2"/>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项目支出结转</w:t>
            </w:r>
          </w:p>
        </w:tc>
        <w:tc>
          <w:tcPr>
            <w:tcW w:w="923"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项目支出结余</w:t>
            </w:r>
          </w:p>
        </w:tc>
      </w:tr>
      <w:tr>
        <w:tblPrEx>
          <w:tblCellMar>
            <w:top w:w="15" w:type="dxa"/>
            <w:left w:w="15" w:type="dxa"/>
            <w:bottom w:w="15" w:type="dxa"/>
            <w:right w:w="15" w:type="dxa"/>
          </w:tblCellMar>
        </w:tblPrEx>
        <w:trPr>
          <w:trHeight w:val="615" w:hRule="atLeast"/>
        </w:trPr>
        <w:tc>
          <w:tcPr>
            <w:tcW w:w="1275"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690"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89"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26"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2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96"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71"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506"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46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295"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46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53"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814"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28" w:type="dxa"/>
            <w:gridSpan w:val="2"/>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23"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69"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类</w:t>
            </w:r>
          </w:p>
        </w:tc>
        <w:tc>
          <w:tcPr>
            <w:tcW w:w="323" w:type="dxa"/>
            <w:gridSpan w:val="2"/>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款</w:t>
            </w:r>
          </w:p>
        </w:tc>
        <w:tc>
          <w:tcPr>
            <w:tcW w:w="383"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690"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78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26"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9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396"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371"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506"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46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295"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46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3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814"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928" w:type="dxa"/>
            <w:gridSpan w:val="2"/>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92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r>
      <w:tr>
        <w:tblPrEx>
          <w:tblCellMar>
            <w:top w:w="15" w:type="dxa"/>
            <w:left w:w="15" w:type="dxa"/>
            <w:bottom w:w="15" w:type="dxa"/>
            <w:right w:w="15" w:type="dxa"/>
          </w:tblCellMar>
        </w:tblPrEx>
        <w:trPr>
          <w:trHeight w:val="300" w:hRule="atLeast"/>
        </w:trPr>
        <w:tc>
          <w:tcPr>
            <w:tcW w:w="569"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23" w:type="dxa"/>
            <w:gridSpan w:val="2"/>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83"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690"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789"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726"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928"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396"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371"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506"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295"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353"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814"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928" w:type="dxa"/>
            <w:gridSpan w:val="2"/>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923"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r>
      <w:tr>
        <w:tblPrEx>
          <w:tblCellMar>
            <w:top w:w="15" w:type="dxa"/>
            <w:left w:w="15" w:type="dxa"/>
            <w:bottom w:w="15" w:type="dxa"/>
            <w:right w:w="15" w:type="dxa"/>
          </w:tblCellMar>
        </w:tblPrEx>
        <w:trPr>
          <w:trHeight w:val="300" w:hRule="atLeast"/>
        </w:trPr>
        <w:tc>
          <w:tcPr>
            <w:tcW w:w="1275" w:type="dxa"/>
            <w:gridSpan w:val="4"/>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90"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78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2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9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7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50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295"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5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814"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gridSpan w:val="2"/>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275" w:type="dxa"/>
            <w:gridSpan w:val="4"/>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90"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78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2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9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7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50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295"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5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814"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gridSpan w:val="2"/>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275" w:type="dxa"/>
            <w:gridSpan w:val="4"/>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90"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78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2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9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7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50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295"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5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814"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gridSpan w:val="2"/>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275" w:type="dxa"/>
            <w:gridSpan w:val="4"/>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90"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78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2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9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7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50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295"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5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814"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gridSpan w:val="2"/>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275" w:type="dxa"/>
            <w:gridSpan w:val="4"/>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90"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78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2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9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7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50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295"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5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814"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gridSpan w:val="2"/>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275" w:type="dxa"/>
            <w:gridSpan w:val="4"/>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90"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78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2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9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7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50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295"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5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814"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gridSpan w:val="2"/>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bl>
    <w:p>
      <w:pPr>
        <w:rPr>
          <w:rFonts w:ascii="黑体" w:hAnsi="黑体" w:eastAsia="楷体_GB2312"/>
          <w:sz w:val="20"/>
        </w:rPr>
      </w:pPr>
      <w:r>
        <w:rPr>
          <w:rFonts w:hint="eastAsia" w:ascii="楷体_GB2312" w:hAnsi="仿宋" w:eastAsia="楷体_GB2312"/>
          <w:szCs w:val="32"/>
        </w:rPr>
        <w:t>审计局没有政府性基金收入，也没有使用政府性基金安排的支出，故本表无数据。</w:t>
      </w:r>
    </w:p>
    <w:p>
      <w:pPr>
        <w:ind w:firstLine="628" w:firstLineChars="200"/>
        <w:rPr>
          <w:rFonts w:ascii="黑体" w:hAnsi="黑体" w:eastAsia="黑体"/>
          <w:szCs w:val="32"/>
        </w:rPr>
      </w:pPr>
      <w:r>
        <w:rPr>
          <w:rFonts w:hint="eastAsia" w:ascii="黑体" w:hAnsi="黑体" w:eastAsia="黑体"/>
          <w:szCs w:val="32"/>
        </w:rPr>
        <w:t>第三部分 八公山区审计局2018年度部门决算情况说明</w:t>
      </w:r>
    </w:p>
    <w:p>
      <w:pPr>
        <w:ind w:firstLine="628" w:firstLineChars="200"/>
        <w:rPr>
          <w:rFonts w:ascii="黑体" w:hAnsi="黑体" w:eastAsia="黑体"/>
          <w:szCs w:val="32"/>
        </w:rPr>
      </w:pPr>
      <w:r>
        <w:rPr>
          <w:rFonts w:hint="eastAsia" w:ascii="黑体" w:hAnsi="黑体" w:eastAsia="黑体"/>
          <w:szCs w:val="32"/>
        </w:rPr>
        <w:t>一、收入支出决算总体情况说明</w:t>
      </w:r>
    </w:p>
    <w:p>
      <w:pPr>
        <w:ind w:firstLine="628" w:firstLineChars="200"/>
        <w:rPr>
          <w:rFonts w:ascii="仿宋_GB2312" w:hAnsi="仿宋"/>
          <w:szCs w:val="32"/>
        </w:rPr>
      </w:pPr>
      <w:r>
        <w:rPr>
          <w:rFonts w:hint="eastAsia" w:ascii="仿宋_GB2312" w:hAnsi="仿宋"/>
          <w:szCs w:val="32"/>
        </w:rPr>
        <w:t>2018年度收入总计89.99万元（含用事业基金弥补收支差额和年初结转结余）、支出总计89.99万元（含结余分配和年末结转和结余）。与2017年相比，收、支总计各增加17.55万元，增长19.5%，主要原因：一是投资审计劳务费增加；二是政府购买服务人员工资计入本单位工资福利支出。</w:t>
      </w:r>
    </w:p>
    <w:p>
      <w:pPr>
        <w:ind w:firstLine="628" w:firstLineChars="200"/>
        <w:rPr>
          <w:rFonts w:ascii="黑体" w:hAnsi="仿宋" w:eastAsia="黑体"/>
          <w:szCs w:val="32"/>
        </w:rPr>
      </w:pPr>
      <w:r>
        <w:rPr>
          <w:rFonts w:hint="eastAsia" w:ascii="黑体" w:hAnsi="仿宋" w:eastAsia="黑体"/>
          <w:szCs w:val="32"/>
        </w:rPr>
        <w:t>二、收入决算情况说明</w:t>
      </w:r>
    </w:p>
    <w:p>
      <w:pPr>
        <w:ind w:firstLine="628" w:firstLineChars="200"/>
        <w:rPr>
          <w:rFonts w:ascii="仿宋_GB2312" w:hAnsi="仿宋"/>
          <w:szCs w:val="32"/>
        </w:rPr>
      </w:pPr>
      <w:r>
        <w:rPr>
          <w:rFonts w:hint="eastAsia" w:ascii="仿宋_GB2312" w:hAnsi="仿宋"/>
          <w:szCs w:val="32"/>
        </w:rPr>
        <w:t>2018年度收入合计89.99万元，其中：财政拨款收入89.99万元，占100%；事业收入0万元，占0%；经营收入0万元，占0%；其他收入0万元，占0%。</w:t>
      </w:r>
    </w:p>
    <w:p>
      <w:pPr>
        <w:ind w:firstLine="628" w:firstLineChars="200"/>
        <w:rPr>
          <w:rFonts w:ascii="黑体" w:hAnsi="仿宋" w:eastAsia="黑体"/>
          <w:szCs w:val="32"/>
        </w:rPr>
      </w:pPr>
      <w:r>
        <w:rPr>
          <w:rFonts w:hint="eastAsia" w:ascii="黑体" w:hAnsi="仿宋" w:eastAsia="黑体"/>
          <w:szCs w:val="32"/>
        </w:rPr>
        <w:t>三、支出决算情况说明</w:t>
      </w:r>
    </w:p>
    <w:p>
      <w:pPr>
        <w:ind w:firstLine="628" w:firstLineChars="200"/>
        <w:rPr>
          <w:rFonts w:ascii="仿宋_GB2312" w:hAnsi="仿宋"/>
          <w:szCs w:val="32"/>
        </w:rPr>
      </w:pPr>
      <w:r>
        <w:rPr>
          <w:rFonts w:hint="eastAsia" w:ascii="仿宋_GB2312" w:hAnsi="仿宋"/>
          <w:szCs w:val="32"/>
        </w:rPr>
        <w:t>2018年度支出合计89.99万元，其中：基本支出18.08万元，占20.09%；项目支出71.91万元，占79.91%；经营支出0万元，占0%。</w:t>
      </w:r>
    </w:p>
    <w:p>
      <w:pPr>
        <w:ind w:firstLine="628" w:firstLineChars="200"/>
        <w:rPr>
          <w:rFonts w:ascii="黑体" w:hAnsi="仿宋" w:eastAsia="黑体"/>
          <w:szCs w:val="32"/>
        </w:rPr>
      </w:pPr>
      <w:r>
        <w:rPr>
          <w:rFonts w:hint="eastAsia" w:ascii="黑体" w:hAnsi="仿宋" w:eastAsia="黑体"/>
          <w:szCs w:val="32"/>
        </w:rPr>
        <w:t>四、</w:t>
      </w:r>
      <w:r>
        <w:rPr>
          <w:rFonts w:hint="eastAsia" w:ascii="黑体" w:eastAsia="黑体"/>
          <w:szCs w:val="32"/>
        </w:rPr>
        <w:t>财政拨款收入支出决算总体情况说明</w:t>
      </w:r>
    </w:p>
    <w:p>
      <w:pPr>
        <w:ind w:firstLine="628" w:firstLineChars="200"/>
        <w:rPr>
          <w:rFonts w:ascii="仿宋_GB2312" w:hAnsi="仿宋"/>
          <w:szCs w:val="32"/>
        </w:rPr>
      </w:pPr>
      <w:r>
        <w:rPr>
          <w:rFonts w:hint="eastAsia" w:ascii="仿宋_GB2312" w:hAnsi="仿宋"/>
          <w:szCs w:val="32"/>
        </w:rPr>
        <w:t>2018年度财政拨款收入总计89.99万元（含年初财政拨款结转和结余），支出总计89.99万元（含年末财政拨款结转和结余）。与2017年相比，财政拨款收、支总计各增加17.55万元，增长19.5%，主要原因：一是投资审计劳务费增加；二是政府购买服务人员工资计入本单位工资福利支出。</w:t>
      </w:r>
    </w:p>
    <w:p>
      <w:pPr>
        <w:ind w:firstLine="628" w:firstLineChars="200"/>
        <w:rPr>
          <w:rFonts w:ascii="黑体" w:hAnsi="仿宋" w:eastAsia="黑体"/>
          <w:szCs w:val="32"/>
        </w:rPr>
      </w:pPr>
      <w:r>
        <w:rPr>
          <w:rFonts w:hint="eastAsia" w:ascii="黑体" w:hAnsi="仿宋" w:eastAsia="黑体"/>
          <w:szCs w:val="32"/>
        </w:rPr>
        <w:t>五、一般公共预算财政拨款收入支出决算情况说明</w:t>
      </w:r>
    </w:p>
    <w:p>
      <w:pPr>
        <w:ind w:firstLine="628" w:firstLineChars="200"/>
        <w:rPr>
          <w:rFonts w:ascii="仿宋_GB2312" w:hAnsi="仿宋"/>
          <w:b/>
          <w:bCs/>
          <w:szCs w:val="32"/>
        </w:rPr>
      </w:pPr>
      <w:r>
        <w:rPr>
          <w:rFonts w:hint="eastAsia" w:ascii="仿宋_GB2312" w:hAnsi="仿宋"/>
          <w:b/>
          <w:bCs/>
          <w:szCs w:val="32"/>
        </w:rPr>
        <w:t>（一）</w:t>
      </w:r>
      <w:r>
        <w:rPr>
          <w:rFonts w:hint="eastAsia" w:ascii="黑体" w:hAnsi="仿宋" w:eastAsia="黑体"/>
          <w:szCs w:val="32"/>
        </w:rPr>
        <w:t xml:space="preserve"> </w:t>
      </w:r>
      <w:r>
        <w:rPr>
          <w:rFonts w:hint="eastAsia" w:ascii="仿宋_GB2312" w:hAnsi="仿宋"/>
          <w:b/>
          <w:bCs/>
          <w:szCs w:val="32"/>
        </w:rPr>
        <w:t>一般公共预算财政拨款收入决算总体情况</w:t>
      </w:r>
    </w:p>
    <w:p>
      <w:pPr>
        <w:ind w:firstLine="628" w:firstLineChars="200"/>
        <w:rPr>
          <w:rFonts w:ascii="仿宋_GB2312" w:hAnsi="仿宋"/>
          <w:szCs w:val="32"/>
        </w:rPr>
      </w:pPr>
      <w:r>
        <w:rPr>
          <w:rFonts w:hint="eastAsia" w:ascii="仿宋_GB2312" w:hAnsi="仿宋"/>
          <w:szCs w:val="32"/>
        </w:rPr>
        <w:t>2018年度一般公共预算财政拨款收入89.99万元，占本年收入的100%。与2017年相比，一般公共预算财政拨款收入增加17.55万元，增长19.5%。主要原因一是投资审计劳务费增加；二是政府购买服务人员工资计入本单位工资福利支出。</w:t>
      </w:r>
    </w:p>
    <w:p>
      <w:pPr>
        <w:ind w:firstLine="628" w:firstLineChars="200"/>
        <w:rPr>
          <w:rFonts w:ascii="仿宋_GB2312" w:hAnsi="仿宋"/>
          <w:b/>
          <w:bCs/>
          <w:szCs w:val="32"/>
        </w:rPr>
      </w:pPr>
      <w:r>
        <w:rPr>
          <w:rFonts w:hint="eastAsia" w:ascii="仿宋_GB2312" w:hAnsi="仿宋"/>
          <w:b/>
          <w:bCs/>
          <w:szCs w:val="32"/>
        </w:rPr>
        <w:t>（二）一般公共预算财政拨款支出决算总体情况</w:t>
      </w:r>
    </w:p>
    <w:p>
      <w:pPr>
        <w:ind w:firstLine="628" w:firstLineChars="200"/>
        <w:rPr>
          <w:rFonts w:ascii="仿宋_GB2312" w:hAnsi="仿宋"/>
          <w:szCs w:val="32"/>
        </w:rPr>
      </w:pPr>
      <w:r>
        <w:rPr>
          <w:rFonts w:hint="eastAsia" w:ascii="仿宋_GB2312" w:hAnsi="仿宋"/>
          <w:szCs w:val="32"/>
        </w:rPr>
        <w:t>2018年度一般公共预算财政拨款支出89.99万元，占本年支出的100%。与2017年相比，一般公共预算财政拨款支出增加17.55万元，增长19.5%。主要原因一是投资审计劳务费增加；二是政府购买服务人员工资计入本单位工资福利支出。</w:t>
      </w:r>
    </w:p>
    <w:p>
      <w:pPr>
        <w:ind w:firstLine="628" w:firstLineChars="200"/>
        <w:rPr>
          <w:rFonts w:ascii="仿宋_GB2312" w:hAnsi="仿宋"/>
          <w:b/>
          <w:szCs w:val="32"/>
        </w:rPr>
      </w:pPr>
      <w:r>
        <w:rPr>
          <w:rFonts w:hint="eastAsia" w:ascii="仿宋_GB2312" w:hAnsi="仿宋"/>
          <w:b/>
          <w:szCs w:val="32"/>
        </w:rPr>
        <w:t>（三）一般公共预算财政拨款支出决算结构情况</w:t>
      </w:r>
    </w:p>
    <w:p>
      <w:pPr>
        <w:ind w:firstLine="628" w:firstLineChars="200"/>
        <w:rPr>
          <w:rFonts w:ascii="仿宋_GB2312" w:hAnsi="仿宋"/>
          <w:szCs w:val="32"/>
        </w:rPr>
      </w:pPr>
      <w:r>
        <w:rPr>
          <w:rFonts w:hint="eastAsia" w:ascii="仿宋_GB2312" w:hAnsi="仿宋"/>
          <w:szCs w:val="32"/>
        </w:rPr>
        <w:t>2018年一般公共预算财政拨款支出89.99万元，主要用于以下方面：</w:t>
      </w:r>
      <w:r>
        <w:rPr>
          <w:rFonts w:hint="eastAsia" w:ascii="仿宋_GB2312" w:hAnsi="仿宋"/>
          <w:b/>
          <w:szCs w:val="32"/>
        </w:rPr>
        <w:t>一般公共服务（类）</w:t>
      </w:r>
      <w:r>
        <w:rPr>
          <w:rFonts w:hint="eastAsia" w:ascii="仿宋_GB2312" w:hAnsi="仿宋"/>
          <w:szCs w:val="32"/>
        </w:rPr>
        <w:t>支出85.56万元，占95.08%;</w:t>
      </w:r>
      <w:r>
        <w:rPr>
          <w:rFonts w:hint="eastAsia" w:ascii="仿宋_GB2312" w:hAnsi="仿宋"/>
          <w:b/>
          <w:szCs w:val="32"/>
        </w:rPr>
        <w:t>医疗卫生与计划生育（类）</w:t>
      </w:r>
      <w:r>
        <w:rPr>
          <w:rFonts w:hint="eastAsia" w:ascii="仿宋_GB2312" w:hAnsi="仿宋"/>
          <w:szCs w:val="32"/>
        </w:rPr>
        <w:t>支出0.48万元，占0.54%；</w:t>
      </w:r>
      <w:r>
        <w:rPr>
          <w:rFonts w:hint="eastAsia" w:ascii="仿宋_GB2312" w:hAnsi="仿宋"/>
          <w:b/>
          <w:szCs w:val="32"/>
        </w:rPr>
        <w:t>城乡社区（类）</w:t>
      </w:r>
      <w:r>
        <w:rPr>
          <w:rFonts w:hint="eastAsia" w:ascii="仿宋_GB2312" w:hAnsi="仿宋"/>
          <w:szCs w:val="32"/>
        </w:rPr>
        <w:t>支出0.86万元，占0.95%；</w:t>
      </w:r>
      <w:r>
        <w:rPr>
          <w:rFonts w:hint="eastAsia" w:ascii="仿宋_GB2312" w:hAnsi="仿宋"/>
          <w:b/>
          <w:szCs w:val="32"/>
        </w:rPr>
        <w:t>住房保障（类）</w:t>
      </w:r>
      <w:r>
        <w:rPr>
          <w:rFonts w:hint="eastAsia" w:ascii="仿宋_GB2312" w:hAnsi="仿宋"/>
          <w:szCs w:val="32"/>
        </w:rPr>
        <w:t>支出3.09万元，占3.43%。</w:t>
      </w:r>
    </w:p>
    <w:p>
      <w:pPr>
        <w:ind w:firstLine="628" w:firstLineChars="200"/>
        <w:rPr>
          <w:rFonts w:ascii="仿宋_GB2312" w:hAnsi="仿宋"/>
          <w:b/>
          <w:bCs/>
          <w:szCs w:val="32"/>
        </w:rPr>
      </w:pPr>
      <w:r>
        <w:rPr>
          <w:rFonts w:hint="eastAsia" w:ascii="仿宋_GB2312" w:hAnsi="仿宋"/>
          <w:b/>
          <w:bCs/>
          <w:szCs w:val="32"/>
        </w:rPr>
        <w:t>（四）</w:t>
      </w:r>
      <w:r>
        <w:rPr>
          <w:rFonts w:hint="eastAsia" w:ascii="黑体" w:hAnsi="仿宋" w:eastAsia="黑体"/>
          <w:szCs w:val="32"/>
        </w:rPr>
        <w:t xml:space="preserve"> </w:t>
      </w:r>
      <w:r>
        <w:rPr>
          <w:rFonts w:hint="eastAsia" w:ascii="仿宋_GB2312" w:hAnsi="仿宋"/>
          <w:b/>
          <w:bCs/>
          <w:szCs w:val="32"/>
        </w:rPr>
        <w:t>一般公共预算财政拨款支出决算具体情况</w:t>
      </w:r>
    </w:p>
    <w:p>
      <w:pPr>
        <w:ind w:firstLine="628" w:firstLineChars="200"/>
        <w:rPr>
          <w:rFonts w:ascii="仿宋_GB2312" w:hAnsi="仿宋"/>
          <w:szCs w:val="32"/>
        </w:rPr>
      </w:pPr>
      <w:r>
        <w:rPr>
          <w:rFonts w:hint="eastAsia" w:ascii="仿宋_GB2312" w:hAnsi="仿宋"/>
          <w:szCs w:val="32"/>
        </w:rPr>
        <w:t>2018年度一般公共预算财政拨款支出年初预算为76.54万元，支出决算为89.99万元，完成年初预算的100%。决算数大于预算数的主要原因:投资审计费用增加。其中:基本支出18.08万元，占20.09%；项目支出71.91万元，占79.91%。具体情况如下：</w:t>
      </w:r>
    </w:p>
    <w:p>
      <w:pPr>
        <w:numPr>
          <w:ilvl w:val="0"/>
          <w:numId w:val="3"/>
        </w:numPr>
        <w:ind w:firstLine="628" w:firstLineChars="200"/>
        <w:rPr>
          <w:rFonts w:ascii="仿宋_GB2312" w:hAnsi="仿宋"/>
          <w:szCs w:val="32"/>
        </w:rPr>
      </w:pPr>
      <w:r>
        <w:rPr>
          <w:rFonts w:hint="eastAsia" w:ascii="仿宋_GB2312" w:hAnsi="仿宋"/>
          <w:bCs/>
          <w:szCs w:val="32"/>
        </w:rPr>
        <w:t>一般公共服务审计业务</w:t>
      </w:r>
      <w:r>
        <w:rPr>
          <w:rFonts w:hint="eastAsia" w:ascii="仿宋_GB2312" w:hAnsi="仿宋"/>
          <w:szCs w:val="32"/>
        </w:rPr>
        <w:t>年初预算为68.18万元，支出决算为85.56万元，完成年初预算的100%，决算数大于预算数的主要原因:投资审计费用增加。</w:t>
      </w:r>
    </w:p>
    <w:p>
      <w:pPr>
        <w:ind w:firstLine="628" w:firstLineChars="200"/>
        <w:rPr>
          <w:rFonts w:ascii="仿宋_GB2312" w:hAnsi="仿宋"/>
          <w:szCs w:val="32"/>
        </w:rPr>
      </w:pPr>
      <w:r>
        <w:rPr>
          <w:rFonts w:hint="eastAsia" w:ascii="仿宋_GB2312" w:hAnsi="仿宋"/>
          <w:szCs w:val="32"/>
        </w:rPr>
        <w:t>2.</w:t>
      </w:r>
      <w:r>
        <w:rPr>
          <w:rFonts w:hint="eastAsia" w:ascii="仿宋_GB2312" w:hAnsi="仿宋"/>
          <w:bCs/>
          <w:szCs w:val="32"/>
        </w:rPr>
        <w:t>医疗卫生与计划生育行政事业单位医疗行政单位医疗</w:t>
      </w:r>
      <w:r>
        <w:rPr>
          <w:rFonts w:hint="eastAsia" w:ascii="仿宋_GB2312" w:hAnsi="仿宋"/>
          <w:szCs w:val="32"/>
        </w:rPr>
        <w:t>年初预算为1.04万元，支出决算为0.48万元，完成年初预算的46.15%，决算数小于预算数的主要原因是做2018年预算是把城乡社区（类）预算计入医疗卫生与计划生育（类）预算。</w:t>
      </w:r>
    </w:p>
    <w:p>
      <w:pPr>
        <w:ind w:firstLine="628" w:firstLineChars="200"/>
        <w:rPr>
          <w:rFonts w:ascii="仿宋_GB2312" w:hAnsi="仿宋"/>
          <w:szCs w:val="32"/>
        </w:rPr>
      </w:pPr>
      <w:r>
        <w:rPr>
          <w:rFonts w:hint="eastAsia" w:ascii="仿宋_GB2312" w:hAnsi="仿宋"/>
          <w:szCs w:val="32"/>
        </w:rPr>
        <w:t>3.城乡社区其他城乡社区管理事务年初预算为0万元，支出决算为0.86万元，完成年初预算的100%，决算数大于预算数的主要原因是做2018年预算时把城乡社区（类）预算计入医疗卫生与计划生育（类）预算。</w:t>
      </w:r>
    </w:p>
    <w:p>
      <w:pPr>
        <w:ind w:firstLine="628" w:firstLineChars="200"/>
        <w:rPr>
          <w:rFonts w:ascii="仿宋_GB2312" w:hAnsi="仿宋"/>
          <w:szCs w:val="32"/>
        </w:rPr>
      </w:pPr>
      <w:r>
        <w:rPr>
          <w:rFonts w:hint="eastAsia" w:ascii="仿宋_GB2312" w:hAnsi="仿宋"/>
          <w:szCs w:val="32"/>
        </w:rPr>
        <w:t>4.住房保障住房改革支出住房公积金年初预算为2.43万元，支出决算为3.09万元，完成年初预算的100%，决算数大于预算数的主要原因是2018年实际工资基数大于2018年预算工资基数。</w:t>
      </w:r>
    </w:p>
    <w:p>
      <w:pPr>
        <w:ind w:firstLine="628" w:firstLineChars="200"/>
        <w:rPr>
          <w:rFonts w:ascii="黑体" w:hAnsi="仿宋" w:eastAsia="黑体"/>
          <w:szCs w:val="32"/>
        </w:rPr>
      </w:pPr>
      <w:r>
        <w:rPr>
          <w:rFonts w:hint="eastAsia" w:ascii="黑体" w:hAnsi="仿宋" w:eastAsia="黑体"/>
          <w:szCs w:val="32"/>
        </w:rPr>
        <w:t>六、一般公共预算财政拨款基本支出决算情况说明</w:t>
      </w:r>
    </w:p>
    <w:p>
      <w:pPr>
        <w:ind w:firstLine="628" w:firstLineChars="200"/>
        <w:rPr>
          <w:rFonts w:ascii="仿宋_GB2312" w:hAnsi="仿宋"/>
          <w:szCs w:val="32"/>
        </w:rPr>
      </w:pPr>
      <w:r>
        <w:rPr>
          <w:rFonts w:hint="eastAsia" w:ascii="仿宋_GB2312" w:hAnsi="仿宋"/>
          <w:szCs w:val="32"/>
        </w:rPr>
        <w:t>2018年度财政拨款基本支出18.08万元，其中人员经费15.06万元，主要包括：基本工资、津贴补贴、奖金、机关事业单位基本养老保险缴费、其他社会保障缴费、住房公积金；公用经费3.02万元，主要包括：劳务费、福利费、其他交通费用、其他商品和服务支出、办公设备购置。</w:t>
      </w:r>
    </w:p>
    <w:p>
      <w:pPr>
        <w:ind w:firstLine="628" w:firstLineChars="200"/>
        <w:rPr>
          <w:rFonts w:ascii="黑体" w:hAnsi="黑体" w:eastAsia="黑体"/>
          <w:szCs w:val="32"/>
        </w:rPr>
      </w:pPr>
      <w:r>
        <w:rPr>
          <w:rFonts w:hint="eastAsia" w:ascii="黑体" w:hAnsi="仿宋" w:eastAsia="黑体"/>
          <w:szCs w:val="32"/>
        </w:rPr>
        <w:t>七、</w:t>
      </w:r>
      <w:r>
        <w:rPr>
          <w:rFonts w:hint="eastAsia" w:ascii="黑体" w:hAnsi="黑体" w:eastAsia="黑体"/>
          <w:szCs w:val="32"/>
        </w:rPr>
        <w:t>政府性基金财政拨款收入支出决算情况说明</w:t>
      </w:r>
    </w:p>
    <w:p>
      <w:pPr>
        <w:ind w:firstLine="628" w:firstLineChars="200"/>
        <w:rPr>
          <w:rFonts w:ascii="楷体_GB2312" w:hAnsi="仿宋" w:eastAsia="楷体_GB2312"/>
          <w:szCs w:val="32"/>
        </w:rPr>
      </w:pPr>
      <w:r>
        <w:rPr>
          <w:rFonts w:hint="eastAsia" w:ascii="仿宋_GB2312" w:hAnsi="仿宋"/>
          <w:szCs w:val="32"/>
        </w:rPr>
        <w:t>审计局没有政府性基金收入，也没有使用政府性基金安排的支出。</w:t>
      </w:r>
    </w:p>
    <w:p>
      <w:pPr>
        <w:adjustRightInd w:val="0"/>
        <w:snapToGrid w:val="0"/>
        <w:spacing w:line="600" w:lineRule="exact"/>
        <w:ind w:firstLine="628" w:firstLineChars="200"/>
        <w:rPr>
          <w:rFonts w:ascii="黑体" w:hAnsi="黑体" w:eastAsia="黑体"/>
          <w:szCs w:val="32"/>
        </w:rPr>
      </w:pPr>
      <w:r>
        <w:rPr>
          <w:rFonts w:hint="eastAsia" w:ascii="黑体" w:hAnsi="黑体" w:eastAsia="黑体"/>
          <w:szCs w:val="32"/>
        </w:rPr>
        <w:t>八、其他重要事项的情况说明</w:t>
      </w:r>
    </w:p>
    <w:p>
      <w:pPr>
        <w:adjustRightInd w:val="0"/>
        <w:snapToGrid w:val="0"/>
        <w:spacing w:line="600" w:lineRule="exact"/>
        <w:ind w:firstLine="628" w:firstLineChars="200"/>
        <w:rPr>
          <w:rFonts w:ascii="仿宋_GB2312" w:hAnsi="楷体"/>
          <w:b/>
          <w:szCs w:val="32"/>
        </w:rPr>
      </w:pPr>
      <w:r>
        <w:rPr>
          <w:rFonts w:hint="eastAsia" w:ascii="仿宋_GB2312" w:hAnsi="楷体"/>
          <w:b/>
          <w:szCs w:val="32"/>
        </w:rPr>
        <w:t>（一）机关运行经费支出情况</w:t>
      </w:r>
    </w:p>
    <w:p>
      <w:pPr>
        <w:adjustRightInd w:val="0"/>
        <w:snapToGrid w:val="0"/>
        <w:spacing w:line="600" w:lineRule="exact"/>
        <w:ind w:firstLine="628" w:firstLineChars="200"/>
        <w:rPr>
          <w:rFonts w:ascii="仿宋_GB2312" w:hAnsi="仿宋"/>
          <w:szCs w:val="32"/>
        </w:rPr>
      </w:pPr>
      <w:r>
        <w:rPr>
          <w:rFonts w:hint="eastAsia" w:ascii="仿宋_GB2312" w:hAnsi="仿宋"/>
          <w:szCs w:val="32"/>
        </w:rPr>
        <w:t>2018年度，八公山区审计局机关运行经费支出3.02万元，比2017年减少8.71万元，下降74.25%，主要原因是</w:t>
      </w:r>
      <w:r>
        <w:rPr>
          <w:rFonts w:hint="eastAsia" w:ascii="仿宋_GB2312" w:hAnsi="仿宋"/>
          <w:szCs w:val="32"/>
          <w:lang w:eastAsia="zh-CN"/>
        </w:rPr>
        <w:t>厉行节约</w:t>
      </w:r>
      <w:r>
        <w:rPr>
          <w:rFonts w:hint="eastAsia" w:ascii="仿宋_GB2312" w:hAnsi="仿宋"/>
          <w:szCs w:val="32"/>
        </w:rPr>
        <w:t>，压缩一般性支出。</w:t>
      </w:r>
    </w:p>
    <w:p>
      <w:pPr>
        <w:adjustRightInd w:val="0"/>
        <w:snapToGrid w:val="0"/>
        <w:spacing w:line="600" w:lineRule="exact"/>
        <w:ind w:firstLine="628" w:firstLineChars="200"/>
        <w:rPr>
          <w:rFonts w:ascii="仿宋_GB2312" w:hAnsi="楷体"/>
          <w:b/>
          <w:szCs w:val="32"/>
        </w:rPr>
      </w:pPr>
      <w:r>
        <w:rPr>
          <w:rFonts w:hint="eastAsia" w:ascii="仿宋_GB2312" w:hAnsi="楷体"/>
          <w:b/>
          <w:szCs w:val="32"/>
        </w:rPr>
        <w:t>（二）政府采购支出情况</w:t>
      </w:r>
    </w:p>
    <w:p>
      <w:pPr>
        <w:adjustRightInd w:val="0"/>
        <w:snapToGrid w:val="0"/>
        <w:spacing w:line="600" w:lineRule="exact"/>
        <w:ind w:firstLine="628" w:firstLineChars="200"/>
        <w:rPr>
          <w:rFonts w:ascii="仿宋_GB2312" w:hAnsi="楷体"/>
          <w:szCs w:val="32"/>
        </w:rPr>
      </w:pPr>
      <w:r>
        <w:rPr>
          <w:rFonts w:hint="eastAsia" w:ascii="仿宋_GB2312" w:hAnsi="仿宋"/>
          <w:szCs w:val="32"/>
        </w:rPr>
        <w:t>2018年度，八公山区审计局政府采购支出总额0.99万元，其中：政府采购货物支出0.99万元，占政府采购支出总额的100%。</w:t>
      </w:r>
    </w:p>
    <w:p>
      <w:pPr>
        <w:adjustRightInd w:val="0"/>
        <w:snapToGrid w:val="0"/>
        <w:spacing w:line="600" w:lineRule="exact"/>
        <w:ind w:firstLine="628" w:firstLineChars="200"/>
        <w:rPr>
          <w:rFonts w:ascii="仿宋_GB2312" w:hAnsi="楷体"/>
          <w:b/>
          <w:szCs w:val="32"/>
        </w:rPr>
      </w:pPr>
      <w:r>
        <w:rPr>
          <w:rFonts w:hint="eastAsia" w:ascii="仿宋_GB2312" w:hAnsi="楷体"/>
          <w:b/>
          <w:szCs w:val="32"/>
        </w:rPr>
        <w:t>（三）国有资产占有使用情况</w:t>
      </w:r>
    </w:p>
    <w:p>
      <w:pPr>
        <w:adjustRightInd w:val="0"/>
        <w:snapToGrid w:val="0"/>
        <w:spacing w:line="600" w:lineRule="exact"/>
        <w:ind w:firstLine="628" w:firstLineChars="200"/>
        <w:rPr>
          <w:rFonts w:ascii="仿宋_GB2312" w:hAnsi="仿宋"/>
          <w:b/>
          <w:bCs/>
          <w:szCs w:val="32"/>
        </w:rPr>
      </w:pPr>
      <w:r>
        <w:rPr>
          <w:rFonts w:hint="eastAsia" w:ascii="仿宋_GB2312" w:hAnsi="楷体"/>
          <w:szCs w:val="32"/>
        </w:rPr>
        <w:t>截至2018年12月31日，</w:t>
      </w:r>
      <w:r>
        <w:rPr>
          <w:rFonts w:hint="eastAsia" w:ascii="仿宋_GB2312" w:hAnsi="仿宋"/>
          <w:szCs w:val="32"/>
        </w:rPr>
        <w:t>八公山区审计局共有车辆0辆，单价50万元以上的通用设备0台（套），单价100万以上专用设备0台（套）。</w:t>
      </w:r>
      <w:r>
        <w:rPr>
          <w:rFonts w:ascii="仿宋_GB2312" w:hAnsi="仿宋"/>
          <w:szCs w:val="32"/>
        </w:rPr>
        <w:br w:type="textWrapping"/>
      </w:r>
      <w:r>
        <w:rPr>
          <w:rFonts w:hint="eastAsia" w:ascii="仿宋_GB2312" w:hAnsi="仿宋"/>
          <w:szCs w:val="32"/>
        </w:rPr>
        <w:t xml:space="preserve"> </w:t>
      </w:r>
      <w:r>
        <w:rPr>
          <w:rFonts w:hint="eastAsia" w:ascii="仿宋_GB2312" w:hAnsi="仿宋"/>
          <w:b/>
          <w:bCs/>
          <w:i/>
          <w:iCs/>
          <w:szCs w:val="32"/>
        </w:rPr>
        <w:t xml:space="preserve"> </w:t>
      </w:r>
      <w:r>
        <w:rPr>
          <w:rFonts w:hint="eastAsia" w:ascii="仿宋_GB2312" w:hAnsi="仿宋"/>
          <w:szCs w:val="32"/>
        </w:rPr>
        <w:t xml:space="preserve"> </w:t>
      </w:r>
      <w:r>
        <w:rPr>
          <w:rFonts w:hint="eastAsia" w:ascii="仿宋_GB2312" w:hAnsi="仿宋"/>
          <w:b/>
          <w:bCs/>
          <w:szCs w:val="32"/>
        </w:rPr>
        <w:t>（四）关于2018年度预算绩效情况说明</w:t>
      </w:r>
    </w:p>
    <w:p>
      <w:pPr>
        <w:adjustRightInd w:val="0"/>
        <w:snapToGrid w:val="0"/>
        <w:spacing w:line="600" w:lineRule="exact"/>
        <w:ind w:firstLine="628" w:firstLineChars="200"/>
        <w:rPr>
          <w:rFonts w:ascii="楷体_GB2312" w:hAnsi="仿宋" w:eastAsia="楷体_GB2312"/>
          <w:szCs w:val="32"/>
        </w:rPr>
      </w:pPr>
      <w:r>
        <w:rPr>
          <w:rFonts w:hint="eastAsia" w:ascii="仿宋_GB2312" w:hAnsi="仿宋"/>
          <w:szCs w:val="32"/>
        </w:rPr>
        <w:t>根据预算绩效管理要求，八公山区审计局组织对2018年度纳入部门预算的项目支出全面开展了绩效自评，全部是工程审计费用，涉及资金71.91万元，占项目预算总额的100%。评价结果显示，达到了预期绩效目标。</w:t>
      </w:r>
    </w:p>
    <w:p>
      <w:pPr>
        <w:adjustRightInd w:val="0"/>
        <w:snapToGrid w:val="0"/>
        <w:spacing w:line="600" w:lineRule="exact"/>
        <w:ind w:firstLine="628" w:firstLineChars="200"/>
        <w:rPr>
          <w:rFonts w:ascii="楷体_GB2312" w:hAnsi="仿宋" w:eastAsia="楷体_GB2312"/>
          <w:szCs w:val="32"/>
        </w:rPr>
      </w:pPr>
      <w:r>
        <w:rPr>
          <w:rFonts w:hint="eastAsia"/>
        </w:rPr>
        <w:t>组织开展2018年度部门整体支出绩效评价。评价结果显示，</w:t>
      </w:r>
      <w:r>
        <w:rPr>
          <w:rFonts w:hint="eastAsia" w:ascii="仿宋_GB2312" w:hAnsi="仿宋"/>
          <w:szCs w:val="32"/>
        </w:rPr>
        <w:t>达到了预期绩效目标</w:t>
      </w:r>
      <w:r>
        <w:rPr>
          <w:rFonts w:hint="eastAsia" w:ascii="楷体_GB2312" w:hAnsi="仿宋" w:eastAsia="楷体_GB2312"/>
          <w:szCs w:val="32"/>
        </w:rPr>
        <w:t>。</w:t>
      </w:r>
    </w:p>
    <w:p>
      <w:pPr>
        <w:adjustRightInd w:val="0"/>
        <w:snapToGrid w:val="0"/>
        <w:spacing w:line="600" w:lineRule="exact"/>
        <w:ind w:firstLine="628" w:firstLineChars="200"/>
        <w:rPr>
          <w:rFonts w:ascii="黑体" w:hAnsi="黑体" w:eastAsia="黑体"/>
          <w:szCs w:val="32"/>
        </w:rPr>
      </w:pPr>
      <w:r>
        <w:rPr>
          <w:rFonts w:hint="eastAsia" w:ascii="黑体" w:hAnsi="黑体" w:eastAsia="黑体"/>
          <w:szCs w:val="32"/>
        </w:rPr>
        <w:t>第四部分 名词解释</w:t>
      </w:r>
    </w:p>
    <w:p>
      <w:pPr>
        <w:adjustRightInd w:val="0"/>
        <w:snapToGrid w:val="0"/>
        <w:spacing w:line="600" w:lineRule="exact"/>
        <w:ind w:firstLine="628" w:firstLineChars="200"/>
        <w:rPr>
          <w:rFonts w:ascii="仿宋_GB2312" w:hAnsi="仿宋"/>
          <w:szCs w:val="32"/>
        </w:rPr>
      </w:pPr>
      <w:r>
        <w:rPr>
          <w:rFonts w:hint="eastAsia" w:ascii="仿宋_GB2312" w:hAnsi="仿宋"/>
          <w:b/>
          <w:szCs w:val="32"/>
        </w:rPr>
        <w:t>一、财政拨款收入：</w:t>
      </w:r>
      <w:r>
        <w:rPr>
          <w:rFonts w:hint="eastAsia" w:ascii="仿宋_GB2312" w:hAnsi="仿宋"/>
          <w:szCs w:val="32"/>
        </w:rPr>
        <w:t>指单位从同级财政部门取得的财政预算资金。</w:t>
      </w:r>
    </w:p>
    <w:p>
      <w:pPr>
        <w:adjustRightInd w:val="0"/>
        <w:snapToGrid w:val="0"/>
        <w:spacing w:line="600" w:lineRule="exact"/>
        <w:ind w:firstLine="628" w:firstLineChars="200"/>
        <w:rPr>
          <w:rFonts w:ascii="仿宋_GB2312" w:hAnsi="仿宋"/>
          <w:szCs w:val="32"/>
        </w:rPr>
      </w:pPr>
      <w:r>
        <w:rPr>
          <w:rFonts w:hint="eastAsia" w:ascii="仿宋_GB2312" w:hAnsi="仿宋"/>
          <w:b/>
          <w:bCs/>
          <w:szCs w:val="32"/>
        </w:rPr>
        <w:t>二、事业收入：</w:t>
      </w:r>
      <w:r>
        <w:rPr>
          <w:rFonts w:hint="eastAsia" w:ascii="仿宋_GB2312" w:hAnsi="仿宋"/>
          <w:szCs w:val="32"/>
        </w:rPr>
        <w:t>指事业单位开展专业业务活动及辅助活动所取得的收入。</w:t>
      </w:r>
    </w:p>
    <w:p>
      <w:pPr>
        <w:pStyle w:val="6"/>
        <w:adjustRightInd w:val="0"/>
        <w:snapToGrid w:val="0"/>
        <w:spacing w:line="600" w:lineRule="exact"/>
        <w:ind w:firstLine="616" w:firstLineChars="196"/>
        <w:rPr>
          <w:rFonts w:ascii="仿宋_GB2312" w:hAnsi="黑体"/>
          <w:b/>
          <w:bCs/>
          <w:szCs w:val="32"/>
        </w:rPr>
      </w:pPr>
      <w:r>
        <w:rPr>
          <w:rFonts w:hint="eastAsia" w:ascii="仿宋_GB2312" w:hAnsi="黑体" w:eastAsia="仿宋_GB2312"/>
          <w:b/>
          <w:sz w:val="32"/>
          <w:szCs w:val="32"/>
        </w:rPr>
        <w:t>三、</w:t>
      </w:r>
      <w:r>
        <w:rPr>
          <w:rFonts w:hint="eastAsia" w:ascii="仿宋_GB2312" w:hAnsi="黑体" w:eastAsia="仿宋_GB2312"/>
          <w:b/>
          <w:bCs/>
          <w:sz w:val="32"/>
          <w:szCs w:val="32"/>
        </w:rPr>
        <w:t>上级补助收入：</w:t>
      </w:r>
      <w:r>
        <w:rPr>
          <w:rFonts w:hint="eastAsia" w:ascii="仿宋_GB2312" w:hAnsi="黑体" w:eastAsia="仿宋_GB2312"/>
          <w:bCs/>
          <w:sz w:val="32"/>
          <w:szCs w:val="32"/>
        </w:rPr>
        <w:t>指</w:t>
      </w:r>
      <w:r>
        <w:rPr>
          <w:rFonts w:hint="eastAsia" w:ascii="仿宋_GB2312" w:hAnsi="仿宋" w:eastAsia="仿宋_GB2312" w:cs="Times New Roman"/>
          <w:kern w:val="2"/>
          <w:sz w:val="32"/>
          <w:szCs w:val="32"/>
        </w:rPr>
        <w:t>事业单位从主管部门和上级单位取得的非财政补助收入。</w:t>
      </w:r>
    </w:p>
    <w:p>
      <w:pPr>
        <w:pStyle w:val="6"/>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四、附属单位上缴收入：</w:t>
      </w:r>
      <w:r>
        <w:rPr>
          <w:rFonts w:hint="eastAsia" w:ascii="仿宋_GB2312" w:hAnsi="黑体" w:eastAsia="仿宋_GB2312"/>
          <w:bCs/>
          <w:sz w:val="32"/>
          <w:szCs w:val="32"/>
        </w:rPr>
        <w:t>指事业单位附属独立核算单位按照有关规定上缴的收入。</w:t>
      </w:r>
    </w:p>
    <w:p>
      <w:pPr>
        <w:pStyle w:val="6"/>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五、经营收入</w:t>
      </w:r>
      <w:r>
        <w:rPr>
          <w:rFonts w:hint="eastAsia"/>
          <w:b/>
          <w:bCs/>
          <w:color w:val="383535"/>
        </w:rPr>
        <w:t>：</w:t>
      </w:r>
      <w:r>
        <w:rPr>
          <w:rFonts w:hint="eastAsia" w:ascii="仿宋_GB2312" w:hAnsi="黑体" w:eastAsia="仿宋_GB2312"/>
          <w:bCs/>
          <w:sz w:val="32"/>
          <w:szCs w:val="32"/>
        </w:rPr>
        <w:t>指事业单位在专业业务活动及其辅助活动之外开展非独立核算经营活动取得的收入。</w:t>
      </w:r>
    </w:p>
    <w:p>
      <w:pPr>
        <w:pStyle w:val="6"/>
        <w:adjustRightInd w:val="0"/>
        <w:snapToGrid w:val="0"/>
        <w:spacing w:line="600" w:lineRule="exact"/>
        <w:ind w:firstLine="616" w:firstLineChars="196"/>
        <w:rPr>
          <w:rFonts w:ascii="仿宋_GB2312" w:hAnsi="黑体"/>
          <w:b/>
          <w:bCs/>
          <w:szCs w:val="32"/>
        </w:rPr>
      </w:pPr>
      <w:r>
        <w:rPr>
          <w:rFonts w:hint="eastAsia" w:ascii="仿宋_GB2312" w:hAnsi="黑体" w:eastAsia="仿宋_GB2312"/>
          <w:b/>
          <w:sz w:val="32"/>
          <w:szCs w:val="32"/>
        </w:rPr>
        <w:t>六、</w:t>
      </w:r>
      <w:r>
        <w:rPr>
          <w:rFonts w:hint="eastAsia" w:ascii="仿宋_GB2312" w:hAnsi="黑体" w:eastAsia="仿宋_GB2312"/>
          <w:b/>
          <w:bCs/>
          <w:sz w:val="32"/>
          <w:szCs w:val="32"/>
        </w:rPr>
        <w:t>其他收入：</w:t>
      </w:r>
      <w:r>
        <w:rPr>
          <w:rFonts w:hint="eastAsia" w:ascii="仿宋_GB2312" w:hAnsi="黑体" w:eastAsia="仿宋_GB2312"/>
          <w:bCs/>
          <w:sz w:val="32"/>
          <w:szCs w:val="32"/>
        </w:rPr>
        <w:t>指事业单位除财政补助收入、事业收入、上级补助收入、附属单位上缴收入、经营收入以外的各项收入，包括投资收益、银行存款利息收入、租金收入、捐赠收入、现金盘盈收入、存货盘盈收入、收回已核销应收及预付款项、无法偿付的应付及预收款项等。</w:t>
      </w:r>
    </w:p>
    <w:p>
      <w:pPr>
        <w:pStyle w:val="6"/>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sz w:val="32"/>
          <w:szCs w:val="32"/>
        </w:rPr>
        <w:t>七、用事业基金弥补收支差额：</w:t>
      </w:r>
      <w:r>
        <w:rPr>
          <w:rFonts w:hint="eastAsia" w:ascii="仿宋_GB2312" w:hAnsi="黑体" w:eastAsia="仿宋_GB2312"/>
          <w:bCs/>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pStyle w:val="6"/>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八、年初结转和结余：</w:t>
      </w:r>
      <w:r>
        <w:rPr>
          <w:rFonts w:hint="eastAsia" w:ascii="仿宋_GB2312" w:hAnsi="黑体" w:eastAsia="仿宋_GB2312"/>
          <w:bCs/>
          <w:sz w:val="32"/>
          <w:szCs w:val="32"/>
        </w:rPr>
        <w:t>指单位以前年度尚未完成、结转到本年按有关规定继续使用的资金。</w:t>
      </w:r>
    </w:p>
    <w:p>
      <w:pPr>
        <w:pStyle w:val="6"/>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九、结余分配：</w:t>
      </w:r>
      <w:r>
        <w:rPr>
          <w:rFonts w:hint="eastAsia" w:ascii="仿宋_GB2312" w:hAnsi="黑体" w:eastAsia="仿宋_GB2312"/>
          <w:bCs/>
          <w:sz w:val="32"/>
          <w:szCs w:val="32"/>
        </w:rPr>
        <w:t>指事业单位按照会计制度规定缴纳的所得税以及从非财政补助结余中提取的职工福利基金、事业基金。</w:t>
      </w:r>
    </w:p>
    <w:p>
      <w:pPr>
        <w:pStyle w:val="6"/>
        <w:adjustRightInd w:val="0"/>
        <w:snapToGrid w:val="0"/>
        <w:spacing w:before="0" w:beforeAutospacing="0" w:after="0" w:afterAutospacing="0" w:line="600" w:lineRule="exact"/>
        <w:ind w:firstLine="616" w:firstLineChars="196"/>
        <w:rPr>
          <w:rFonts w:ascii="仿宋_GB2312" w:hAnsi="黑体" w:eastAsia="仿宋_GB2312"/>
          <w:b/>
          <w:sz w:val="32"/>
          <w:szCs w:val="32"/>
        </w:rPr>
      </w:pPr>
      <w:r>
        <w:rPr>
          <w:rFonts w:hint="eastAsia" w:ascii="仿宋_GB2312" w:hAnsi="黑体" w:eastAsia="仿宋_GB2312"/>
          <w:b/>
          <w:bCs/>
          <w:sz w:val="32"/>
          <w:szCs w:val="32"/>
        </w:rPr>
        <w:t>十、年末结转和结余：</w:t>
      </w:r>
      <w:r>
        <w:rPr>
          <w:rFonts w:hint="eastAsia" w:ascii="仿宋_GB2312" w:hAnsi="黑体" w:eastAsia="仿宋_GB2312"/>
          <w:bCs/>
          <w:sz w:val="32"/>
          <w:szCs w:val="32"/>
        </w:rPr>
        <w:t>指单位按有关规定结转到下年或以后年度继续使用的资金。</w:t>
      </w:r>
    </w:p>
    <w:p>
      <w:pPr>
        <w:pStyle w:val="6"/>
        <w:adjustRightInd w:val="0"/>
        <w:snapToGrid w:val="0"/>
        <w:spacing w:before="0" w:beforeAutospacing="0" w:after="0" w:afterAutospacing="0" w:line="600" w:lineRule="exact"/>
        <w:ind w:firstLine="616" w:firstLineChars="196"/>
        <w:rPr>
          <w:rFonts w:ascii="仿宋_GB2312" w:hAnsi="黑体" w:eastAsia="仿宋_GB2312"/>
          <w:sz w:val="32"/>
          <w:szCs w:val="32"/>
        </w:rPr>
      </w:pPr>
      <w:r>
        <w:rPr>
          <w:rFonts w:hint="eastAsia" w:ascii="仿宋_GB2312" w:hAnsi="黑体" w:eastAsia="仿宋_GB2312"/>
          <w:b/>
          <w:sz w:val="32"/>
          <w:szCs w:val="32"/>
        </w:rPr>
        <w:t>十一、基本支出：</w:t>
      </w:r>
      <w:r>
        <w:rPr>
          <w:rFonts w:hint="eastAsia" w:ascii="仿宋_GB2312" w:hAnsi="黑体" w:eastAsia="仿宋_GB2312"/>
          <w:sz w:val="32"/>
          <w:szCs w:val="32"/>
        </w:rPr>
        <w:t>指单位为保障其机构正常运转、完成日常工作任务而发生的人员支出和公用支出。</w:t>
      </w:r>
    </w:p>
    <w:p>
      <w:pPr>
        <w:pStyle w:val="6"/>
        <w:spacing w:before="0" w:beforeAutospacing="0" w:after="0" w:afterAutospacing="0" w:line="600" w:lineRule="exact"/>
        <w:ind w:firstLine="616" w:firstLineChars="196"/>
        <w:jc w:val="both"/>
        <w:rPr>
          <w:rFonts w:ascii="仿宋_GB2312" w:hAnsi="黑体" w:eastAsia="仿宋_GB2312"/>
          <w:sz w:val="32"/>
          <w:szCs w:val="32"/>
        </w:rPr>
      </w:pPr>
      <w:r>
        <w:rPr>
          <w:rFonts w:hint="eastAsia" w:ascii="仿宋_GB2312" w:hAnsi="黑体" w:eastAsia="仿宋_GB2312"/>
          <w:b/>
          <w:sz w:val="32"/>
          <w:szCs w:val="32"/>
        </w:rPr>
        <w:t>十二、项目支出：</w:t>
      </w:r>
      <w:r>
        <w:rPr>
          <w:rFonts w:hint="eastAsia" w:ascii="仿宋_GB2312" w:hAnsi="黑体" w:eastAsia="仿宋_GB2312"/>
          <w:sz w:val="32"/>
          <w:szCs w:val="32"/>
        </w:rPr>
        <w:t>指单位为完成特定行政任务和事业发展目标在基本支出之外所发生的支出。</w:t>
      </w:r>
      <w:r>
        <w:rPr>
          <w:rFonts w:ascii="仿宋_GB2312" w:hAnsi="黑体" w:eastAsia="仿宋_GB2312"/>
          <w:sz w:val="32"/>
          <w:szCs w:val="32"/>
        </w:rPr>
        <w:br w:type="textWrapping"/>
      </w:r>
      <w:r>
        <w:rPr>
          <w:rFonts w:hint="eastAsia" w:ascii="仿宋_GB2312" w:hAnsi="黑体" w:eastAsia="仿宋_GB2312"/>
          <w:sz w:val="32"/>
          <w:szCs w:val="32"/>
        </w:rPr>
        <w:t xml:space="preserve">    </w:t>
      </w:r>
      <w:r>
        <w:rPr>
          <w:rFonts w:hint="eastAsia" w:ascii="仿宋_GB2312" w:hAnsi="黑体" w:eastAsia="仿宋_GB2312"/>
          <w:b/>
          <w:sz w:val="32"/>
          <w:szCs w:val="32"/>
        </w:rPr>
        <w:t>十三、经营支出：</w:t>
      </w:r>
      <w:r>
        <w:rPr>
          <w:rFonts w:hint="eastAsia" w:ascii="仿宋_GB2312" w:hAnsi="黑体" w:eastAsia="仿宋_GB2312"/>
          <w:sz w:val="32"/>
          <w:szCs w:val="32"/>
        </w:rPr>
        <w:t>指事业单位在专业业务活动及其辅助活动之外开展非独立核算经营活动发生的支出。</w:t>
      </w:r>
    </w:p>
    <w:p>
      <w:pPr>
        <w:pStyle w:val="6"/>
        <w:spacing w:before="0" w:beforeAutospacing="0" w:after="0" w:afterAutospacing="0" w:line="600" w:lineRule="exact"/>
        <w:ind w:firstLine="616" w:firstLineChars="196"/>
        <w:jc w:val="both"/>
        <w:rPr>
          <w:rFonts w:ascii="仿宋_GB2312" w:hAnsi="黑体" w:eastAsia="仿宋_GB2312"/>
          <w:b/>
          <w:sz w:val="32"/>
          <w:szCs w:val="32"/>
        </w:rPr>
      </w:pPr>
      <w:r>
        <w:rPr>
          <w:rFonts w:hint="eastAsia" w:ascii="仿宋_GB2312" w:hAnsi="黑体" w:eastAsia="仿宋_GB2312"/>
          <w:b/>
          <w:sz w:val="32"/>
          <w:szCs w:val="32"/>
        </w:rPr>
        <w:t>十四、“三公”经费：</w:t>
      </w:r>
      <w:r>
        <w:rPr>
          <w:rFonts w:hint="eastAsia" w:ascii="仿宋_GB2312" w:hAnsi="黑体" w:eastAsia="仿宋_GB2312"/>
          <w:sz w:val="32"/>
          <w:szCs w:val="32"/>
        </w:rPr>
        <w:t>纳入财政预决算管理的“三公”经费，是指单位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2"/>
          <w:szCs w:val="32"/>
        </w:rPr>
        <w:t>）</w:t>
      </w:r>
      <w:r>
        <w:rPr>
          <w:rFonts w:hint="eastAsia" w:ascii="仿宋_GB2312" w:hAnsi="黑体" w:eastAsia="仿宋_GB2312"/>
          <w:sz w:val="32"/>
          <w:szCs w:val="32"/>
        </w:rPr>
        <w:t>支出。</w:t>
      </w:r>
    </w:p>
    <w:p>
      <w:pPr>
        <w:pStyle w:val="6"/>
        <w:spacing w:before="0" w:beforeAutospacing="0" w:after="0" w:afterAutospacing="0" w:line="600" w:lineRule="exact"/>
        <w:ind w:firstLine="616" w:firstLineChars="196"/>
        <w:jc w:val="both"/>
        <w:rPr>
          <w:rFonts w:ascii="仿宋_GB2312" w:hAnsi="黑体" w:eastAsia="仿宋_GB2312"/>
          <w:b/>
          <w:sz w:val="32"/>
          <w:szCs w:val="32"/>
        </w:rPr>
      </w:pPr>
      <w:r>
        <w:rPr>
          <w:rFonts w:hint="eastAsia" w:ascii="仿宋_GB2312" w:hAnsi="黑体" w:eastAsia="仿宋_GB2312"/>
          <w:b/>
          <w:sz w:val="32"/>
          <w:szCs w:val="32"/>
        </w:rPr>
        <w:t>十五、机关运行经费</w:t>
      </w:r>
      <w:r>
        <w:rPr>
          <w:rFonts w:hint="eastAsia" w:ascii="仿宋_GB2312" w:hAnsi="黑体" w:eastAsia="仿宋_GB2312"/>
          <w:sz w:val="32"/>
          <w:szCs w:val="32"/>
        </w:rPr>
        <w:t>：</w:t>
      </w:r>
      <w:r>
        <w:rPr>
          <w:rFonts w:hint="eastAsia" w:ascii="仿宋_GB2312" w:eastAsia="仿宋_GB2312"/>
          <w:sz w:val="32"/>
          <w:szCs w:val="32"/>
        </w:rPr>
        <w:t>指为保障行政单位（含参照公务员法管理的事业单位）运行用于购买货物和服务的各项资金</w:t>
      </w:r>
      <w:r>
        <w:rPr>
          <w:rFonts w:hint="eastAsia" w:ascii="仿宋_GB2312" w:hAnsi="Times New Roman" w:eastAsia="仿宋_GB2312"/>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pPr>
        <w:pStyle w:val="6"/>
        <w:spacing w:before="0" w:beforeAutospacing="0" w:after="0" w:afterAutospacing="0" w:line="600" w:lineRule="exact"/>
        <w:jc w:val="center"/>
        <w:rPr>
          <w:rFonts w:ascii="楷体_GB2312" w:hAnsi="Times New Roman" w:eastAsia="楷体_GB2312"/>
          <w:kern w:val="2"/>
          <w:sz w:val="32"/>
          <w:szCs w:val="32"/>
        </w:rPr>
      </w:pPr>
    </w:p>
    <w:p>
      <w:pPr>
        <w:ind w:left="1667" w:leftChars="250" w:hanging="882" w:hangingChars="249"/>
        <w:jc w:val="center"/>
        <w:rPr>
          <w:rFonts w:ascii="宋体" w:hAnsi="宋体"/>
          <w:b/>
          <w:sz w:val="36"/>
          <w:szCs w:val="36"/>
        </w:rPr>
      </w:pPr>
    </w:p>
    <w:p>
      <w:pPr>
        <w:ind w:left="1667" w:leftChars="250" w:hanging="882" w:hangingChars="249"/>
        <w:jc w:val="center"/>
        <w:rPr>
          <w:rFonts w:ascii="宋体" w:hAnsi="宋体"/>
          <w:b/>
          <w:sz w:val="36"/>
          <w:szCs w:val="36"/>
        </w:rPr>
      </w:pPr>
    </w:p>
    <w:p>
      <w:pPr>
        <w:jc w:val="center"/>
      </w:pPr>
      <w:r>
        <w:rPr>
          <w:rFonts w:hint="eastAsia" w:ascii="宋体" w:hAnsi="宋体"/>
          <w:b/>
          <w:sz w:val="36"/>
          <w:szCs w:val="36"/>
        </w:rPr>
        <w:t xml:space="preserve"> </w:t>
      </w:r>
    </w:p>
    <w:p>
      <w:pPr>
        <w:jc w:val="center"/>
      </w:pPr>
      <w:r>
        <w:rPr>
          <w:rFonts w:hint="eastAsia"/>
        </w:rPr>
        <w:t xml:space="preserve">                                    </w:t>
      </w:r>
    </w:p>
    <w:p>
      <w:pPr>
        <w:jc w:val="center"/>
      </w:pPr>
    </w:p>
    <w:p>
      <w:pPr>
        <w:pStyle w:val="2"/>
        <w:ind w:left="1258" w:hanging="1258"/>
        <w:jc w:val="both"/>
        <w:rPr>
          <w:rFonts w:ascii="仿宋_GB2312" w:eastAsia="仿宋_GB2312"/>
          <w:sz w:val="32"/>
        </w:rPr>
      </w:pPr>
      <w:r>
        <w:rPr>
          <w:rFonts w:hint="eastAsia" w:ascii="仿宋_GB2312" w:eastAsia="仿宋_GB2312"/>
          <w:sz w:val="28"/>
          <w:szCs w:val="28"/>
        </w:rPr>
        <w:t xml:space="preserve"> </w:t>
      </w:r>
      <w:r>
        <w:rPr>
          <w:rFonts w:hint="eastAsia" w:ascii="仿宋_GB2312" w:eastAsia="仿宋_GB2312"/>
          <w:sz w:val="32"/>
        </w:rPr>
        <w:t xml:space="preserve">       </w:t>
      </w:r>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Fonts w:ascii="仿宋_GB2312"/>
        <w:sz w:val="28"/>
      </w:rPr>
    </w:pPr>
    <w:r>
      <w:rPr>
        <w:rStyle w:val="11"/>
        <w:rFonts w:hint="eastAsia" w:ascii="仿宋_GB2312"/>
        <w:sz w:val="28"/>
      </w:rPr>
      <w:t>-</w:t>
    </w:r>
    <w:r>
      <w:rPr>
        <w:rFonts w:hint="eastAsia" w:ascii="仿宋_GB2312"/>
        <w:sz w:val="28"/>
        <w:szCs w:val="28"/>
      </w:rPr>
      <w:fldChar w:fldCharType="begin"/>
    </w:r>
    <w:r>
      <w:rPr>
        <w:rStyle w:val="11"/>
        <w:rFonts w:hint="eastAsia" w:ascii="仿宋_GB2312"/>
        <w:sz w:val="28"/>
        <w:szCs w:val="28"/>
      </w:rPr>
      <w:instrText xml:space="preserve"> PAGE </w:instrText>
    </w:r>
    <w:r>
      <w:rPr>
        <w:rFonts w:hint="eastAsia" w:ascii="仿宋_GB2312"/>
        <w:sz w:val="28"/>
        <w:szCs w:val="28"/>
      </w:rPr>
      <w:fldChar w:fldCharType="separate"/>
    </w:r>
    <w:r>
      <w:rPr>
        <w:rStyle w:val="11"/>
        <w:rFonts w:ascii="仿宋_GB2312"/>
        <w:sz w:val="28"/>
        <w:szCs w:val="28"/>
      </w:rPr>
      <w:t>1</w:t>
    </w:r>
    <w:r>
      <w:rPr>
        <w:rFonts w:hint="eastAsia" w:ascii="仿宋_GB2312"/>
        <w:sz w:val="28"/>
        <w:szCs w:val="28"/>
      </w:rPr>
      <w:fldChar w:fldCharType="end"/>
    </w:r>
    <w:r>
      <w:rPr>
        <w:rStyle w:val="11"/>
        <w:rFonts w:hint="eastAsia" w:ascii="仿宋_GB2312"/>
        <w:sz w:val="28"/>
        <w:szCs w:val="28"/>
      </w:rPr>
      <w:t>-</w:t>
    </w:r>
  </w:p>
  <w:p>
    <w:pPr>
      <w:pStyle w:val="4"/>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Pr>
    </w:pPr>
    <w:r>
      <w:fldChar w:fldCharType="begin"/>
    </w:r>
    <w:r>
      <w:rPr>
        <w:rStyle w:val="11"/>
      </w:rPr>
      <w:instrText xml:space="preserve">PAGE  </w:instrText>
    </w:r>
    <w:r>
      <w:fldChar w:fldCharType="separate"/>
    </w:r>
    <w:r>
      <w:rPr>
        <w:rStyle w:val="11"/>
      </w:rPr>
      <w:t>1</w: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33967"/>
    <w:multiLevelType w:val="singleLevel"/>
    <w:tmpl w:val="FC033967"/>
    <w:lvl w:ilvl="0" w:tentative="0">
      <w:start w:val="1"/>
      <w:numFmt w:val="decimal"/>
      <w:suff w:val="nothing"/>
      <w:lvlText w:val="%1．"/>
      <w:lvlJc w:val="left"/>
    </w:lvl>
  </w:abstractNum>
  <w:abstractNum w:abstractNumId="1">
    <w:nsid w:val="5D2C3222"/>
    <w:multiLevelType w:val="singleLevel"/>
    <w:tmpl w:val="5D2C3222"/>
    <w:lvl w:ilvl="0" w:tentative="0">
      <w:start w:val="6"/>
      <w:numFmt w:val="chineseCounting"/>
      <w:suff w:val="nothing"/>
      <w:lvlText w:val="%1、"/>
      <w:lvlJc w:val="left"/>
    </w:lvl>
  </w:abstractNum>
  <w:abstractNum w:abstractNumId="2">
    <w:nsid w:val="5D3E5EFD"/>
    <w:multiLevelType w:val="singleLevel"/>
    <w:tmpl w:val="5D3E5EFD"/>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5"/>
  <w:drawingGridHorizontalSpacing w:val="313"/>
  <w:drawingGridVerticalSpacing w:val="569"/>
  <w:noPunctuationKerning w:val="1"/>
  <w:characterSpacingControl w:val="compressPunctuation"/>
  <w:compat>
    <w:spaceForUL/>
    <w:balanceSingleByteDoubleByteWidth/>
    <w:doNotLeaveBackslashAlon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DD0"/>
    <w:rsid w:val="00007F53"/>
    <w:rsid w:val="0001202C"/>
    <w:rsid w:val="000217E6"/>
    <w:rsid w:val="000223C6"/>
    <w:rsid w:val="00024B05"/>
    <w:rsid w:val="00035AC6"/>
    <w:rsid w:val="000412BB"/>
    <w:rsid w:val="00046B65"/>
    <w:rsid w:val="00055FBD"/>
    <w:rsid w:val="00062D67"/>
    <w:rsid w:val="000646BF"/>
    <w:rsid w:val="00067C61"/>
    <w:rsid w:val="00075F76"/>
    <w:rsid w:val="00076DFE"/>
    <w:rsid w:val="00085DE8"/>
    <w:rsid w:val="00094E4D"/>
    <w:rsid w:val="000A1494"/>
    <w:rsid w:val="000A51EF"/>
    <w:rsid w:val="000A7AB6"/>
    <w:rsid w:val="000B4329"/>
    <w:rsid w:val="000B53BD"/>
    <w:rsid w:val="000B5C36"/>
    <w:rsid w:val="000C6876"/>
    <w:rsid w:val="000D066A"/>
    <w:rsid w:val="000D3459"/>
    <w:rsid w:val="000E0598"/>
    <w:rsid w:val="000E6047"/>
    <w:rsid w:val="000E6C24"/>
    <w:rsid w:val="000F6748"/>
    <w:rsid w:val="000F787A"/>
    <w:rsid w:val="00105BA4"/>
    <w:rsid w:val="00105EFB"/>
    <w:rsid w:val="00111777"/>
    <w:rsid w:val="00112AF4"/>
    <w:rsid w:val="001133DC"/>
    <w:rsid w:val="00114EA8"/>
    <w:rsid w:val="00120290"/>
    <w:rsid w:val="001214CF"/>
    <w:rsid w:val="00122C45"/>
    <w:rsid w:val="00134307"/>
    <w:rsid w:val="00134FC3"/>
    <w:rsid w:val="00136ABF"/>
    <w:rsid w:val="00140D29"/>
    <w:rsid w:val="0014166B"/>
    <w:rsid w:val="0014773B"/>
    <w:rsid w:val="001514CB"/>
    <w:rsid w:val="00156013"/>
    <w:rsid w:val="00161301"/>
    <w:rsid w:val="00171095"/>
    <w:rsid w:val="00173146"/>
    <w:rsid w:val="001A4987"/>
    <w:rsid w:val="001B4A09"/>
    <w:rsid w:val="001B7894"/>
    <w:rsid w:val="001C0AFA"/>
    <w:rsid w:val="001C4EC9"/>
    <w:rsid w:val="001C74A7"/>
    <w:rsid w:val="001D3779"/>
    <w:rsid w:val="001D7DC1"/>
    <w:rsid w:val="001E4EE1"/>
    <w:rsid w:val="001F5D31"/>
    <w:rsid w:val="001F6DDD"/>
    <w:rsid w:val="002028F1"/>
    <w:rsid w:val="00213D49"/>
    <w:rsid w:val="002215BA"/>
    <w:rsid w:val="0022189D"/>
    <w:rsid w:val="00221929"/>
    <w:rsid w:val="00222101"/>
    <w:rsid w:val="002231DA"/>
    <w:rsid w:val="00223236"/>
    <w:rsid w:val="00234AB7"/>
    <w:rsid w:val="002361DC"/>
    <w:rsid w:val="00236C78"/>
    <w:rsid w:val="002371EA"/>
    <w:rsid w:val="00242678"/>
    <w:rsid w:val="00242DA4"/>
    <w:rsid w:val="00244066"/>
    <w:rsid w:val="002478A7"/>
    <w:rsid w:val="00247D26"/>
    <w:rsid w:val="00250F29"/>
    <w:rsid w:val="00251545"/>
    <w:rsid w:val="00260BCD"/>
    <w:rsid w:val="002636D0"/>
    <w:rsid w:val="00263B6F"/>
    <w:rsid w:val="002647AB"/>
    <w:rsid w:val="00266C66"/>
    <w:rsid w:val="00273C29"/>
    <w:rsid w:val="002741C2"/>
    <w:rsid w:val="00276ABD"/>
    <w:rsid w:val="00292278"/>
    <w:rsid w:val="002A4352"/>
    <w:rsid w:val="002A66C3"/>
    <w:rsid w:val="002A7568"/>
    <w:rsid w:val="002A7702"/>
    <w:rsid w:val="002B2B12"/>
    <w:rsid w:val="002B4B26"/>
    <w:rsid w:val="002B5CF7"/>
    <w:rsid w:val="002B5E93"/>
    <w:rsid w:val="002C0059"/>
    <w:rsid w:val="002C1E06"/>
    <w:rsid w:val="002C3E5F"/>
    <w:rsid w:val="002C54B1"/>
    <w:rsid w:val="002C59FB"/>
    <w:rsid w:val="002C7C11"/>
    <w:rsid w:val="002D12CA"/>
    <w:rsid w:val="002D33C1"/>
    <w:rsid w:val="002E2D02"/>
    <w:rsid w:val="002E468E"/>
    <w:rsid w:val="002F220B"/>
    <w:rsid w:val="002F49D3"/>
    <w:rsid w:val="002F6D0F"/>
    <w:rsid w:val="00301D9F"/>
    <w:rsid w:val="00302FD4"/>
    <w:rsid w:val="003033F7"/>
    <w:rsid w:val="003041BD"/>
    <w:rsid w:val="00310B3E"/>
    <w:rsid w:val="003151F1"/>
    <w:rsid w:val="00315336"/>
    <w:rsid w:val="00321DF9"/>
    <w:rsid w:val="00321FD3"/>
    <w:rsid w:val="0033036C"/>
    <w:rsid w:val="00337480"/>
    <w:rsid w:val="00341E06"/>
    <w:rsid w:val="00343A85"/>
    <w:rsid w:val="00347220"/>
    <w:rsid w:val="00352854"/>
    <w:rsid w:val="00354EE1"/>
    <w:rsid w:val="00355121"/>
    <w:rsid w:val="00356313"/>
    <w:rsid w:val="00356881"/>
    <w:rsid w:val="00361010"/>
    <w:rsid w:val="0036457F"/>
    <w:rsid w:val="00364CEB"/>
    <w:rsid w:val="00381D7D"/>
    <w:rsid w:val="00384352"/>
    <w:rsid w:val="00390275"/>
    <w:rsid w:val="00392922"/>
    <w:rsid w:val="0039439B"/>
    <w:rsid w:val="003968F7"/>
    <w:rsid w:val="003A1AC7"/>
    <w:rsid w:val="003B746B"/>
    <w:rsid w:val="003C1DAF"/>
    <w:rsid w:val="003D505D"/>
    <w:rsid w:val="003D6DA5"/>
    <w:rsid w:val="003E1A6C"/>
    <w:rsid w:val="003E1F6A"/>
    <w:rsid w:val="003E6A48"/>
    <w:rsid w:val="003F2B09"/>
    <w:rsid w:val="004011E8"/>
    <w:rsid w:val="00406E83"/>
    <w:rsid w:val="004118F8"/>
    <w:rsid w:val="00415DC3"/>
    <w:rsid w:val="0041748D"/>
    <w:rsid w:val="00420F3B"/>
    <w:rsid w:val="004248D2"/>
    <w:rsid w:val="004275D6"/>
    <w:rsid w:val="0043062C"/>
    <w:rsid w:val="00434763"/>
    <w:rsid w:val="00435ACD"/>
    <w:rsid w:val="00435C45"/>
    <w:rsid w:val="00451991"/>
    <w:rsid w:val="00456CB7"/>
    <w:rsid w:val="004679E9"/>
    <w:rsid w:val="00470E42"/>
    <w:rsid w:val="00472658"/>
    <w:rsid w:val="00480204"/>
    <w:rsid w:val="00487316"/>
    <w:rsid w:val="00487F6C"/>
    <w:rsid w:val="004940DE"/>
    <w:rsid w:val="004947E3"/>
    <w:rsid w:val="004A3D4D"/>
    <w:rsid w:val="004B3598"/>
    <w:rsid w:val="004B7422"/>
    <w:rsid w:val="004C28F9"/>
    <w:rsid w:val="004C5C25"/>
    <w:rsid w:val="004C640E"/>
    <w:rsid w:val="004D0A64"/>
    <w:rsid w:val="004D2875"/>
    <w:rsid w:val="004D354A"/>
    <w:rsid w:val="004D7A7A"/>
    <w:rsid w:val="004E5096"/>
    <w:rsid w:val="004F5DC7"/>
    <w:rsid w:val="00500806"/>
    <w:rsid w:val="00501AB0"/>
    <w:rsid w:val="00502CDE"/>
    <w:rsid w:val="005032C3"/>
    <w:rsid w:val="005100F0"/>
    <w:rsid w:val="00512596"/>
    <w:rsid w:val="005132AA"/>
    <w:rsid w:val="005140A0"/>
    <w:rsid w:val="00521E9E"/>
    <w:rsid w:val="00527719"/>
    <w:rsid w:val="00527FB1"/>
    <w:rsid w:val="005309B7"/>
    <w:rsid w:val="005363F6"/>
    <w:rsid w:val="0053674F"/>
    <w:rsid w:val="00547A3E"/>
    <w:rsid w:val="00556DA0"/>
    <w:rsid w:val="00560D45"/>
    <w:rsid w:val="0056550E"/>
    <w:rsid w:val="00570584"/>
    <w:rsid w:val="0057538F"/>
    <w:rsid w:val="00576F6C"/>
    <w:rsid w:val="005817CE"/>
    <w:rsid w:val="00590364"/>
    <w:rsid w:val="005906E5"/>
    <w:rsid w:val="005917C6"/>
    <w:rsid w:val="00591CA2"/>
    <w:rsid w:val="00592AD9"/>
    <w:rsid w:val="005A4CEE"/>
    <w:rsid w:val="005A61E1"/>
    <w:rsid w:val="005A6F99"/>
    <w:rsid w:val="005B4491"/>
    <w:rsid w:val="005B71C0"/>
    <w:rsid w:val="005B7312"/>
    <w:rsid w:val="005C0655"/>
    <w:rsid w:val="005C7003"/>
    <w:rsid w:val="005D137A"/>
    <w:rsid w:val="005D4DA5"/>
    <w:rsid w:val="005D7391"/>
    <w:rsid w:val="005E3D67"/>
    <w:rsid w:val="005F21C2"/>
    <w:rsid w:val="005F45F5"/>
    <w:rsid w:val="005F4CB1"/>
    <w:rsid w:val="00600FB6"/>
    <w:rsid w:val="00601BD3"/>
    <w:rsid w:val="00602648"/>
    <w:rsid w:val="006060D7"/>
    <w:rsid w:val="00614054"/>
    <w:rsid w:val="0061485A"/>
    <w:rsid w:val="006176B7"/>
    <w:rsid w:val="006256B0"/>
    <w:rsid w:val="0062599F"/>
    <w:rsid w:val="00625FF5"/>
    <w:rsid w:val="0062770E"/>
    <w:rsid w:val="006311F8"/>
    <w:rsid w:val="00641450"/>
    <w:rsid w:val="0064256A"/>
    <w:rsid w:val="006454C1"/>
    <w:rsid w:val="00645DD0"/>
    <w:rsid w:val="006629B7"/>
    <w:rsid w:val="006645A4"/>
    <w:rsid w:val="0067018D"/>
    <w:rsid w:val="00672E53"/>
    <w:rsid w:val="00691B32"/>
    <w:rsid w:val="006930BA"/>
    <w:rsid w:val="00693354"/>
    <w:rsid w:val="006A65BB"/>
    <w:rsid w:val="006C1837"/>
    <w:rsid w:val="006C5A1E"/>
    <w:rsid w:val="006C7AD8"/>
    <w:rsid w:val="006E5645"/>
    <w:rsid w:val="006F074D"/>
    <w:rsid w:val="006F1614"/>
    <w:rsid w:val="006F381B"/>
    <w:rsid w:val="006F4BF2"/>
    <w:rsid w:val="006F5B5C"/>
    <w:rsid w:val="007021E1"/>
    <w:rsid w:val="00711FA0"/>
    <w:rsid w:val="007172EB"/>
    <w:rsid w:val="007211B0"/>
    <w:rsid w:val="0073091F"/>
    <w:rsid w:val="00731666"/>
    <w:rsid w:val="00736B19"/>
    <w:rsid w:val="00741930"/>
    <w:rsid w:val="00741BAB"/>
    <w:rsid w:val="0074779F"/>
    <w:rsid w:val="00747E33"/>
    <w:rsid w:val="00747E76"/>
    <w:rsid w:val="00753AC3"/>
    <w:rsid w:val="007554F7"/>
    <w:rsid w:val="00760F11"/>
    <w:rsid w:val="0077243A"/>
    <w:rsid w:val="00775C05"/>
    <w:rsid w:val="00776A37"/>
    <w:rsid w:val="00777E68"/>
    <w:rsid w:val="0078442E"/>
    <w:rsid w:val="00785BDF"/>
    <w:rsid w:val="00786257"/>
    <w:rsid w:val="00787780"/>
    <w:rsid w:val="00797048"/>
    <w:rsid w:val="00797AF5"/>
    <w:rsid w:val="007A1865"/>
    <w:rsid w:val="007A2997"/>
    <w:rsid w:val="007A3F30"/>
    <w:rsid w:val="007B2C83"/>
    <w:rsid w:val="007B4650"/>
    <w:rsid w:val="007D02C3"/>
    <w:rsid w:val="007F144E"/>
    <w:rsid w:val="007F1E7D"/>
    <w:rsid w:val="007F3A23"/>
    <w:rsid w:val="007F667C"/>
    <w:rsid w:val="008076E2"/>
    <w:rsid w:val="00810659"/>
    <w:rsid w:val="00811B92"/>
    <w:rsid w:val="00816244"/>
    <w:rsid w:val="00820F0B"/>
    <w:rsid w:val="00831936"/>
    <w:rsid w:val="008338D0"/>
    <w:rsid w:val="00834BDD"/>
    <w:rsid w:val="0083728B"/>
    <w:rsid w:val="00843AF7"/>
    <w:rsid w:val="00844B1D"/>
    <w:rsid w:val="00845AFB"/>
    <w:rsid w:val="00846E9D"/>
    <w:rsid w:val="00854155"/>
    <w:rsid w:val="00857A86"/>
    <w:rsid w:val="00860EE8"/>
    <w:rsid w:val="00862BDF"/>
    <w:rsid w:val="00864E5F"/>
    <w:rsid w:val="00866E18"/>
    <w:rsid w:val="008702BF"/>
    <w:rsid w:val="00872013"/>
    <w:rsid w:val="00872770"/>
    <w:rsid w:val="00874FF5"/>
    <w:rsid w:val="0088664E"/>
    <w:rsid w:val="00887266"/>
    <w:rsid w:val="00894016"/>
    <w:rsid w:val="008A20F0"/>
    <w:rsid w:val="008A2A87"/>
    <w:rsid w:val="008A7EA8"/>
    <w:rsid w:val="008B0F90"/>
    <w:rsid w:val="008B1DB6"/>
    <w:rsid w:val="008B2795"/>
    <w:rsid w:val="008B3C62"/>
    <w:rsid w:val="008D25FD"/>
    <w:rsid w:val="008D5067"/>
    <w:rsid w:val="008E3755"/>
    <w:rsid w:val="00901A3B"/>
    <w:rsid w:val="009038F2"/>
    <w:rsid w:val="009069FD"/>
    <w:rsid w:val="00907509"/>
    <w:rsid w:val="0091224B"/>
    <w:rsid w:val="00912781"/>
    <w:rsid w:val="00916E37"/>
    <w:rsid w:val="0092215B"/>
    <w:rsid w:val="009315EA"/>
    <w:rsid w:val="00933F38"/>
    <w:rsid w:val="00934597"/>
    <w:rsid w:val="00943DD8"/>
    <w:rsid w:val="0095084D"/>
    <w:rsid w:val="00953828"/>
    <w:rsid w:val="009556B1"/>
    <w:rsid w:val="00961396"/>
    <w:rsid w:val="009642BA"/>
    <w:rsid w:val="00964ABD"/>
    <w:rsid w:val="009702FD"/>
    <w:rsid w:val="009757C4"/>
    <w:rsid w:val="00983299"/>
    <w:rsid w:val="00984ECD"/>
    <w:rsid w:val="00994607"/>
    <w:rsid w:val="009A204F"/>
    <w:rsid w:val="009A5DBE"/>
    <w:rsid w:val="009A6713"/>
    <w:rsid w:val="009B2D42"/>
    <w:rsid w:val="009C0491"/>
    <w:rsid w:val="009C2717"/>
    <w:rsid w:val="009C74FF"/>
    <w:rsid w:val="009D5445"/>
    <w:rsid w:val="009D59FD"/>
    <w:rsid w:val="009E0B35"/>
    <w:rsid w:val="009E3FC2"/>
    <w:rsid w:val="009F08A3"/>
    <w:rsid w:val="009F6F2B"/>
    <w:rsid w:val="00A00858"/>
    <w:rsid w:val="00A03702"/>
    <w:rsid w:val="00A05D2F"/>
    <w:rsid w:val="00A124D9"/>
    <w:rsid w:val="00A13765"/>
    <w:rsid w:val="00A16C0B"/>
    <w:rsid w:val="00A16C31"/>
    <w:rsid w:val="00A17D46"/>
    <w:rsid w:val="00A20417"/>
    <w:rsid w:val="00A21D92"/>
    <w:rsid w:val="00A239D2"/>
    <w:rsid w:val="00A277EB"/>
    <w:rsid w:val="00A326EC"/>
    <w:rsid w:val="00A34AB2"/>
    <w:rsid w:val="00A41E3D"/>
    <w:rsid w:val="00A508F3"/>
    <w:rsid w:val="00A66DF5"/>
    <w:rsid w:val="00A677CC"/>
    <w:rsid w:val="00A71B59"/>
    <w:rsid w:val="00A73AC3"/>
    <w:rsid w:val="00A76D03"/>
    <w:rsid w:val="00A825D1"/>
    <w:rsid w:val="00A85EA6"/>
    <w:rsid w:val="00A86564"/>
    <w:rsid w:val="00A8768C"/>
    <w:rsid w:val="00A93304"/>
    <w:rsid w:val="00A93C3F"/>
    <w:rsid w:val="00A978ED"/>
    <w:rsid w:val="00AA478D"/>
    <w:rsid w:val="00AB1271"/>
    <w:rsid w:val="00AB2C05"/>
    <w:rsid w:val="00AC2024"/>
    <w:rsid w:val="00AC2E25"/>
    <w:rsid w:val="00AC7D9C"/>
    <w:rsid w:val="00AD4CA4"/>
    <w:rsid w:val="00AD57BB"/>
    <w:rsid w:val="00AE39C4"/>
    <w:rsid w:val="00AF6122"/>
    <w:rsid w:val="00B046FB"/>
    <w:rsid w:val="00B061F5"/>
    <w:rsid w:val="00B07BDC"/>
    <w:rsid w:val="00B203FD"/>
    <w:rsid w:val="00B21512"/>
    <w:rsid w:val="00B22236"/>
    <w:rsid w:val="00B226BE"/>
    <w:rsid w:val="00B26488"/>
    <w:rsid w:val="00B3615E"/>
    <w:rsid w:val="00B40DEE"/>
    <w:rsid w:val="00B45BF9"/>
    <w:rsid w:val="00B45FF5"/>
    <w:rsid w:val="00B4688C"/>
    <w:rsid w:val="00B479B2"/>
    <w:rsid w:val="00B533D5"/>
    <w:rsid w:val="00B67DAB"/>
    <w:rsid w:val="00B73557"/>
    <w:rsid w:val="00B75F99"/>
    <w:rsid w:val="00B77B0D"/>
    <w:rsid w:val="00B8032E"/>
    <w:rsid w:val="00B81279"/>
    <w:rsid w:val="00B85C02"/>
    <w:rsid w:val="00B95DBD"/>
    <w:rsid w:val="00BA0B79"/>
    <w:rsid w:val="00BA0E08"/>
    <w:rsid w:val="00BA2CC6"/>
    <w:rsid w:val="00BA41E8"/>
    <w:rsid w:val="00BA58C3"/>
    <w:rsid w:val="00BB0EF3"/>
    <w:rsid w:val="00BB2FE4"/>
    <w:rsid w:val="00BC6F43"/>
    <w:rsid w:val="00BD4C9C"/>
    <w:rsid w:val="00BD4EF8"/>
    <w:rsid w:val="00BD6D69"/>
    <w:rsid w:val="00BE16EC"/>
    <w:rsid w:val="00BE4188"/>
    <w:rsid w:val="00BE6E01"/>
    <w:rsid w:val="00BF057F"/>
    <w:rsid w:val="00BF58FE"/>
    <w:rsid w:val="00BF7747"/>
    <w:rsid w:val="00C01E3C"/>
    <w:rsid w:val="00C05039"/>
    <w:rsid w:val="00C06BFF"/>
    <w:rsid w:val="00C2059A"/>
    <w:rsid w:val="00C2277B"/>
    <w:rsid w:val="00C2312B"/>
    <w:rsid w:val="00C24394"/>
    <w:rsid w:val="00C251ED"/>
    <w:rsid w:val="00C256D2"/>
    <w:rsid w:val="00C27145"/>
    <w:rsid w:val="00C32EF3"/>
    <w:rsid w:val="00C34464"/>
    <w:rsid w:val="00C406BE"/>
    <w:rsid w:val="00C44841"/>
    <w:rsid w:val="00C5213D"/>
    <w:rsid w:val="00C541A1"/>
    <w:rsid w:val="00C54CDF"/>
    <w:rsid w:val="00C54F6F"/>
    <w:rsid w:val="00C55BA5"/>
    <w:rsid w:val="00C5797B"/>
    <w:rsid w:val="00C610CA"/>
    <w:rsid w:val="00C64E89"/>
    <w:rsid w:val="00C66C71"/>
    <w:rsid w:val="00C671FE"/>
    <w:rsid w:val="00C75ADA"/>
    <w:rsid w:val="00C75CC2"/>
    <w:rsid w:val="00C762E8"/>
    <w:rsid w:val="00C77DE2"/>
    <w:rsid w:val="00C83B60"/>
    <w:rsid w:val="00C86F11"/>
    <w:rsid w:val="00C9341E"/>
    <w:rsid w:val="00C9433E"/>
    <w:rsid w:val="00CB32C1"/>
    <w:rsid w:val="00CB41FF"/>
    <w:rsid w:val="00CB4740"/>
    <w:rsid w:val="00CC0A79"/>
    <w:rsid w:val="00CC3AE1"/>
    <w:rsid w:val="00CC4A14"/>
    <w:rsid w:val="00CC5DDE"/>
    <w:rsid w:val="00CD1386"/>
    <w:rsid w:val="00CE0752"/>
    <w:rsid w:val="00CE0E8F"/>
    <w:rsid w:val="00CE7E37"/>
    <w:rsid w:val="00CF5521"/>
    <w:rsid w:val="00CF579F"/>
    <w:rsid w:val="00D056DB"/>
    <w:rsid w:val="00D05DC0"/>
    <w:rsid w:val="00D1232A"/>
    <w:rsid w:val="00D14812"/>
    <w:rsid w:val="00D17262"/>
    <w:rsid w:val="00D2288B"/>
    <w:rsid w:val="00D2790A"/>
    <w:rsid w:val="00D421C8"/>
    <w:rsid w:val="00D424D8"/>
    <w:rsid w:val="00D47CC7"/>
    <w:rsid w:val="00D51AE3"/>
    <w:rsid w:val="00D52E12"/>
    <w:rsid w:val="00D5372E"/>
    <w:rsid w:val="00D5756E"/>
    <w:rsid w:val="00D66266"/>
    <w:rsid w:val="00D720E7"/>
    <w:rsid w:val="00D72B7F"/>
    <w:rsid w:val="00D747ED"/>
    <w:rsid w:val="00D76AA3"/>
    <w:rsid w:val="00D82431"/>
    <w:rsid w:val="00DA7F62"/>
    <w:rsid w:val="00DB189F"/>
    <w:rsid w:val="00DB46A2"/>
    <w:rsid w:val="00DB68AE"/>
    <w:rsid w:val="00DB7340"/>
    <w:rsid w:val="00DB7376"/>
    <w:rsid w:val="00DB7B62"/>
    <w:rsid w:val="00DC391E"/>
    <w:rsid w:val="00DC6771"/>
    <w:rsid w:val="00DD3AFD"/>
    <w:rsid w:val="00DD42E2"/>
    <w:rsid w:val="00DD68C5"/>
    <w:rsid w:val="00DD775E"/>
    <w:rsid w:val="00DE6159"/>
    <w:rsid w:val="00DE6A50"/>
    <w:rsid w:val="00DF156B"/>
    <w:rsid w:val="00DF2702"/>
    <w:rsid w:val="00DF30AE"/>
    <w:rsid w:val="00E01744"/>
    <w:rsid w:val="00E10547"/>
    <w:rsid w:val="00E12924"/>
    <w:rsid w:val="00E202B3"/>
    <w:rsid w:val="00E23EE7"/>
    <w:rsid w:val="00E27AEB"/>
    <w:rsid w:val="00E32E67"/>
    <w:rsid w:val="00E33EA6"/>
    <w:rsid w:val="00E367B6"/>
    <w:rsid w:val="00E37703"/>
    <w:rsid w:val="00E41868"/>
    <w:rsid w:val="00E428C3"/>
    <w:rsid w:val="00E515ED"/>
    <w:rsid w:val="00E54E1E"/>
    <w:rsid w:val="00E551F0"/>
    <w:rsid w:val="00E552A3"/>
    <w:rsid w:val="00E5593A"/>
    <w:rsid w:val="00E55E45"/>
    <w:rsid w:val="00E577D9"/>
    <w:rsid w:val="00E6145F"/>
    <w:rsid w:val="00E72BCB"/>
    <w:rsid w:val="00E73176"/>
    <w:rsid w:val="00EA02D7"/>
    <w:rsid w:val="00EA1AA5"/>
    <w:rsid w:val="00EA370A"/>
    <w:rsid w:val="00EA58AD"/>
    <w:rsid w:val="00EB2A07"/>
    <w:rsid w:val="00EB3053"/>
    <w:rsid w:val="00EB4A01"/>
    <w:rsid w:val="00EB5555"/>
    <w:rsid w:val="00EB557F"/>
    <w:rsid w:val="00EB6D61"/>
    <w:rsid w:val="00EB7A14"/>
    <w:rsid w:val="00EC1363"/>
    <w:rsid w:val="00ED1E3C"/>
    <w:rsid w:val="00ED3E06"/>
    <w:rsid w:val="00EE0020"/>
    <w:rsid w:val="00EE72F6"/>
    <w:rsid w:val="00EF3B3E"/>
    <w:rsid w:val="00EF4B63"/>
    <w:rsid w:val="00EF5617"/>
    <w:rsid w:val="00EF7FC7"/>
    <w:rsid w:val="00F02139"/>
    <w:rsid w:val="00F12AC4"/>
    <w:rsid w:val="00F12BD9"/>
    <w:rsid w:val="00F13A12"/>
    <w:rsid w:val="00F1523B"/>
    <w:rsid w:val="00F25727"/>
    <w:rsid w:val="00F25C57"/>
    <w:rsid w:val="00F31FE3"/>
    <w:rsid w:val="00F32974"/>
    <w:rsid w:val="00F36309"/>
    <w:rsid w:val="00F50D7E"/>
    <w:rsid w:val="00F51412"/>
    <w:rsid w:val="00F51CB8"/>
    <w:rsid w:val="00F541A1"/>
    <w:rsid w:val="00F54DF4"/>
    <w:rsid w:val="00F550DD"/>
    <w:rsid w:val="00F6040D"/>
    <w:rsid w:val="00F6358F"/>
    <w:rsid w:val="00F73F1A"/>
    <w:rsid w:val="00F77498"/>
    <w:rsid w:val="00F869C1"/>
    <w:rsid w:val="00F93C83"/>
    <w:rsid w:val="00FB0251"/>
    <w:rsid w:val="00FB3EE8"/>
    <w:rsid w:val="00FB62CF"/>
    <w:rsid w:val="00FC2853"/>
    <w:rsid w:val="00FC78CD"/>
    <w:rsid w:val="00FD6A94"/>
    <w:rsid w:val="00FE1814"/>
    <w:rsid w:val="00FE7737"/>
    <w:rsid w:val="00FF5E8D"/>
    <w:rsid w:val="00FF6ACD"/>
    <w:rsid w:val="01145951"/>
    <w:rsid w:val="01482928"/>
    <w:rsid w:val="01526ABB"/>
    <w:rsid w:val="01B47A59"/>
    <w:rsid w:val="01B70FEF"/>
    <w:rsid w:val="028326B0"/>
    <w:rsid w:val="037F7FC9"/>
    <w:rsid w:val="03AA4690"/>
    <w:rsid w:val="04182746"/>
    <w:rsid w:val="046C5A66"/>
    <w:rsid w:val="04C01C5A"/>
    <w:rsid w:val="050B6856"/>
    <w:rsid w:val="05750484"/>
    <w:rsid w:val="062702A8"/>
    <w:rsid w:val="07624493"/>
    <w:rsid w:val="07B332B2"/>
    <w:rsid w:val="08464A1F"/>
    <w:rsid w:val="08C3452B"/>
    <w:rsid w:val="093E2A38"/>
    <w:rsid w:val="0B0645A2"/>
    <w:rsid w:val="0C200572"/>
    <w:rsid w:val="0CAD57DC"/>
    <w:rsid w:val="0CF86057"/>
    <w:rsid w:val="0D177805"/>
    <w:rsid w:val="0EA220DE"/>
    <w:rsid w:val="0EF8359E"/>
    <w:rsid w:val="0F38025F"/>
    <w:rsid w:val="0F565B36"/>
    <w:rsid w:val="1031756B"/>
    <w:rsid w:val="10771491"/>
    <w:rsid w:val="10E16942"/>
    <w:rsid w:val="10E44043"/>
    <w:rsid w:val="110E070B"/>
    <w:rsid w:val="113A5FD7"/>
    <w:rsid w:val="118328C8"/>
    <w:rsid w:val="11D54C50"/>
    <w:rsid w:val="121D5045"/>
    <w:rsid w:val="12787CDD"/>
    <w:rsid w:val="129E6898"/>
    <w:rsid w:val="134277E7"/>
    <w:rsid w:val="13B0325D"/>
    <w:rsid w:val="13C5797F"/>
    <w:rsid w:val="13DB7E26"/>
    <w:rsid w:val="13E833B7"/>
    <w:rsid w:val="13F06245"/>
    <w:rsid w:val="14831037"/>
    <w:rsid w:val="16B849F9"/>
    <w:rsid w:val="170809D5"/>
    <w:rsid w:val="17176A71"/>
    <w:rsid w:val="17687AF5"/>
    <w:rsid w:val="17753588"/>
    <w:rsid w:val="181B4601"/>
    <w:rsid w:val="190912AE"/>
    <w:rsid w:val="19BB4AC7"/>
    <w:rsid w:val="1A132F57"/>
    <w:rsid w:val="1A271BF7"/>
    <w:rsid w:val="1A6C68D0"/>
    <w:rsid w:val="1A6F02EB"/>
    <w:rsid w:val="1A8B191C"/>
    <w:rsid w:val="1AEB35C0"/>
    <w:rsid w:val="1B5D1C74"/>
    <w:rsid w:val="1B604DF7"/>
    <w:rsid w:val="1BB42683"/>
    <w:rsid w:val="1C2077B4"/>
    <w:rsid w:val="1C3715D7"/>
    <w:rsid w:val="1CB7371A"/>
    <w:rsid w:val="1D613643"/>
    <w:rsid w:val="1DEE13BE"/>
    <w:rsid w:val="1E780F3D"/>
    <w:rsid w:val="1E864064"/>
    <w:rsid w:val="1F516372"/>
    <w:rsid w:val="1F625BEC"/>
    <w:rsid w:val="201E47C1"/>
    <w:rsid w:val="20215B73"/>
    <w:rsid w:val="2038536A"/>
    <w:rsid w:val="20F4351F"/>
    <w:rsid w:val="21CA447C"/>
    <w:rsid w:val="21E17B5F"/>
    <w:rsid w:val="22711792"/>
    <w:rsid w:val="22734C95"/>
    <w:rsid w:val="22FD52CB"/>
    <w:rsid w:val="23761F39"/>
    <w:rsid w:val="239A6C76"/>
    <w:rsid w:val="23BE0F88"/>
    <w:rsid w:val="23D941DC"/>
    <w:rsid w:val="240C6FB5"/>
    <w:rsid w:val="24304BEB"/>
    <w:rsid w:val="244D325D"/>
    <w:rsid w:val="24C42EE0"/>
    <w:rsid w:val="24CF4AF4"/>
    <w:rsid w:val="25284504"/>
    <w:rsid w:val="253B1C25"/>
    <w:rsid w:val="25430960"/>
    <w:rsid w:val="27570C9B"/>
    <w:rsid w:val="27DC65A6"/>
    <w:rsid w:val="299824CF"/>
    <w:rsid w:val="29D81C33"/>
    <w:rsid w:val="2B2C172B"/>
    <w:rsid w:val="2B4B7916"/>
    <w:rsid w:val="2B5F6A92"/>
    <w:rsid w:val="2CCD2011"/>
    <w:rsid w:val="2CE00C6B"/>
    <w:rsid w:val="2CE10CB2"/>
    <w:rsid w:val="2D256C1F"/>
    <w:rsid w:val="2DAF2D35"/>
    <w:rsid w:val="2DCE59AE"/>
    <w:rsid w:val="2E2B1F4D"/>
    <w:rsid w:val="2F3C308F"/>
    <w:rsid w:val="2F5C4353"/>
    <w:rsid w:val="2FC146BC"/>
    <w:rsid w:val="304447BB"/>
    <w:rsid w:val="308E3936"/>
    <w:rsid w:val="30E03740"/>
    <w:rsid w:val="322B245D"/>
    <w:rsid w:val="323352EB"/>
    <w:rsid w:val="325019BD"/>
    <w:rsid w:val="33057AF5"/>
    <w:rsid w:val="35002E80"/>
    <w:rsid w:val="36AA64F4"/>
    <w:rsid w:val="36DC0CB5"/>
    <w:rsid w:val="374470BC"/>
    <w:rsid w:val="37491AC0"/>
    <w:rsid w:val="37AE5707"/>
    <w:rsid w:val="382A650A"/>
    <w:rsid w:val="392B32DA"/>
    <w:rsid w:val="39355DE8"/>
    <w:rsid w:val="3955089B"/>
    <w:rsid w:val="3A167340"/>
    <w:rsid w:val="3A201269"/>
    <w:rsid w:val="3B087B24"/>
    <w:rsid w:val="3B4861CB"/>
    <w:rsid w:val="3B9D0BF6"/>
    <w:rsid w:val="3CA371C7"/>
    <w:rsid w:val="3CB0609F"/>
    <w:rsid w:val="3D5358A8"/>
    <w:rsid w:val="3E6B4177"/>
    <w:rsid w:val="3E7517F2"/>
    <w:rsid w:val="3EEB7F48"/>
    <w:rsid w:val="3F690816"/>
    <w:rsid w:val="3FAC0006"/>
    <w:rsid w:val="3FEB336E"/>
    <w:rsid w:val="3FF74C02"/>
    <w:rsid w:val="40281B4E"/>
    <w:rsid w:val="40495906"/>
    <w:rsid w:val="412A044A"/>
    <w:rsid w:val="41EA08B5"/>
    <w:rsid w:val="4218487C"/>
    <w:rsid w:val="42A25018"/>
    <w:rsid w:val="42C15095"/>
    <w:rsid w:val="42CD0EA8"/>
    <w:rsid w:val="432A0C13"/>
    <w:rsid w:val="4359650D"/>
    <w:rsid w:val="44181DC4"/>
    <w:rsid w:val="44243658"/>
    <w:rsid w:val="44734A5C"/>
    <w:rsid w:val="448B2102"/>
    <w:rsid w:val="45275804"/>
    <w:rsid w:val="459E6852"/>
    <w:rsid w:val="45BC5CF7"/>
    <w:rsid w:val="45D55D72"/>
    <w:rsid w:val="45E071B1"/>
    <w:rsid w:val="46190E25"/>
    <w:rsid w:val="461A6091"/>
    <w:rsid w:val="462640A2"/>
    <w:rsid w:val="465161EB"/>
    <w:rsid w:val="478046DF"/>
    <w:rsid w:val="48AB636C"/>
    <w:rsid w:val="48BB0BE3"/>
    <w:rsid w:val="49134F46"/>
    <w:rsid w:val="4A167B9B"/>
    <w:rsid w:val="4A9D67FF"/>
    <w:rsid w:val="4AD337D1"/>
    <w:rsid w:val="4B5A0934"/>
    <w:rsid w:val="4BC14E0F"/>
    <w:rsid w:val="4CD22F59"/>
    <w:rsid w:val="4CD928A1"/>
    <w:rsid w:val="4CDB5DA5"/>
    <w:rsid w:val="4DD74D43"/>
    <w:rsid w:val="4E154828"/>
    <w:rsid w:val="4ED36FD8"/>
    <w:rsid w:val="4F5F5AC3"/>
    <w:rsid w:val="4F760F6C"/>
    <w:rsid w:val="506875FB"/>
    <w:rsid w:val="50C20F8E"/>
    <w:rsid w:val="51114590"/>
    <w:rsid w:val="5177669C"/>
    <w:rsid w:val="521B6C41"/>
    <w:rsid w:val="52917F8D"/>
    <w:rsid w:val="53B669E2"/>
    <w:rsid w:val="54A42DF3"/>
    <w:rsid w:val="54C13A1C"/>
    <w:rsid w:val="54C47D9B"/>
    <w:rsid w:val="55332A56"/>
    <w:rsid w:val="557312C2"/>
    <w:rsid w:val="55FC469E"/>
    <w:rsid w:val="561D7976"/>
    <w:rsid w:val="56D30863"/>
    <w:rsid w:val="57A027D0"/>
    <w:rsid w:val="57B0086C"/>
    <w:rsid w:val="57B04FE9"/>
    <w:rsid w:val="58E701E7"/>
    <w:rsid w:val="59CD78E2"/>
    <w:rsid w:val="5A840E96"/>
    <w:rsid w:val="5A93303B"/>
    <w:rsid w:val="5A9F7C3A"/>
    <w:rsid w:val="5AA25F8B"/>
    <w:rsid w:val="5AA31EC3"/>
    <w:rsid w:val="5B1E06CF"/>
    <w:rsid w:val="5BF949F3"/>
    <w:rsid w:val="5C54188A"/>
    <w:rsid w:val="5CA379A2"/>
    <w:rsid w:val="5CD96260"/>
    <w:rsid w:val="5D2B606A"/>
    <w:rsid w:val="5D5D0352"/>
    <w:rsid w:val="5E3C172A"/>
    <w:rsid w:val="5E873FD0"/>
    <w:rsid w:val="5E9661B1"/>
    <w:rsid w:val="5EA24952"/>
    <w:rsid w:val="5F75272C"/>
    <w:rsid w:val="606D163F"/>
    <w:rsid w:val="60711077"/>
    <w:rsid w:val="60A41A75"/>
    <w:rsid w:val="612C5F0B"/>
    <w:rsid w:val="61857F0D"/>
    <w:rsid w:val="619239A0"/>
    <w:rsid w:val="62D90DD0"/>
    <w:rsid w:val="6314609A"/>
    <w:rsid w:val="637451BA"/>
    <w:rsid w:val="63B523A0"/>
    <w:rsid w:val="63BB0E9D"/>
    <w:rsid w:val="64CB796A"/>
    <w:rsid w:val="65D43A20"/>
    <w:rsid w:val="65D649A4"/>
    <w:rsid w:val="663E4DDE"/>
    <w:rsid w:val="66CE5E36"/>
    <w:rsid w:val="66EB31E7"/>
    <w:rsid w:val="66FB5D64"/>
    <w:rsid w:val="67217E3E"/>
    <w:rsid w:val="67364930"/>
    <w:rsid w:val="67577CF2"/>
    <w:rsid w:val="67E31201"/>
    <w:rsid w:val="68596C41"/>
    <w:rsid w:val="687A7176"/>
    <w:rsid w:val="6949088D"/>
    <w:rsid w:val="69A433E0"/>
    <w:rsid w:val="6B221653"/>
    <w:rsid w:val="6B3F7DEE"/>
    <w:rsid w:val="6B547D38"/>
    <w:rsid w:val="6BCE056D"/>
    <w:rsid w:val="6CA12DC9"/>
    <w:rsid w:val="6CC11FF9"/>
    <w:rsid w:val="6CE448A1"/>
    <w:rsid w:val="6D564220"/>
    <w:rsid w:val="6D837B38"/>
    <w:rsid w:val="6D9248D0"/>
    <w:rsid w:val="6DB15184"/>
    <w:rsid w:val="6E82142B"/>
    <w:rsid w:val="6E9544FD"/>
    <w:rsid w:val="6F3708DB"/>
    <w:rsid w:val="6FCE1FE4"/>
    <w:rsid w:val="709C13CF"/>
    <w:rsid w:val="70DD65B6"/>
    <w:rsid w:val="71733631"/>
    <w:rsid w:val="71CB1AC1"/>
    <w:rsid w:val="724E4B0C"/>
    <w:rsid w:val="72AA112F"/>
    <w:rsid w:val="73CD3064"/>
    <w:rsid w:val="75656A7A"/>
    <w:rsid w:val="75D738C5"/>
    <w:rsid w:val="76C60F28"/>
    <w:rsid w:val="778F3CF8"/>
    <w:rsid w:val="77D558AA"/>
    <w:rsid w:val="78173D95"/>
    <w:rsid w:val="7A5E74D2"/>
    <w:rsid w:val="7AD87484"/>
    <w:rsid w:val="7C1977A8"/>
    <w:rsid w:val="7D497E9A"/>
    <w:rsid w:val="7DCD06E4"/>
    <w:rsid w:val="7E741677"/>
    <w:rsid w:val="7E8666DE"/>
    <w:rsid w:val="7EA832D9"/>
    <w:rsid w:val="7FAC7684"/>
    <w:rsid w:val="7FBA7C9E"/>
    <w:rsid w:val="7FF3587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1701</Words>
  <Characters>9697</Characters>
  <Lines>80</Lines>
  <Paragraphs>22</Paragraphs>
  <TotalTime>12</TotalTime>
  <ScaleCrop>false</ScaleCrop>
  <LinksUpToDate>false</LinksUpToDate>
  <CharactersWithSpaces>11376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2019-07-29T02:56:00Z</dcterms:created>
  <dc:creator>杨丽</dc:creator>
  <cp:lastModifiedBy>WPS_1678700464</cp:lastModifiedBy>
  <cp:lastPrinted>2019-10-10T03:56:00Z</cp:lastPrinted>
  <dcterms:modified xsi:type="dcterms:W3CDTF">2023-04-14T08:24:10Z</dcterms:modified>
  <dc:title>财〔2002〕号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05A58C48726746758560B9AACAC1F1C4_12</vt:lpwstr>
  </property>
</Properties>
</file>