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i w:val="0"/>
          <w:caps w:val="0"/>
          <w:color w:val="333333"/>
          <w:spacing w:val="0"/>
          <w:sz w:val="36"/>
          <w:szCs w:val="36"/>
        </w:rPr>
      </w:pPr>
      <w:r>
        <w:rPr>
          <w:rFonts w:hint="eastAsia" w:ascii="微软雅黑" w:hAnsi="微软雅黑" w:eastAsia="微软雅黑" w:cs="微软雅黑"/>
          <w:b w:val="0"/>
          <w:i w:val="0"/>
          <w:caps w:val="0"/>
          <w:color w:val="333333"/>
          <w:spacing w:val="0"/>
          <w:sz w:val="36"/>
          <w:szCs w:val="36"/>
          <w:shd w:val="clear" w:fill="FFFFFF"/>
        </w:rPr>
        <w:t>八公山区</w:t>
      </w:r>
      <w:r>
        <w:rPr>
          <w:rFonts w:hint="eastAsia" w:ascii="微软雅黑" w:hAnsi="微软雅黑" w:eastAsia="微软雅黑" w:cs="微软雅黑"/>
          <w:b w:val="0"/>
          <w:i w:val="0"/>
          <w:caps w:val="0"/>
          <w:color w:val="333333"/>
          <w:spacing w:val="0"/>
          <w:sz w:val="36"/>
          <w:szCs w:val="36"/>
          <w:shd w:val="clear" w:fill="FFFFFF"/>
          <w:lang w:eastAsia="zh-CN"/>
        </w:rPr>
        <w:t>司法局</w:t>
      </w:r>
      <w:r>
        <w:rPr>
          <w:rFonts w:hint="eastAsia" w:ascii="微软雅黑" w:hAnsi="微软雅黑" w:eastAsia="微软雅黑" w:cs="微软雅黑"/>
          <w:b w:val="0"/>
          <w:i w:val="0"/>
          <w:caps w:val="0"/>
          <w:color w:val="333333"/>
          <w:spacing w:val="0"/>
          <w:sz w:val="36"/>
          <w:szCs w:val="36"/>
          <w:shd w:val="clear" w:fill="FFFFFF"/>
        </w:rPr>
        <w:t>20</w:t>
      </w:r>
      <w:r>
        <w:rPr>
          <w:rFonts w:hint="eastAsia" w:ascii="微软雅黑" w:hAnsi="微软雅黑" w:eastAsia="微软雅黑" w:cs="微软雅黑"/>
          <w:b w:val="0"/>
          <w:i w:val="0"/>
          <w:caps w:val="0"/>
          <w:color w:val="333333"/>
          <w:spacing w:val="0"/>
          <w:sz w:val="36"/>
          <w:szCs w:val="36"/>
          <w:shd w:val="clear" w:fill="FFFFFF"/>
          <w:lang w:val="en-US" w:eastAsia="zh-CN"/>
        </w:rPr>
        <w:t>20</w:t>
      </w:r>
      <w:r>
        <w:rPr>
          <w:rFonts w:hint="eastAsia" w:ascii="微软雅黑" w:hAnsi="微软雅黑" w:eastAsia="微软雅黑" w:cs="微软雅黑"/>
          <w:b w:val="0"/>
          <w:i w:val="0"/>
          <w:caps w:val="0"/>
          <w:color w:val="333333"/>
          <w:spacing w:val="0"/>
          <w:sz w:val="36"/>
          <w:szCs w:val="36"/>
          <w:shd w:val="clear" w:fill="FFFFFF"/>
        </w:rPr>
        <w:t>年信息公开工作年度报告</w:t>
      </w:r>
    </w:p>
    <w:p>
      <w:pPr>
        <w:jc w:val="center"/>
        <w:rPr>
          <w:rFonts w:hint="eastAsia"/>
          <w:sz w:val="72"/>
          <w:szCs w:val="72"/>
          <w:lang w:eastAsia="zh-CN"/>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报告依据《中华人民共和国政府信息公开条例》（国务院令第711号）《国务院办公厅政府信息与政务公开办公室关于政府信息公开工作年度报告有关事项的通知》（国办公开办函〔2019〕60号）要求，结合八公山区司法局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w:t>
      </w:r>
      <w:r>
        <w:rPr>
          <w:rFonts w:hint="eastAsia" w:ascii="宋体" w:hAnsi="宋体" w:eastAsia="宋体" w:cs="宋体"/>
          <w:sz w:val="28"/>
          <w:szCs w:val="28"/>
          <w:lang w:val="en-US" w:eastAsia="zh-CN"/>
        </w:rPr>
        <w:t>20</w:t>
      </w:r>
      <w:r>
        <w:rPr>
          <w:rFonts w:hint="eastAsia" w:ascii="宋体" w:hAnsi="宋体" w:eastAsia="宋体" w:cs="宋体"/>
          <w:sz w:val="28"/>
          <w:szCs w:val="28"/>
          <w:lang w:eastAsia="zh-CN"/>
        </w:rPr>
        <w:t>年1月1日至12月31日。报告的电子版可在淮南市八公山区政府信息公开网“政府信息公开年报”栏目中下载。如对本报告有任何疑问，请与淮南市八公山区司法局办公室联系。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地址：淮南市八公山区八公山路西</w:t>
      </w:r>
      <w:r>
        <w:rPr>
          <w:rFonts w:hint="eastAsia" w:ascii="宋体" w:hAnsi="宋体" w:eastAsia="宋体" w:cs="宋体"/>
          <w:sz w:val="28"/>
          <w:szCs w:val="28"/>
          <w:lang w:val="en-US" w:eastAsia="zh-CN"/>
        </w:rPr>
        <w:t>50米</w:t>
      </w:r>
      <w:r>
        <w:rPr>
          <w:rFonts w:hint="eastAsia" w:ascii="宋体" w:hAnsi="宋体" w:eastAsia="宋体" w:cs="宋体"/>
          <w:sz w:val="28"/>
          <w:szCs w:val="28"/>
          <w:lang w:eastAsia="zh-CN"/>
        </w:rPr>
        <w:t>0554-</w:t>
      </w:r>
      <w:r>
        <w:rPr>
          <w:rFonts w:hint="eastAsia" w:ascii="宋体" w:hAnsi="宋体" w:eastAsia="宋体" w:cs="宋体"/>
          <w:sz w:val="28"/>
          <w:szCs w:val="28"/>
          <w:lang w:val="en-US" w:eastAsia="zh-CN"/>
        </w:rPr>
        <w:t>2795299</w:t>
      </w:r>
      <w:r>
        <w:rPr>
          <w:rFonts w:hint="eastAsia" w:ascii="宋体" w:hAnsi="宋体" w:eastAsia="宋体" w:cs="宋体"/>
          <w:sz w:val="28"/>
          <w:szCs w:val="28"/>
          <w:lang w:eastAsia="zh-CN"/>
        </w:rPr>
        <w:t>，邮编：232072。</w:t>
      </w:r>
    </w:p>
    <w:p>
      <w:pPr>
        <w:pStyle w:val="3"/>
        <w:bidi w:val="0"/>
        <w:ind w:firstLine="321" w:firstLineChars="100"/>
        <w:rPr>
          <w:rFonts w:hint="eastAsia"/>
          <w:lang w:eastAsia="zh-CN"/>
        </w:rPr>
      </w:pPr>
      <w:r>
        <w:rPr>
          <w:rFonts w:hint="eastAsia"/>
          <w:lang w:eastAsia="zh-CN"/>
        </w:rPr>
        <w:t>一、总体情况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（一）主动公开</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目前，区司法局主要通过本局门户网站、政务公开宣传栏、微博媒体主动公开本局的政府信息。</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（1）区司法局门户网站主动公开政府信息情况。区司法局门户网站发布政府信息</w:t>
      </w:r>
      <w:r>
        <w:rPr>
          <w:rFonts w:hint="eastAsia" w:ascii="宋体" w:hAnsi="宋体" w:eastAsia="宋体" w:cs="宋体"/>
          <w:sz w:val="28"/>
          <w:szCs w:val="28"/>
          <w:lang w:val="en-US" w:eastAsia="zh-CN"/>
        </w:rPr>
        <w:t>1919</w:t>
      </w:r>
      <w:r>
        <w:rPr>
          <w:rFonts w:hint="eastAsia" w:ascii="宋体" w:hAnsi="宋体" w:eastAsia="宋体" w:cs="宋体"/>
          <w:sz w:val="28"/>
          <w:szCs w:val="28"/>
          <w:lang w:eastAsia="zh-CN"/>
        </w:rPr>
        <w:t>条。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）通过网络微博公开政府信息情况。司法局提供的政府新闻信息</w:t>
      </w:r>
      <w:r>
        <w:rPr>
          <w:rFonts w:hint="eastAsia" w:ascii="宋体" w:hAnsi="宋体" w:eastAsia="宋体" w:cs="宋体"/>
          <w:sz w:val="28"/>
          <w:szCs w:val="28"/>
          <w:lang w:val="en-US" w:eastAsia="zh-CN"/>
        </w:rPr>
        <w:t>247</w:t>
      </w:r>
      <w:r>
        <w:rPr>
          <w:rFonts w:hint="eastAsia" w:ascii="宋体" w:hAnsi="宋体" w:eastAsia="宋体" w:cs="宋体"/>
          <w:sz w:val="28"/>
          <w:szCs w:val="28"/>
          <w:lang w:eastAsia="zh-CN"/>
        </w:rPr>
        <w:t>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（二）依申请公开</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目前，司法局依申请公开无，依申请公开目录2条</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平台建设</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b w:val="0"/>
          <w:i w:val="0"/>
          <w:caps w:val="0"/>
          <w:color w:val="000000"/>
          <w:spacing w:val="0"/>
          <w:sz w:val="28"/>
          <w:szCs w:val="28"/>
          <w:shd w:val="clear" w:fill="FFFFFF"/>
        </w:rPr>
        <w:t>合理打造“</w:t>
      </w:r>
      <w:r>
        <w:rPr>
          <w:rFonts w:hint="eastAsia" w:ascii="宋体" w:hAnsi="宋体" w:eastAsia="宋体" w:cs="宋体"/>
          <w:b w:val="0"/>
          <w:i w:val="0"/>
          <w:caps w:val="0"/>
          <w:color w:val="000000"/>
          <w:spacing w:val="0"/>
          <w:sz w:val="28"/>
          <w:szCs w:val="28"/>
          <w:shd w:val="clear" w:fill="FFFFFF"/>
          <w:lang w:eastAsia="zh-CN"/>
        </w:rPr>
        <w:t>八区司法局</w:t>
      </w:r>
      <w:r>
        <w:rPr>
          <w:rFonts w:hint="eastAsia" w:ascii="宋体" w:hAnsi="宋体" w:eastAsia="宋体" w:cs="宋体"/>
          <w:b w:val="0"/>
          <w:i w:val="0"/>
          <w:caps w:val="0"/>
          <w:color w:val="000000"/>
          <w:spacing w:val="0"/>
          <w:sz w:val="28"/>
          <w:szCs w:val="28"/>
          <w:shd w:val="clear" w:fill="FFFFFF"/>
        </w:rPr>
        <w:t>”网站，注重发挥民政政务信息公开主渠道作用，紧密结合工作实际，紧紧围绕“丰富内容、打造品牌、形成特色”的要求，从规范政务信息公开栏目设置入手，加强政务信息公开栏目设置，努力提升平台建设水平。</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（四）监督保障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加强领导，完善政务公开机制。八公山区高度重视政务公开工作，推进、指导、协调、督促全区政务信息公开工作。结合区情，领取了《2019年八公山区政务公开工作要点》，对全局政务公开工作进行安排部署，进一步明确了工作重点、工作任务和具体要求。全区各单位按照文件要求，分别成立组织，明确责任领导和具体负责人，并制定本单位政务公开的年度工作计划、工作措施、配套制度，形成了职责明确、上下统一、层层把关的工作格局，有力地促进了我局政务公开工作科学化、规范化、制度化开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（五）贯彻落实新条例情况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开设专栏，深入开展宣传解读。在政府信息公开网政府信息公开工作专题开设新《解读》宣传专题栏目，及时发布新《解读》全文及相关政策解读，向广大群众广泛宣传解读新《解读》的新举措、新内容及相关工作动态。</w:t>
      </w:r>
    </w:p>
    <w:p>
      <w:pPr>
        <w:pStyle w:val="3"/>
        <w:bidi w:val="0"/>
        <w:rPr>
          <w:rFonts w:hint="eastAsia"/>
          <w:lang w:eastAsia="zh-CN"/>
        </w:rPr>
      </w:pPr>
      <w:r>
        <w:rPr>
          <w:rFonts w:hint="eastAsia"/>
          <w:lang w:eastAsia="zh-CN"/>
        </w:rPr>
        <w:t>二、主动公开政府信息情况</w:t>
      </w:r>
    </w:p>
    <w:tbl>
      <w:tblPr>
        <w:tblStyle w:val="6"/>
        <w:tblW w:w="9288" w:type="dxa"/>
        <w:tblInd w:w="0" w:type="dxa"/>
        <w:tblLayout w:type="autofit"/>
        <w:tblCellMar>
          <w:top w:w="0" w:type="dxa"/>
          <w:left w:w="0" w:type="dxa"/>
          <w:bottom w:w="0" w:type="dxa"/>
          <w:right w:w="0" w:type="dxa"/>
        </w:tblCellMar>
      </w:tblPr>
      <w:tblGrid>
        <w:gridCol w:w="3336"/>
        <w:gridCol w:w="1975"/>
        <w:gridCol w:w="1826"/>
        <w:gridCol w:w="2151"/>
      </w:tblGrid>
      <w:tr>
        <w:tblPrEx>
          <w:tblCellMar>
            <w:top w:w="0" w:type="dxa"/>
            <w:left w:w="0" w:type="dxa"/>
            <w:bottom w:w="0" w:type="dxa"/>
            <w:right w:w="0" w:type="dxa"/>
          </w:tblCellMar>
        </w:tblPrEx>
        <w:trPr>
          <w:trHeight w:val="495" w:hRule="atLeast"/>
        </w:trPr>
        <w:tc>
          <w:tcPr>
            <w:tcW w:w="9288"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ind w:right="714" w:rightChars="340"/>
              <w:jc w:val="center"/>
              <w:rPr>
                <w:rFonts w:ascii="宋体" w:hAnsi="宋体" w:cs="宋体"/>
                <w:kern w:val="0"/>
                <w:sz w:val="24"/>
              </w:rPr>
            </w:pPr>
            <w:r>
              <w:rPr>
                <w:rFonts w:hint="eastAsia" w:ascii="宋体" w:hAnsi="宋体" w:cs="宋体"/>
                <w:color w:val="000000"/>
                <w:kern w:val="0"/>
                <w:sz w:val="24"/>
              </w:rPr>
              <w:t>第二十条第（一）项</w:t>
            </w:r>
          </w:p>
        </w:tc>
      </w:tr>
      <w:tr>
        <w:tblPrEx>
          <w:tblCellMar>
            <w:top w:w="0" w:type="dxa"/>
            <w:left w:w="0" w:type="dxa"/>
            <w:bottom w:w="0" w:type="dxa"/>
            <w:right w:w="0" w:type="dxa"/>
          </w:tblCellMar>
        </w:tblPrEx>
        <w:trPr>
          <w:trHeight w:val="882"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信息内容</w:t>
            </w:r>
          </w:p>
        </w:tc>
        <w:tc>
          <w:tcPr>
            <w:tcW w:w="19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本年新</w:t>
            </w:r>
            <w:r>
              <w:rPr>
                <w:rFonts w:hint="eastAsia" w:ascii="宋体" w:hAnsi="宋体" w:cs="宋体"/>
                <w:color w:val="000000"/>
                <w:kern w:val="0"/>
                <w:sz w:val="24"/>
              </w:rPr>
              <w:br w:type="textWrapping"/>
            </w:r>
            <w:r>
              <w:rPr>
                <w:rFonts w:ascii="宋体" w:hAnsi="宋体" w:cs="宋体"/>
                <w:kern w:val="0"/>
                <w:sz w:val="24"/>
              </w:rPr>
              <w:t>制作数量</w:t>
            </w:r>
          </w:p>
        </w:tc>
        <w:tc>
          <w:tcPr>
            <w:tcW w:w="18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本年新</w:t>
            </w:r>
            <w:r>
              <w:rPr>
                <w:rFonts w:hint="eastAsia" w:ascii="宋体" w:hAnsi="宋体" w:cs="宋体"/>
                <w:color w:val="000000"/>
                <w:kern w:val="0"/>
                <w:sz w:val="24"/>
              </w:rPr>
              <w:br w:type="textWrapping"/>
            </w:r>
            <w:r>
              <w:rPr>
                <w:rFonts w:ascii="宋体" w:hAnsi="宋体" w:cs="宋体"/>
                <w:kern w:val="0"/>
                <w:sz w:val="24"/>
              </w:rPr>
              <w:t>公开数量</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对外公开总数量</w:t>
            </w:r>
          </w:p>
        </w:tc>
      </w:tr>
      <w:tr>
        <w:tblPrEx>
          <w:tblCellMar>
            <w:top w:w="0" w:type="dxa"/>
            <w:left w:w="0" w:type="dxa"/>
            <w:bottom w:w="0" w:type="dxa"/>
            <w:right w:w="0" w:type="dxa"/>
          </w:tblCellMar>
        </w:tblPrEx>
        <w:trPr>
          <w:trHeight w:val="523"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规章</w:t>
            </w:r>
          </w:p>
        </w:tc>
        <w:tc>
          <w:tcPr>
            <w:tcW w:w="19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r>
      <w:tr>
        <w:tblPrEx>
          <w:tblCellMar>
            <w:top w:w="0" w:type="dxa"/>
            <w:left w:w="0" w:type="dxa"/>
            <w:bottom w:w="0" w:type="dxa"/>
            <w:right w:w="0" w:type="dxa"/>
          </w:tblCellMar>
        </w:tblPrEx>
        <w:trPr>
          <w:trHeight w:val="471"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仿宋_GB2312" w:cs="宋体"/>
                <w:kern w:val="0"/>
                <w:sz w:val="24"/>
                <w:lang w:val="en-US" w:eastAsia="zh-CN"/>
              </w:rPr>
            </w:pPr>
            <w:r>
              <w:rPr>
                <w:rFonts w:hint="eastAsia" w:ascii="宋体" w:hAnsi="宋体" w:cs="宋体"/>
                <w:color w:val="000000"/>
                <w:kern w:val="0"/>
                <w:sz w:val="24"/>
              </w:rPr>
              <w:t>规范性文件</w:t>
            </w:r>
          </w:p>
        </w:tc>
        <w:tc>
          <w:tcPr>
            <w:tcW w:w="19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color w:val="000000"/>
                <w:kern w:val="0"/>
                <w:sz w:val="24"/>
                <w:lang w:val="en-US" w:eastAsia="zh-CN"/>
              </w:rPr>
              <w:t>0</w:t>
            </w:r>
          </w:p>
        </w:tc>
        <w:tc>
          <w:tcPr>
            <w:tcW w:w="182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kern w:val="0"/>
                <w:sz w:val="24"/>
                <w:lang w:eastAsia="zh-CN"/>
              </w:rPr>
            </w:pPr>
            <w:r>
              <w:rPr>
                <w:rFonts w:hint="eastAsia" w:ascii="宋体" w:hAnsi="宋体" w:eastAsia="宋体" w:cs="宋体"/>
                <w:color w:val="000000"/>
                <w:kern w:val="0"/>
                <w:sz w:val="24"/>
                <w:lang w:val="en-US" w:eastAsia="zh-CN"/>
              </w:rPr>
              <w:t>0</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lang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80" w:hRule="atLeast"/>
        </w:trPr>
        <w:tc>
          <w:tcPr>
            <w:tcW w:w="9288"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第二十条第（五）项</w:t>
            </w:r>
          </w:p>
        </w:tc>
      </w:tr>
      <w:tr>
        <w:tblPrEx>
          <w:tblCellMar>
            <w:top w:w="0" w:type="dxa"/>
            <w:left w:w="0" w:type="dxa"/>
            <w:bottom w:w="0" w:type="dxa"/>
            <w:right w:w="0" w:type="dxa"/>
          </w:tblCellMar>
        </w:tblPrEx>
        <w:trPr>
          <w:trHeight w:val="634"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信息内容</w:t>
            </w:r>
          </w:p>
        </w:tc>
        <w:tc>
          <w:tcPr>
            <w:tcW w:w="19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上一年项目数量</w:t>
            </w:r>
          </w:p>
        </w:tc>
        <w:tc>
          <w:tcPr>
            <w:tcW w:w="18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本年增/减</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528" w:hRule="atLeast"/>
        </w:trPr>
        <w:tc>
          <w:tcPr>
            <w:tcW w:w="3336" w:type="dxa"/>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kern w:val="0"/>
                <w:sz w:val="24"/>
              </w:rPr>
            </w:pPr>
            <w:r>
              <w:rPr>
                <w:rFonts w:hint="eastAsia" w:ascii="宋体" w:hAnsi="宋体" w:cs="宋体"/>
                <w:color w:val="000000"/>
                <w:kern w:val="0"/>
                <w:sz w:val="24"/>
              </w:rPr>
              <w:t>行政许可</w:t>
            </w:r>
          </w:p>
        </w:tc>
        <w:tc>
          <w:tcPr>
            <w:tcW w:w="1975" w:type="dxa"/>
            <w:tcBorders>
              <w:top w:val="nil"/>
              <w:left w:val="nil"/>
              <w:bottom w:val="single" w:color="auto" w:sz="8" w:space="0"/>
              <w:right w:val="single" w:color="auto" w:sz="8" w:space="0"/>
            </w:tcBorders>
            <w:noWrap/>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18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r>
      <w:tr>
        <w:tblPrEx>
          <w:tblCellMar>
            <w:top w:w="0" w:type="dxa"/>
            <w:left w:w="0" w:type="dxa"/>
            <w:bottom w:w="0" w:type="dxa"/>
            <w:right w:w="0" w:type="dxa"/>
          </w:tblCellMar>
        </w:tblPrEx>
        <w:trPr>
          <w:trHeight w:val="550" w:hRule="atLeast"/>
        </w:trPr>
        <w:tc>
          <w:tcPr>
            <w:tcW w:w="3336" w:type="dxa"/>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kern w:val="0"/>
                <w:sz w:val="24"/>
              </w:rPr>
            </w:pPr>
            <w:r>
              <w:rPr>
                <w:rFonts w:hint="eastAsia" w:ascii="宋体" w:hAnsi="宋体" w:cs="宋体"/>
                <w:color w:val="000000"/>
                <w:kern w:val="0"/>
                <w:sz w:val="24"/>
              </w:rPr>
              <w:t>其他对外管理服务事项</w:t>
            </w:r>
          </w:p>
        </w:tc>
        <w:tc>
          <w:tcPr>
            <w:tcW w:w="1975" w:type="dxa"/>
            <w:tcBorders>
              <w:top w:val="nil"/>
              <w:left w:val="nil"/>
              <w:bottom w:val="single" w:color="auto" w:sz="8" w:space="0"/>
              <w:right w:val="single" w:color="auto" w:sz="8" w:space="0"/>
            </w:tcBorders>
            <w:noWrap/>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3</w:t>
            </w:r>
          </w:p>
        </w:tc>
        <w:tc>
          <w:tcPr>
            <w:tcW w:w="18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ind w:left="120" w:hanging="120" w:hangingChars="50"/>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3</w:t>
            </w:r>
          </w:p>
        </w:tc>
      </w:tr>
      <w:tr>
        <w:tblPrEx>
          <w:tblCellMar>
            <w:top w:w="0" w:type="dxa"/>
            <w:left w:w="0" w:type="dxa"/>
            <w:bottom w:w="0" w:type="dxa"/>
            <w:right w:w="0" w:type="dxa"/>
          </w:tblCellMar>
        </w:tblPrEx>
        <w:trPr>
          <w:trHeight w:val="406" w:hRule="atLeast"/>
        </w:trPr>
        <w:tc>
          <w:tcPr>
            <w:tcW w:w="9288"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第二十条第（六）项</w:t>
            </w:r>
          </w:p>
        </w:tc>
      </w:tr>
      <w:tr>
        <w:tblPrEx>
          <w:tblCellMar>
            <w:top w:w="0" w:type="dxa"/>
            <w:left w:w="0" w:type="dxa"/>
            <w:bottom w:w="0" w:type="dxa"/>
            <w:right w:w="0" w:type="dxa"/>
          </w:tblCellMar>
        </w:tblPrEx>
        <w:trPr>
          <w:trHeight w:val="634"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信息内容</w:t>
            </w:r>
          </w:p>
        </w:tc>
        <w:tc>
          <w:tcPr>
            <w:tcW w:w="19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上一年项目数量</w:t>
            </w:r>
          </w:p>
        </w:tc>
        <w:tc>
          <w:tcPr>
            <w:tcW w:w="18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本年增/减</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430" w:hRule="atLeast"/>
        </w:trPr>
        <w:tc>
          <w:tcPr>
            <w:tcW w:w="3336" w:type="dxa"/>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kern w:val="0"/>
                <w:sz w:val="24"/>
              </w:rPr>
            </w:pPr>
            <w:r>
              <w:rPr>
                <w:rFonts w:hint="eastAsia" w:ascii="宋体" w:hAnsi="宋体" w:cs="宋体"/>
                <w:color w:val="000000"/>
                <w:kern w:val="0"/>
                <w:sz w:val="24"/>
              </w:rPr>
              <w:t>行政处罚</w:t>
            </w:r>
          </w:p>
        </w:tc>
        <w:tc>
          <w:tcPr>
            <w:tcW w:w="1975" w:type="dxa"/>
            <w:tcBorders>
              <w:top w:val="nil"/>
              <w:left w:val="nil"/>
              <w:bottom w:val="single" w:color="auto" w:sz="8" w:space="0"/>
              <w:right w:val="single" w:color="auto" w:sz="8" w:space="0"/>
            </w:tcBorders>
            <w:noWrap/>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3</w:t>
            </w:r>
          </w:p>
        </w:tc>
        <w:tc>
          <w:tcPr>
            <w:tcW w:w="18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3</w:t>
            </w:r>
          </w:p>
        </w:tc>
      </w:tr>
      <w:tr>
        <w:tblPrEx>
          <w:tblCellMar>
            <w:top w:w="0" w:type="dxa"/>
            <w:left w:w="0" w:type="dxa"/>
            <w:bottom w:w="0" w:type="dxa"/>
            <w:right w:w="0" w:type="dxa"/>
          </w:tblCellMar>
        </w:tblPrEx>
        <w:trPr>
          <w:trHeight w:val="409" w:hRule="atLeast"/>
        </w:trPr>
        <w:tc>
          <w:tcPr>
            <w:tcW w:w="3336" w:type="dxa"/>
            <w:tcBorders>
              <w:top w:val="nil"/>
              <w:left w:val="single" w:color="auto" w:sz="8" w:space="0"/>
              <w:bottom w:val="single" w:color="auto" w:sz="8" w:space="0"/>
              <w:right w:val="single" w:color="auto" w:sz="8" w:space="0"/>
            </w:tcBorders>
            <w:noWrap/>
            <w:vAlign w:val="center"/>
          </w:tcPr>
          <w:p>
            <w:pPr>
              <w:widowControl/>
              <w:jc w:val="center"/>
              <w:rPr>
                <w:rFonts w:ascii="宋体" w:hAnsi="宋体" w:cs="宋体"/>
                <w:kern w:val="0"/>
                <w:sz w:val="24"/>
              </w:rPr>
            </w:pPr>
            <w:r>
              <w:rPr>
                <w:rFonts w:hint="eastAsia" w:ascii="宋体" w:hAnsi="宋体" w:cs="宋体"/>
                <w:color w:val="000000"/>
                <w:kern w:val="0"/>
                <w:sz w:val="24"/>
              </w:rPr>
              <w:t>行政强制</w:t>
            </w:r>
          </w:p>
        </w:tc>
        <w:tc>
          <w:tcPr>
            <w:tcW w:w="1975" w:type="dxa"/>
            <w:tcBorders>
              <w:top w:val="nil"/>
              <w:left w:val="nil"/>
              <w:bottom w:val="single" w:color="auto" w:sz="8" w:space="0"/>
              <w:right w:val="single" w:color="auto" w:sz="8" w:space="0"/>
            </w:tcBorders>
            <w:noWrap/>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18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hint="eastAsia" w:ascii="宋体" w:hAnsi="宋体" w:cs="宋体"/>
                <w:color w:val="000000"/>
                <w:kern w:val="0"/>
                <w:sz w:val="24"/>
                <w:lang w:val="en-US" w:eastAsia="zh-CN"/>
              </w:rPr>
              <w:t>0</w:t>
            </w:r>
          </w:p>
        </w:tc>
        <w:tc>
          <w:tcPr>
            <w:tcW w:w="21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r>
      <w:tr>
        <w:tblPrEx>
          <w:tblCellMar>
            <w:top w:w="0" w:type="dxa"/>
            <w:left w:w="0" w:type="dxa"/>
            <w:bottom w:w="0" w:type="dxa"/>
            <w:right w:w="0" w:type="dxa"/>
          </w:tblCellMar>
        </w:tblPrEx>
        <w:trPr>
          <w:trHeight w:val="474" w:hRule="atLeast"/>
        </w:trPr>
        <w:tc>
          <w:tcPr>
            <w:tcW w:w="9288"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第二十条第（八）项</w:t>
            </w:r>
          </w:p>
        </w:tc>
      </w:tr>
      <w:tr>
        <w:tblPrEx>
          <w:tblCellMar>
            <w:top w:w="0" w:type="dxa"/>
            <w:left w:w="0" w:type="dxa"/>
            <w:bottom w:w="0" w:type="dxa"/>
            <w:right w:w="0" w:type="dxa"/>
          </w:tblCellMar>
        </w:tblPrEx>
        <w:trPr>
          <w:trHeight w:val="270"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信息内容</w:t>
            </w:r>
          </w:p>
        </w:tc>
        <w:tc>
          <w:tcPr>
            <w:tcW w:w="19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上一年项目数量</w:t>
            </w:r>
          </w:p>
        </w:tc>
        <w:tc>
          <w:tcPr>
            <w:tcW w:w="3977"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本年增/减</w:t>
            </w:r>
          </w:p>
        </w:tc>
      </w:tr>
      <w:tr>
        <w:tblPrEx>
          <w:tblCellMar>
            <w:top w:w="0" w:type="dxa"/>
            <w:left w:w="0" w:type="dxa"/>
            <w:bottom w:w="0" w:type="dxa"/>
            <w:right w:w="0" w:type="dxa"/>
          </w:tblCellMar>
        </w:tblPrEx>
        <w:trPr>
          <w:trHeight w:val="551"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行政事业性收费</w:t>
            </w:r>
          </w:p>
        </w:tc>
        <w:tc>
          <w:tcPr>
            <w:tcW w:w="19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c>
          <w:tcPr>
            <w:tcW w:w="3977"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eastAsia="zh-CN"/>
              </w:rPr>
            </w:pPr>
            <w:r>
              <w:rPr>
                <w:rFonts w:hint="eastAsia" w:ascii="宋体" w:hAnsi="宋体" w:cs="宋体"/>
                <w:color w:val="000000"/>
                <w:kern w:val="0"/>
                <w:sz w:val="24"/>
                <w:lang w:val="en-US" w:eastAsia="zh-CN"/>
              </w:rPr>
              <w:t>0</w:t>
            </w:r>
          </w:p>
        </w:tc>
      </w:tr>
      <w:tr>
        <w:tblPrEx>
          <w:tblCellMar>
            <w:top w:w="0" w:type="dxa"/>
            <w:left w:w="0" w:type="dxa"/>
            <w:bottom w:w="0" w:type="dxa"/>
            <w:right w:w="0" w:type="dxa"/>
          </w:tblCellMar>
        </w:tblPrEx>
        <w:trPr>
          <w:trHeight w:val="476" w:hRule="atLeast"/>
        </w:trPr>
        <w:tc>
          <w:tcPr>
            <w:tcW w:w="9288"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第二十条第（九）项</w:t>
            </w:r>
          </w:p>
        </w:tc>
      </w:tr>
      <w:tr>
        <w:tblPrEx>
          <w:tblCellMar>
            <w:top w:w="0" w:type="dxa"/>
            <w:left w:w="0" w:type="dxa"/>
            <w:bottom w:w="0" w:type="dxa"/>
            <w:right w:w="0" w:type="dxa"/>
          </w:tblCellMar>
        </w:tblPrEx>
        <w:trPr>
          <w:trHeight w:val="585"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信息内容</w:t>
            </w:r>
          </w:p>
        </w:tc>
        <w:tc>
          <w:tcPr>
            <w:tcW w:w="19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采购项目数量</w:t>
            </w:r>
          </w:p>
        </w:tc>
        <w:tc>
          <w:tcPr>
            <w:tcW w:w="3977"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采购总金额</w:t>
            </w:r>
          </w:p>
        </w:tc>
      </w:tr>
      <w:tr>
        <w:tblPrEx>
          <w:tblCellMar>
            <w:top w:w="0" w:type="dxa"/>
            <w:left w:w="0" w:type="dxa"/>
            <w:bottom w:w="0" w:type="dxa"/>
            <w:right w:w="0" w:type="dxa"/>
          </w:tblCellMar>
        </w:tblPrEx>
        <w:trPr>
          <w:trHeight w:val="539" w:hRule="atLeast"/>
        </w:trPr>
        <w:tc>
          <w:tcPr>
            <w:tcW w:w="333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政府集中采购</w:t>
            </w:r>
          </w:p>
        </w:tc>
        <w:tc>
          <w:tcPr>
            <w:tcW w:w="19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cs="宋体" w:eastAsiaTheme="minorEastAsia"/>
                <w:kern w:val="0"/>
                <w:sz w:val="24"/>
                <w:lang w:val="en-US" w:eastAsia="zh-CN"/>
              </w:rPr>
            </w:pPr>
            <w:r>
              <w:rPr>
                <w:rFonts w:hint="eastAsia" w:ascii="宋体" w:hAnsi="宋体" w:cs="宋体"/>
                <w:color w:val="000000"/>
                <w:kern w:val="0"/>
                <w:sz w:val="24"/>
                <w:lang w:val="en-US" w:eastAsia="zh-CN"/>
              </w:rPr>
              <w:t>34</w:t>
            </w:r>
          </w:p>
        </w:tc>
        <w:tc>
          <w:tcPr>
            <w:tcW w:w="3977"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142270</w:t>
            </w:r>
          </w:p>
        </w:tc>
      </w:tr>
    </w:tbl>
    <w:p>
      <w:pPr>
        <w:widowControl/>
        <w:jc w:val="left"/>
        <w:rPr>
          <w:rFonts w:ascii="宋体" w:hAnsi="宋体" w:cs="宋体"/>
          <w:kern w:val="0"/>
          <w:sz w:val="24"/>
        </w:rPr>
      </w:pPr>
    </w:p>
    <w:p/>
    <w:p>
      <w:pPr>
        <w:pStyle w:val="3"/>
        <w:bidi w:val="0"/>
        <w:rPr>
          <w:rFonts w:hint="eastAsia" w:ascii="宋体" w:hAnsi="宋体" w:eastAsia="宋体" w:cs="宋体"/>
          <w:kern w:val="0"/>
          <w:szCs w:val="28"/>
          <w:lang w:eastAsia="zh-CN"/>
        </w:rPr>
      </w:pPr>
      <w:r>
        <w:rPr>
          <w:rFonts w:hint="eastAsia"/>
        </w:rPr>
        <w:t>三、收到和处理政府信息公开申请情况</w:t>
      </w:r>
    </w:p>
    <w:tbl>
      <w:tblPr>
        <w:tblStyle w:val="6"/>
        <w:tblW w:w="9288" w:type="dxa"/>
        <w:tblInd w:w="0" w:type="dxa"/>
        <w:tblLayout w:type="autofit"/>
        <w:tblCellMar>
          <w:top w:w="0" w:type="dxa"/>
          <w:left w:w="0" w:type="dxa"/>
          <w:bottom w:w="0" w:type="dxa"/>
          <w:right w:w="0" w:type="dxa"/>
        </w:tblCellMar>
      </w:tblPr>
      <w:tblGrid>
        <w:gridCol w:w="500"/>
        <w:gridCol w:w="936"/>
        <w:gridCol w:w="2099"/>
        <w:gridCol w:w="817"/>
        <w:gridCol w:w="707"/>
        <w:gridCol w:w="809"/>
        <w:gridCol w:w="817"/>
        <w:gridCol w:w="979"/>
        <w:gridCol w:w="714"/>
        <w:gridCol w:w="910"/>
      </w:tblGrid>
      <w:tr>
        <w:tblPrEx>
          <w:tblCellMar>
            <w:top w:w="0" w:type="dxa"/>
            <w:left w:w="0" w:type="dxa"/>
            <w:bottom w:w="0" w:type="dxa"/>
            <w:right w:w="0" w:type="dxa"/>
          </w:tblCellMar>
        </w:tblPrEx>
        <w:tc>
          <w:tcPr>
            <w:tcW w:w="353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（本列数据的勾稽关系为：第一项加第二项之和，等于第三项加第四项之和）</w:t>
            </w:r>
          </w:p>
        </w:tc>
        <w:tc>
          <w:tcPr>
            <w:tcW w:w="5753"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申请人情况</w:t>
            </w:r>
          </w:p>
        </w:tc>
      </w:tr>
      <w:tr>
        <w:tblPrEx>
          <w:tblCellMar>
            <w:top w:w="0" w:type="dxa"/>
            <w:left w:w="0" w:type="dxa"/>
            <w:bottom w:w="0" w:type="dxa"/>
            <w:right w:w="0" w:type="dxa"/>
          </w:tblCellMar>
        </w:tblPrEx>
        <w:tc>
          <w:tcPr>
            <w:tcW w:w="0" w:type="auto"/>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81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自然人</w:t>
            </w:r>
          </w:p>
        </w:tc>
        <w:tc>
          <w:tcPr>
            <w:tcW w:w="4026"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法人或其他组织</w:t>
            </w:r>
          </w:p>
        </w:tc>
        <w:tc>
          <w:tcPr>
            <w:tcW w:w="910"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总计</w:t>
            </w:r>
          </w:p>
        </w:tc>
      </w:tr>
      <w:tr>
        <w:tblPrEx>
          <w:tblCellMar>
            <w:top w:w="0" w:type="dxa"/>
            <w:left w:w="0" w:type="dxa"/>
            <w:bottom w:w="0" w:type="dxa"/>
            <w:right w:w="0" w:type="dxa"/>
          </w:tblCellMar>
        </w:tblPrEx>
        <w:tc>
          <w:tcPr>
            <w:tcW w:w="0" w:type="auto"/>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商业企业</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科研机构</w:t>
            </w:r>
          </w:p>
        </w:tc>
        <w:tc>
          <w:tcPr>
            <w:tcW w:w="8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社会公益组织</w:t>
            </w:r>
          </w:p>
        </w:tc>
        <w:tc>
          <w:tcPr>
            <w:tcW w:w="9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法律服务机构</w:t>
            </w:r>
          </w:p>
        </w:tc>
        <w:tc>
          <w:tcPr>
            <w:tcW w:w="7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其他</w:t>
            </w:r>
          </w:p>
        </w:tc>
        <w:tc>
          <w:tcPr>
            <w:tcW w:w="910"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c>
          <w:tcPr>
            <w:tcW w:w="3535" w:type="dxa"/>
            <w:gridSpan w:val="3"/>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一、本年新收政府信息公开申请数量</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3535" w:type="dxa"/>
            <w:gridSpan w:val="3"/>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二、上年结转政府信息公开申请数量</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500"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三、本年度办理结果</w:t>
            </w:r>
          </w:p>
        </w:tc>
        <w:tc>
          <w:tcPr>
            <w:tcW w:w="3035" w:type="dxa"/>
            <w:gridSpan w:val="2"/>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r>
              <w:rPr>
                <w:rFonts w:hint="eastAsia" w:ascii="楷体" w:hAnsi="楷体" w:eastAsia="楷体" w:cs="宋体"/>
                <w:kern w:val="0"/>
                <w:sz w:val="24"/>
              </w:rPr>
              <w:t>（一）予以公开</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3035" w:type="dxa"/>
            <w:gridSpan w:val="2"/>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r>
              <w:rPr>
                <w:rFonts w:hint="eastAsia" w:ascii="楷体" w:hAnsi="楷体" w:eastAsia="楷体" w:cs="宋体"/>
                <w:kern w:val="0"/>
                <w:sz w:val="24"/>
              </w:rPr>
              <w:t>（二）部分公开（区分处理的，只计这一情形，不计其他情形）</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（三）不予公开</w:t>
            </w: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1.属于国家秘密</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2.其他法律行政法规禁止公开</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3.危及“三安全一稳定”</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4.保护第三方合法权益</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5.属于三类内部事务信息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6.属于四类过程性信息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7.属于行政执法案卷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8.属于行政查询事项</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（四）无法提供</w:t>
            </w: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1.本机关不掌握相关政府信息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2.没有现成信息需要另行制作</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3.补正后申请内容仍不明确</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（五）不予处理</w:t>
            </w: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1.信访举报投诉类申请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2.重复申请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3.要求提供公开出版物</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4.无正当理由大量反复申请</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20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s="宋体"/>
                <w:kern w:val="0"/>
                <w:sz w:val="24"/>
              </w:rPr>
            </w:pPr>
            <w:r>
              <w:rPr>
                <w:rFonts w:hint="eastAsia" w:ascii="楷体" w:hAnsi="楷体" w:eastAsia="楷体" w:cs="宋体"/>
                <w:kern w:val="0"/>
                <w:sz w:val="24"/>
              </w:rPr>
              <w:t>5.要求行政机关确认或重新出具已获取信息</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3035" w:type="dxa"/>
            <w:gridSpan w:val="2"/>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r>
              <w:rPr>
                <w:rFonts w:hint="eastAsia" w:ascii="楷体" w:hAnsi="楷体" w:eastAsia="楷体" w:cs="宋体"/>
                <w:kern w:val="0"/>
                <w:sz w:val="24"/>
              </w:rPr>
              <w:t>（六）其他处理</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3035" w:type="dxa"/>
            <w:gridSpan w:val="2"/>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r>
              <w:rPr>
                <w:rFonts w:hint="eastAsia" w:ascii="楷体" w:hAnsi="楷体" w:eastAsia="楷体" w:cs="宋体"/>
                <w:kern w:val="0"/>
                <w:sz w:val="24"/>
              </w:rPr>
              <w:t>（七）总计</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r>
      <w:tr>
        <w:tblPrEx>
          <w:tblCellMar>
            <w:top w:w="0" w:type="dxa"/>
            <w:left w:w="0" w:type="dxa"/>
            <w:bottom w:w="0" w:type="dxa"/>
            <w:right w:w="0" w:type="dxa"/>
          </w:tblCellMar>
        </w:tblPrEx>
        <w:tc>
          <w:tcPr>
            <w:tcW w:w="3535" w:type="dxa"/>
            <w:gridSpan w:val="3"/>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四、结转下年度继续办理</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9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bl>
    <w:p>
      <w:pPr>
        <w:widowControl/>
        <w:spacing w:line="432" w:lineRule="atLeast"/>
        <w:ind w:firstLine="480"/>
        <w:rPr>
          <w:rFonts w:hint="eastAsia" w:ascii="宋体" w:hAnsi="宋体" w:cs="宋体"/>
          <w:color w:val="333333"/>
          <w:kern w:val="0"/>
          <w:sz w:val="24"/>
        </w:rPr>
      </w:pPr>
    </w:p>
    <w:p>
      <w:pPr>
        <w:pStyle w:val="3"/>
        <w:bidi w:val="0"/>
        <w:rPr>
          <w:rFonts w:hint="eastAsia"/>
          <w:lang w:eastAsia="zh-CN"/>
        </w:rPr>
      </w:pPr>
      <w:r>
        <w:rPr>
          <w:rFonts w:hint="eastAsia"/>
        </w:rPr>
        <w:t>四、政府信息公开行政复议、行政诉讼情况</w:t>
      </w:r>
    </w:p>
    <w:tbl>
      <w:tblPr>
        <w:tblStyle w:val="6"/>
        <w:tblW w:w="9440" w:type="dxa"/>
        <w:tblInd w:w="0" w:type="dxa"/>
        <w:tblLayout w:type="autofit"/>
        <w:tblCellMar>
          <w:top w:w="0" w:type="dxa"/>
          <w:left w:w="0" w:type="dxa"/>
          <w:bottom w:w="0" w:type="dxa"/>
          <w:right w:w="0" w:type="dxa"/>
        </w:tblCellMar>
      </w:tblPr>
      <w:tblGrid>
        <w:gridCol w:w="963"/>
        <w:gridCol w:w="601"/>
        <w:gridCol w:w="601"/>
        <w:gridCol w:w="601"/>
        <w:gridCol w:w="655"/>
        <w:gridCol w:w="576"/>
        <w:gridCol w:w="605"/>
        <w:gridCol w:w="605"/>
        <w:gridCol w:w="605"/>
        <w:gridCol w:w="605"/>
        <w:gridCol w:w="605"/>
        <w:gridCol w:w="605"/>
        <w:gridCol w:w="605"/>
        <w:gridCol w:w="605"/>
        <w:gridCol w:w="603"/>
      </w:tblGrid>
      <w:tr>
        <w:tblPrEx>
          <w:tblCellMar>
            <w:top w:w="0" w:type="dxa"/>
            <w:left w:w="0" w:type="dxa"/>
            <w:bottom w:w="0" w:type="dxa"/>
            <w:right w:w="0" w:type="dxa"/>
          </w:tblCellMar>
        </w:tblPrEx>
        <w:tc>
          <w:tcPr>
            <w:tcW w:w="344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行政复议</w:t>
            </w:r>
          </w:p>
        </w:tc>
        <w:tc>
          <w:tcPr>
            <w:tcW w:w="5997"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行政诉讼</w:t>
            </w:r>
          </w:p>
        </w:tc>
      </w:tr>
      <w:tr>
        <w:tblPrEx>
          <w:tblCellMar>
            <w:top w:w="0" w:type="dxa"/>
            <w:left w:w="0" w:type="dxa"/>
            <w:bottom w:w="0" w:type="dxa"/>
            <w:right w:w="0" w:type="dxa"/>
          </w:tblCellMar>
        </w:tblPrEx>
        <w:tc>
          <w:tcPr>
            <w:tcW w:w="97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结果维持</w:t>
            </w:r>
          </w:p>
        </w:tc>
        <w:tc>
          <w:tcPr>
            <w:tcW w:w="60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结果纠正</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其他结果</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尚未审结</w:t>
            </w:r>
          </w:p>
        </w:tc>
        <w:tc>
          <w:tcPr>
            <w:tcW w:w="6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总计</w:t>
            </w:r>
          </w:p>
        </w:tc>
        <w:tc>
          <w:tcPr>
            <w:tcW w:w="297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未经复议直接起诉</w:t>
            </w:r>
          </w:p>
        </w:tc>
        <w:tc>
          <w:tcPr>
            <w:tcW w:w="302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复议后起诉</w:t>
            </w:r>
          </w:p>
        </w:tc>
      </w:tr>
      <w:tr>
        <w:tblPrEx>
          <w:tblCellMar>
            <w:top w:w="0" w:type="dxa"/>
            <w:left w:w="0" w:type="dxa"/>
            <w:bottom w:w="0" w:type="dxa"/>
            <w:right w:w="0" w:type="dxa"/>
          </w:tblCellMar>
        </w:tblPrEx>
        <w:tc>
          <w:tcPr>
            <w:tcW w:w="97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sz w:val="24"/>
              </w:rPr>
            </w:pP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结果维持</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其他结果</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尚未审结</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总计</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结果维持</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其他结果</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尚未审结</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rPr>
              <w:t>总计</w:t>
            </w:r>
          </w:p>
        </w:tc>
      </w:tr>
      <w:tr>
        <w:tblPrEx>
          <w:tblCellMar>
            <w:top w:w="0" w:type="dxa"/>
            <w:left w:w="0" w:type="dxa"/>
            <w:bottom w:w="0" w:type="dxa"/>
            <w:right w:w="0" w:type="dxa"/>
          </w:tblCellMar>
        </w:tblPrEx>
        <w:tc>
          <w:tcPr>
            <w:tcW w:w="97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ascii="Calibri" w:hAnsi="Calibri" w:cs="宋体"/>
                <w:kern w:val="0"/>
                <w:sz w:val="24"/>
              </w:rPr>
              <w:t> </w:t>
            </w:r>
            <w:r>
              <w:rPr>
                <w:rFonts w:hint="eastAsia" w:ascii="Calibri" w:hAnsi="Calibri" w:cs="宋体"/>
                <w:kern w:val="0"/>
                <w:sz w:val="24"/>
                <w:lang w:val="en-US" w:eastAsia="zh-CN"/>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Calibri" w:hAnsi="Calibri" w:cs="宋体"/>
                <w:kern w:val="0"/>
                <w:sz w:val="24"/>
                <w:lang w:val="en-US" w:eastAsia="zh-CN"/>
              </w:rPr>
              <w:t>0</w:t>
            </w:r>
            <w:r>
              <w:rPr>
                <w:rFonts w:ascii="Calibri" w:hAnsi="Calibri" w:cs="宋体"/>
                <w:kern w:val="0"/>
                <w:sz w:val="24"/>
              </w:rPr>
              <w:t> </w:t>
            </w: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lang w:val="en-US" w:eastAsia="zh-CN"/>
              </w:rPr>
              <w:t>0</w:t>
            </w:r>
            <w:r>
              <w:rPr>
                <w:rFonts w:hint="eastAsia" w:ascii="宋体" w:hAnsi="宋体" w:cs="宋体"/>
                <w:color w:val="000000"/>
                <w:kern w:val="0"/>
                <w:sz w:val="24"/>
              </w:rPr>
              <w:t> </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4"/>
                <w:lang w:val="en-US" w:eastAsia="zh-CN"/>
              </w:rPr>
              <w:t>0</w:t>
            </w:r>
            <w:r>
              <w:rPr>
                <w:rFonts w:hint="eastAsia" w:ascii="宋体" w:hAnsi="宋体" w:cs="宋体"/>
                <w:color w:val="000000"/>
                <w:kern w:val="0"/>
                <w:sz w:val="24"/>
              </w:rPr>
              <w:t> </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cs="宋体" w:eastAsiaTheme="minorEastAsia"/>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bl>
    <w:p>
      <w:pPr>
        <w:jc w:val="both"/>
        <w:rPr>
          <w:rFonts w:hint="eastAsia"/>
          <w:sz w:val="72"/>
          <w:szCs w:val="72"/>
          <w:lang w:eastAsia="zh-CN"/>
        </w:rPr>
      </w:pPr>
    </w:p>
    <w:p>
      <w:pPr>
        <w:pStyle w:val="3"/>
        <w:bidi w:val="0"/>
        <w:rPr>
          <w:rFonts w:hint="eastAsia"/>
        </w:rPr>
      </w:pPr>
      <w:r>
        <w:rPr>
          <w:rFonts w:hint="eastAsia"/>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both"/>
        <w:rPr>
          <w:rFonts w:hint="eastAsia" w:ascii="宋体" w:hAnsi="宋体" w:eastAsia="宋体" w:cs="宋体"/>
          <w:i w:val="0"/>
          <w:caps w:val="0"/>
          <w:color w:val="424242"/>
          <w:spacing w:val="0"/>
          <w:sz w:val="28"/>
          <w:szCs w:val="28"/>
        </w:rPr>
      </w:pPr>
      <w:r>
        <w:rPr>
          <w:rFonts w:hint="eastAsia" w:ascii="微软雅黑" w:hAnsi="微软雅黑" w:eastAsia="微软雅黑" w:cs="微软雅黑"/>
          <w:i w:val="0"/>
          <w:caps w:val="0"/>
          <w:color w:val="424242"/>
          <w:spacing w:val="0"/>
          <w:sz w:val="27"/>
          <w:szCs w:val="27"/>
          <w:shd w:val="clear" w:fill="FFFFFF"/>
        </w:rPr>
        <w:t>　　</w:t>
      </w:r>
      <w:r>
        <w:rPr>
          <w:rFonts w:hint="eastAsia" w:ascii="宋体" w:hAnsi="宋体" w:eastAsia="宋体" w:cs="宋体"/>
          <w:i w:val="0"/>
          <w:caps w:val="0"/>
          <w:color w:val="424242"/>
          <w:spacing w:val="0"/>
          <w:sz w:val="28"/>
          <w:szCs w:val="28"/>
          <w:shd w:val="clear" w:fill="FFFFFF"/>
        </w:rPr>
        <w:t>2020年，我局政府信息公开工作取得了一定成效，但还需进一步完善和提升，继续创新工作思路。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540"/>
        <w:jc w:val="both"/>
        <w:rPr>
          <w:rFonts w:hint="eastAsia" w:ascii="宋体" w:hAnsi="宋体" w:eastAsia="宋体" w:cs="宋体"/>
          <w:i w:val="0"/>
          <w:caps w:val="0"/>
          <w:color w:val="424242"/>
          <w:spacing w:val="0"/>
          <w:sz w:val="28"/>
          <w:szCs w:val="28"/>
          <w:shd w:val="clear" w:fill="FFFFFF"/>
        </w:rPr>
      </w:pPr>
      <w:r>
        <w:rPr>
          <w:rFonts w:hint="eastAsia" w:ascii="宋体" w:hAnsi="宋体" w:eastAsia="宋体" w:cs="宋体"/>
          <w:b/>
          <w:i w:val="0"/>
          <w:caps w:val="0"/>
          <w:color w:val="424242"/>
          <w:spacing w:val="0"/>
          <w:sz w:val="28"/>
          <w:szCs w:val="28"/>
          <w:shd w:val="clear" w:fill="FFFFFF"/>
        </w:rPr>
        <w:t>一</w:t>
      </w:r>
      <w:r>
        <w:rPr>
          <w:rFonts w:hint="eastAsia" w:ascii="宋体" w:hAnsi="宋体" w:eastAsia="宋体" w:cs="宋体"/>
          <w:b w:val="0"/>
          <w:bCs/>
          <w:i w:val="0"/>
          <w:caps w:val="0"/>
          <w:color w:val="424242"/>
          <w:spacing w:val="0"/>
          <w:sz w:val="28"/>
          <w:szCs w:val="28"/>
          <w:shd w:val="clear" w:fill="FFFFFF"/>
        </w:rPr>
        <w:t>是</w:t>
      </w:r>
      <w:r>
        <w:rPr>
          <w:rFonts w:hint="eastAsia" w:ascii="宋体" w:hAnsi="宋体" w:eastAsia="宋体" w:cs="宋体"/>
          <w:i w:val="0"/>
          <w:caps w:val="0"/>
          <w:color w:val="424242"/>
          <w:spacing w:val="0"/>
          <w:sz w:val="28"/>
          <w:szCs w:val="28"/>
          <w:shd w:val="clear" w:fill="FFFFFF"/>
        </w:rPr>
        <w:t>进一步加强信息公开工作力度，做到应公开尽公开，确保我局信息公开工作依规有序开展，及时有效进行，保障广大市民的知情权</w:t>
      </w:r>
      <w:r>
        <w:rPr>
          <w:rFonts w:hint="eastAsia" w:ascii="宋体" w:hAnsi="宋体" w:eastAsia="宋体" w:cs="宋体"/>
          <w:i w:val="0"/>
          <w:caps w:val="0"/>
          <w:color w:val="424242"/>
          <w:spacing w:val="0"/>
          <w:sz w:val="28"/>
          <w:szCs w:val="28"/>
          <w:shd w:val="clear" w:fill="FFFFFF"/>
          <w:lang w:eastAsia="zh-CN"/>
        </w:rPr>
        <w:t>。</w:t>
      </w:r>
      <w:r>
        <w:rPr>
          <w:rFonts w:hint="eastAsia" w:ascii="宋体" w:hAnsi="宋体" w:eastAsia="宋体" w:cs="宋体"/>
          <w:b w:val="0"/>
          <w:bCs/>
          <w:i w:val="0"/>
          <w:caps w:val="0"/>
          <w:color w:val="424242"/>
          <w:spacing w:val="0"/>
          <w:sz w:val="28"/>
          <w:szCs w:val="28"/>
          <w:shd w:val="clear" w:fill="FFFFFF"/>
        </w:rPr>
        <w:t>二是</w:t>
      </w:r>
      <w:r>
        <w:rPr>
          <w:rFonts w:hint="eastAsia" w:ascii="宋体" w:hAnsi="宋体" w:eastAsia="宋体" w:cs="宋体"/>
          <w:i w:val="0"/>
          <w:caps w:val="0"/>
          <w:color w:val="424242"/>
          <w:spacing w:val="0"/>
          <w:sz w:val="28"/>
          <w:szCs w:val="28"/>
          <w:shd w:val="clear" w:fill="FFFFFF"/>
        </w:rPr>
        <w:t>拓宽公开渠道，加强新媒体建设。在巩固传统宣传公开媒体的基础</w:t>
      </w:r>
      <w:r>
        <w:rPr>
          <w:rFonts w:hint="eastAsia" w:ascii="宋体" w:hAnsi="宋体" w:eastAsia="宋体" w:cs="宋体"/>
          <w:i w:val="0"/>
          <w:caps w:val="0"/>
          <w:color w:val="424242"/>
          <w:spacing w:val="0"/>
          <w:sz w:val="28"/>
          <w:szCs w:val="28"/>
          <w:shd w:val="clear" w:fill="FFFFFF"/>
          <w:lang w:val="en-US" w:eastAsia="zh-CN"/>
        </w:rPr>
        <w:t xml:space="preserve">  </w:t>
      </w:r>
      <w:r>
        <w:rPr>
          <w:rFonts w:hint="eastAsia" w:ascii="宋体" w:hAnsi="宋体" w:eastAsia="宋体" w:cs="宋体"/>
          <w:i w:val="0"/>
          <w:caps w:val="0"/>
          <w:color w:val="424242"/>
          <w:spacing w:val="0"/>
          <w:sz w:val="28"/>
          <w:szCs w:val="28"/>
          <w:shd w:val="clear" w:fill="FFFFFF"/>
        </w:rPr>
        <w:t>题栏目，开发和完善互动栏目功能，完善网上咨询、建言等互动栏目的功能，使其更加便于用户使用。随着微博新媒体的流行，人们获取信息的渠道进一步丰富，信息公开工作要努力跟进，不断满足市民的需求；</w:t>
      </w:r>
      <w:r>
        <w:rPr>
          <w:rFonts w:hint="eastAsia" w:ascii="宋体" w:hAnsi="宋体" w:eastAsia="宋体" w:cs="宋体"/>
          <w:b w:val="0"/>
          <w:bCs/>
          <w:i w:val="0"/>
          <w:caps w:val="0"/>
          <w:color w:val="424242"/>
          <w:spacing w:val="0"/>
          <w:sz w:val="28"/>
          <w:szCs w:val="28"/>
          <w:shd w:val="clear" w:fill="FFFFFF"/>
        </w:rPr>
        <w:t>三是</w:t>
      </w:r>
      <w:r>
        <w:rPr>
          <w:rFonts w:hint="eastAsia" w:ascii="宋体" w:hAnsi="宋体" w:eastAsia="宋体" w:cs="宋体"/>
          <w:i w:val="0"/>
          <w:caps w:val="0"/>
          <w:color w:val="424242"/>
          <w:spacing w:val="0"/>
          <w:sz w:val="28"/>
          <w:szCs w:val="28"/>
          <w:shd w:val="clear" w:fill="FFFFFF"/>
        </w:rPr>
        <w:t>进一步加大政府信息梳理和整合力度，深化政府信息公开内容；规范政府信息公开申请的处理流程，拓展政府信息公开形式，方便公众查阅和获取所需信息。</w:t>
      </w:r>
      <w:r>
        <w:rPr>
          <w:rFonts w:hint="eastAsia" w:ascii="宋体" w:hAnsi="宋体" w:eastAsia="宋体" w:cs="宋体"/>
          <w:b w:val="0"/>
          <w:bCs/>
          <w:i w:val="0"/>
          <w:caps w:val="0"/>
          <w:color w:val="424242"/>
          <w:spacing w:val="0"/>
          <w:sz w:val="28"/>
          <w:szCs w:val="28"/>
          <w:shd w:val="clear" w:fill="FFFFFF"/>
        </w:rPr>
        <w:t>四是</w:t>
      </w:r>
      <w:r>
        <w:rPr>
          <w:rFonts w:hint="eastAsia" w:ascii="宋体" w:hAnsi="宋体" w:eastAsia="宋体" w:cs="宋体"/>
          <w:i w:val="0"/>
          <w:caps w:val="0"/>
          <w:color w:val="424242"/>
          <w:spacing w:val="0"/>
          <w:sz w:val="28"/>
          <w:szCs w:val="28"/>
          <w:shd w:val="clear" w:fill="FFFFFF"/>
        </w:rPr>
        <w:t>积极组织业务培训，提高工作人员的信息公开意识，努力提高政府信息公开工作人员素质和工作水平。</w:t>
      </w:r>
      <w:bookmarkStart w:id="0" w:name="_GoBack"/>
      <w:bookmarkEnd w:id="0"/>
    </w:p>
    <w:p>
      <w:pPr>
        <w:pStyle w:val="3"/>
        <w:bidi w:val="0"/>
        <w:rPr>
          <w:rFonts w:hint="eastAsia"/>
        </w:rPr>
      </w:pPr>
      <w:r>
        <w:rPr>
          <w:rFonts w:hint="eastAsia"/>
          <w:lang w:eastAsia="zh-CN"/>
        </w:rPr>
        <w:t>六、</w:t>
      </w:r>
      <w:r>
        <w:rPr>
          <w:rFonts w:hint="eastAsia"/>
        </w:rPr>
        <w:t>其他需要报告的事项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right="0" w:rightChars="0"/>
        <w:jc w:val="both"/>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 xml:space="preserve">   无其他需要报告事项</w:t>
      </w:r>
    </w:p>
    <w:p>
      <w:pPr>
        <w:jc w:val="center"/>
        <w:rPr>
          <w:rFonts w:hint="eastAsia" w:ascii="宋体" w:hAnsi="宋体" w:eastAsia="宋体" w:cs="宋体"/>
          <w:sz w:val="28"/>
          <w:szCs w:val="28"/>
          <w:lang w:eastAsia="zh-CN"/>
        </w:rPr>
      </w:pPr>
    </w:p>
    <w:p>
      <w:pPr>
        <w:jc w:val="center"/>
        <w:rPr>
          <w:rFonts w:hint="eastAsia"/>
          <w:sz w:val="72"/>
          <w:szCs w:val="72"/>
          <w:lang w:eastAsia="zh-CN"/>
        </w:rPr>
      </w:pPr>
    </w:p>
    <w:p>
      <w:pPr>
        <w:jc w:val="center"/>
        <w:rPr>
          <w:rFonts w:hint="eastAsia" w:eastAsiaTheme="minorEastAsia"/>
          <w:sz w:val="72"/>
          <w:szCs w:val="7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F03C65"/>
    <w:multiLevelType w:val="singleLevel"/>
    <w:tmpl w:val="D8F03C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81E4D"/>
    <w:rsid w:val="29146342"/>
    <w:rsid w:val="2A0F5BCD"/>
    <w:rsid w:val="3BB2104D"/>
    <w:rsid w:val="57E8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2021-01-28T00:47:00Z</dcterms:created>
  <dc:creator>Administrator</dc:creator>
  <cp:lastModifiedBy>Administrator</cp:lastModifiedBy>
  <cp:lastPrinted>2021-01-28T00:49:00Z</cp:lastPrinted>
  <dcterms:modified xsi:type="dcterms:W3CDTF">2021-01-29T01:06:34Z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