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rPr>
          <w:rFonts w:ascii="宋体" w:cs="宋体"/>
          <w:kern w:val="0"/>
          <w:sz w:val="24"/>
        </w:rPr>
      </w:pPr>
    </w:p>
    <w:p>
      <w:pPr>
        <w:widowControl/>
        <w:spacing w:line="578" w:lineRule="exact"/>
        <w:jc w:val="center"/>
        <w:rPr>
          <w:rFonts w:ascii="方正小标宋简体" w:eastAsia="方正小标宋简体" w:cs="宋体"/>
          <w:kern w:val="0"/>
          <w:sz w:val="44"/>
          <w:szCs w:val="44"/>
        </w:rPr>
      </w:pPr>
      <w:r>
        <w:rPr>
          <w:rFonts w:hint="eastAsia" w:ascii="方正小标宋简体" w:hAnsi="宋体" w:eastAsia="方正小标宋简体" w:cs="宋体"/>
          <w:bCs/>
          <w:kern w:val="0"/>
          <w:sz w:val="44"/>
          <w:szCs w:val="44"/>
          <w:lang w:eastAsia="zh-CN"/>
        </w:rPr>
        <w:t>毕家岗街道</w:t>
      </w:r>
      <w:r>
        <w:rPr>
          <w:rFonts w:hint="eastAsia" w:ascii="方正小标宋简体" w:hAnsi="宋体" w:eastAsia="方正小标宋简体" w:cs="宋体"/>
          <w:bCs/>
          <w:kern w:val="0"/>
          <w:sz w:val="44"/>
          <w:szCs w:val="44"/>
        </w:rPr>
        <w:t>信息公开工作年度报告</w:t>
      </w:r>
    </w:p>
    <w:p>
      <w:pPr>
        <w:widowControl/>
        <w:spacing w:line="578" w:lineRule="exact"/>
        <w:ind w:firstLine="480"/>
        <w:rPr>
          <w:rFonts w:ascii="宋体" w:cs="宋体"/>
          <w:kern w:val="0"/>
          <w:sz w:val="24"/>
        </w:rPr>
      </w:pPr>
    </w:p>
    <w:p>
      <w:pPr>
        <w:widowControl/>
        <w:spacing w:line="578" w:lineRule="exact"/>
        <w:ind w:firstLine="480"/>
        <w:rPr>
          <w:rFonts w:hint="eastAsia" w:ascii="仿宋_GB2312" w:hAnsi="仿宋_GB2312" w:eastAsia="仿宋_GB2312" w:cs="仿宋_GB2312"/>
          <w:sz w:val="32"/>
          <w:szCs w:val="32"/>
          <w:lang w:eastAsia="zh-CN"/>
        </w:rPr>
      </w:pPr>
      <w:r>
        <w:rPr>
          <w:rFonts w:hint="eastAsia" w:ascii="仿宋_GB2312" w:eastAsia="仿宋_GB2312"/>
          <w:color w:val="333333"/>
          <w:sz w:val="32"/>
          <w:szCs w:val="32"/>
          <w:shd w:val="clear" w:color="auto" w:fill="FFFFFF"/>
        </w:rPr>
        <w:t>本报告依据《中华人民共和国政府信息公开条例》（国务院令第711号）、《国务院办公厅政府信息与政务公开办公室关于政府信息公开工作年度报告有关事项的通知》（国办公开办函〔2019〕60号）及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安徽省政务公开办公室关于做好政府信息公开工作年度报告编制及统计数据报送工作的通知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皖政务办秘〔2020〕44号</w:t>
      </w:r>
      <w:r>
        <w:rPr>
          <w:rFonts w:hint="eastAsia" w:ascii="仿宋_GB2312" w:hAnsi="仿宋_GB2312" w:eastAsia="仿宋_GB2312" w:cs="仿宋_GB2312"/>
          <w:sz w:val="32"/>
          <w:szCs w:val="32"/>
          <w:lang w:val="en-US" w:eastAsia="zh-CN"/>
        </w:rPr>
        <w:t>)</w:t>
      </w:r>
      <w:r>
        <w:rPr>
          <w:rFonts w:hint="eastAsia" w:ascii="仿宋_GB2312" w:eastAsia="仿宋_GB2312"/>
          <w:color w:val="333333"/>
          <w:sz w:val="32"/>
          <w:szCs w:val="32"/>
          <w:shd w:val="clear" w:color="auto" w:fill="FFFFFF"/>
        </w:rPr>
        <w:t>，结合我单位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w:t>
      </w:r>
      <w:r>
        <w:rPr>
          <w:rFonts w:hint="eastAsia" w:ascii="仿宋_GB2312" w:eastAsia="仿宋_GB2312"/>
          <w:color w:val="333333"/>
          <w:sz w:val="32"/>
          <w:szCs w:val="32"/>
          <w:shd w:val="clear" w:color="auto" w:fill="FFFFFF"/>
          <w:lang w:val="en-US" w:eastAsia="zh-CN"/>
        </w:rPr>
        <w:t>20</w:t>
      </w:r>
      <w:r>
        <w:rPr>
          <w:rFonts w:hint="eastAsia" w:ascii="仿宋_GB2312" w:eastAsia="仿宋_GB2312"/>
          <w:color w:val="333333"/>
          <w:sz w:val="32"/>
          <w:szCs w:val="32"/>
          <w:shd w:val="clear" w:color="auto" w:fill="FFFFFF"/>
        </w:rPr>
        <w:t>年1月1日至12月31日。</w:t>
      </w:r>
      <w:r>
        <w:rPr>
          <w:rFonts w:hint="eastAsia" w:ascii="仿宋_GB2312" w:hAnsi="仿宋_GB2312" w:eastAsia="仿宋_GB2312" w:cs="仿宋_GB2312"/>
          <w:sz w:val="32"/>
          <w:szCs w:val="32"/>
          <w:lang w:eastAsia="zh-CN"/>
        </w:rPr>
        <w:t>报告的电子版可在八公山区人民政府网站下载（http://www.bagongshan.gov.cn/）。如对本报告有任何疑问，请与毕家岗街道党政办联系，地址：毕家岗街道办事处二楼；电话0554--2168701；邮编：232072。</w:t>
      </w:r>
    </w:p>
    <w:p>
      <w:pPr>
        <w:widowControl/>
        <w:numPr>
          <w:ilvl w:val="0"/>
          <w:numId w:val="1"/>
        </w:numPr>
        <w:spacing w:line="578" w:lineRule="exact"/>
        <w:ind w:firstLine="480"/>
        <w:jc w:val="left"/>
        <w:rPr>
          <w:rFonts w:hint="eastAsia" w:ascii="黑体" w:hAnsi="黑体" w:eastAsia="黑体" w:cs="宋体"/>
          <w:bCs/>
          <w:kern w:val="0"/>
          <w:sz w:val="32"/>
          <w:szCs w:val="32"/>
        </w:rPr>
      </w:pPr>
      <w:r>
        <w:rPr>
          <w:rFonts w:hint="eastAsia" w:ascii="黑体" w:hAnsi="黑体" w:eastAsia="黑体" w:cs="宋体"/>
          <w:bCs/>
          <w:kern w:val="0"/>
          <w:sz w:val="32"/>
          <w:szCs w:val="32"/>
        </w:rPr>
        <w:t>总体情况</w:t>
      </w:r>
    </w:p>
    <w:p>
      <w:pPr>
        <w:widowControl/>
        <w:spacing w:line="240" w:lineRule="auto"/>
        <w:ind w:right="0" w:rightChars="0" w:firstLine="640" w:firstLineChars="200"/>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20</w:t>
      </w:r>
      <w:r>
        <w:rPr>
          <w:rFonts w:hint="eastAsia" w:ascii="仿宋_GB2312" w:hAnsi="宋体" w:eastAsia="仿宋_GB2312" w:cs="宋体"/>
          <w:color w:val="333333"/>
          <w:kern w:val="0"/>
          <w:sz w:val="32"/>
          <w:szCs w:val="32"/>
          <w:lang w:val="en-US" w:eastAsia="zh-CN"/>
        </w:rPr>
        <w:t>20</w:t>
      </w:r>
      <w:r>
        <w:rPr>
          <w:rFonts w:hint="eastAsia" w:ascii="仿宋_GB2312" w:hAnsi="宋体" w:eastAsia="仿宋_GB2312" w:cs="宋体"/>
          <w:color w:val="333333"/>
          <w:kern w:val="0"/>
          <w:sz w:val="32"/>
          <w:szCs w:val="32"/>
        </w:rPr>
        <w:t>年,我</w:t>
      </w:r>
      <w:r>
        <w:rPr>
          <w:rFonts w:hint="eastAsia" w:ascii="仿宋_GB2312" w:hAnsi="宋体" w:eastAsia="仿宋_GB2312" w:cs="宋体"/>
          <w:color w:val="333333"/>
          <w:kern w:val="0"/>
          <w:sz w:val="32"/>
          <w:szCs w:val="32"/>
          <w:lang w:eastAsia="zh-CN"/>
        </w:rPr>
        <w:t>街道</w:t>
      </w:r>
      <w:r>
        <w:rPr>
          <w:rFonts w:hint="eastAsia" w:ascii="仿宋_GB2312" w:hAnsi="宋体" w:eastAsia="仿宋_GB2312" w:cs="宋体"/>
          <w:color w:val="333333"/>
          <w:kern w:val="0"/>
          <w:sz w:val="32"/>
          <w:szCs w:val="32"/>
        </w:rPr>
        <w:t>严格按照《中华人民共和国政府信息公开条例》规定,稳步推进政务公开政府信息公开工作。按照</w:t>
      </w:r>
      <w:r>
        <w:rPr>
          <w:rFonts w:hint="eastAsia" w:ascii="仿宋_GB2312" w:hAnsi="宋体" w:eastAsia="仿宋_GB2312" w:cs="宋体"/>
          <w:color w:val="333333"/>
          <w:kern w:val="0"/>
          <w:sz w:val="32"/>
          <w:szCs w:val="32"/>
          <w:lang w:eastAsia="zh-CN"/>
        </w:rPr>
        <w:t>文件相关</w:t>
      </w:r>
      <w:r>
        <w:rPr>
          <w:rFonts w:hint="eastAsia" w:ascii="仿宋_GB2312" w:hAnsi="宋体" w:eastAsia="仿宋_GB2312" w:cs="宋体"/>
          <w:color w:val="333333"/>
          <w:kern w:val="0"/>
          <w:sz w:val="32"/>
          <w:szCs w:val="32"/>
        </w:rPr>
        <w:t>规定、要求,做好原创性信息的编制、加工和发布等工作,保证所提供的信息内容合法、完整、准确、及时,积极推进了政务公开政府信息公开工作。</w:t>
      </w:r>
    </w:p>
    <w:p>
      <w:pPr>
        <w:widowControl/>
        <w:numPr>
          <w:ilvl w:val="0"/>
          <w:numId w:val="2"/>
        </w:numPr>
        <w:spacing w:after="240" w:line="578" w:lineRule="exact"/>
        <w:ind w:firstLine="480"/>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b/>
          <w:i w:val="0"/>
          <w:caps w:val="0"/>
          <w:color w:val="000000"/>
          <w:spacing w:val="0"/>
          <w:sz w:val="32"/>
          <w:szCs w:val="32"/>
          <w:shd w:val="clear" w:fill="FFFFFF"/>
        </w:rPr>
        <w:t>主动公开情况</w:t>
      </w:r>
      <w:r>
        <w:rPr>
          <w:rFonts w:hint="eastAsia" w:ascii="仿宋" w:hAnsi="仿宋" w:eastAsia="仿宋" w:cs="仿宋"/>
          <w:b/>
          <w:i w:val="0"/>
          <w:caps w:val="0"/>
          <w:color w:val="000000"/>
          <w:spacing w:val="0"/>
          <w:sz w:val="32"/>
          <w:szCs w:val="32"/>
          <w:shd w:val="clear" w:fill="FFFFFF"/>
          <w:lang w:eastAsia="zh-CN"/>
        </w:rPr>
        <w:t>。</w:t>
      </w:r>
      <w:r>
        <w:rPr>
          <w:rFonts w:hint="eastAsia" w:ascii="仿宋" w:hAnsi="仿宋" w:eastAsia="仿宋" w:cs="仿宋"/>
          <w:bCs/>
          <w:kern w:val="0"/>
          <w:sz w:val="32"/>
          <w:szCs w:val="32"/>
          <w:lang w:eastAsia="zh-CN"/>
        </w:rPr>
        <w:t>毕家岗街道</w:t>
      </w:r>
      <w:r>
        <w:rPr>
          <w:rFonts w:hint="eastAsia" w:ascii="仿宋" w:hAnsi="仿宋" w:eastAsia="仿宋" w:cs="仿宋"/>
          <w:bCs/>
          <w:kern w:val="0"/>
          <w:sz w:val="32"/>
          <w:szCs w:val="32"/>
        </w:rPr>
        <w:t>的政府信息公开工作严格按照《条例》和上级部门的总体要求,妥善处理公开与保密的关系,合理界定信息公开范围,做到积极稳妥,及时准确,公开、公正、便民。2020年,我</w:t>
      </w:r>
      <w:r>
        <w:rPr>
          <w:rFonts w:hint="eastAsia" w:ascii="仿宋" w:hAnsi="仿宋" w:eastAsia="仿宋" w:cs="仿宋"/>
          <w:bCs/>
          <w:kern w:val="0"/>
          <w:sz w:val="32"/>
          <w:szCs w:val="32"/>
          <w:lang w:eastAsia="zh-CN"/>
        </w:rPr>
        <w:t>街道</w:t>
      </w:r>
      <w:r>
        <w:rPr>
          <w:rFonts w:ascii="仿宋" w:hAnsi="仿宋" w:eastAsia="仿宋" w:cs="仿宋"/>
          <w:i w:val="0"/>
          <w:caps w:val="0"/>
          <w:color w:val="000000"/>
          <w:spacing w:val="0"/>
          <w:sz w:val="32"/>
          <w:szCs w:val="32"/>
          <w:shd w:val="clear" w:fill="FFFFFF"/>
        </w:rPr>
        <w:t>通过政府信息公开网累计公开政府信息</w:t>
      </w:r>
      <w:r>
        <w:rPr>
          <w:rFonts w:hint="eastAsia" w:ascii="仿宋" w:hAnsi="仿宋" w:eastAsia="仿宋" w:cs="仿宋"/>
          <w:b w:val="0"/>
          <w:i w:val="0"/>
          <w:caps w:val="0"/>
          <w:color w:val="000000"/>
          <w:spacing w:val="0"/>
          <w:sz w:val="32"/>
          <w:szCs w:val="32"/>
          <w:shd w:val="clear" w:fill="FFFFFF"/>
          <w:lang w:val="en-US" w:eastAsia="zh-CN"/>
        </w:rPr>
        <w:t>904</w:t>
      </w:r>
      <w:r>
        <w:rPr>
          <w:rFonts w:hint="eastAsia" w:ascii="仿宋" w:hAnsi="仿宋" w:eastAsia="仿宋" w:cs="仿宋"/>
          <w:i w:val="0"/>
          <w:caps w:val="0"/>
          <w:color w:val="000000"/>
          <w:spacing w:val="0"/>
          <w:sz w:val="32"/>
          <w:szCs w:val="32"/>
          <w:shd w:val="clear" w:fill="FFFFFF"/>
        </w:rPr>
        <w:t>条</w:t>
      </w:r>
      <w:r>
        <w:rPr>
          <w:rFonts w:hint="eastAsia" w:ascii="仿宋" w:hAnsi="仿宋" w:eastAsia="仿宋" w:cs="仿宋"/>
          <w:i w:val="0"/>
          <w:caps w:val="0"/>
          <w:color w:val="000000"/>
          <w:spacing w:val="0"/>
          <w:sz w:val="32"/>
          <w:szCs w:val="32"/>
          <w:shd w:val="clear" w:fill="FFFFFF"/>
          <w:lang w:eastAsia="zh-CN"/>
        </w:rPr>
        <w:t>。</w:t>
      </w:r>
    </w:p>
    <w:p>
      <w:pPr>
        <w:widowControl/>
        <w:numPr>
          <w:ilvl w:val="0"/>
          <w:numId w:val="2"/>
        </w:numPr>
        <w:spacing w:after="240" w:line="578" w:lineRule="exact"/>
        <w:ind w:left="0" w:leftChars="0" w:firstLine="480" w:firstLineChars="0"/>
        <w:rPr>
          <w:rFonts w:hint="eastAsia" w:ascii="仿宋" w:hAnsi="仿宋" w:eastAsia="仿宋" w:cs="仿宋"/>
          <w:i w:val="0"/>
          <w:caps w:val="0"/>
          <w:color w:val="000000"/>
          <w:spacing w:val="0"/>
          <w:sz w:val="32"/>
          <w:szCs w:val="32"/>
          <w:shd w:val="clear" w:fill="FFFFFF"/>
        </w:rPr>
      </w:pPr>
      <w:r>
        <w:rPr>
          <w:rFonts w:hint="eastAsia" w:ascii="仿宋" w:hAnsi="仿宋" w:eastAsia="仿宋" w:cs="仿宋"/>
          <w:b/>
          <w:i w:val="0"/>
          <w:caps w:val="0"/>
          <w:color w:val="000000"/>
          <w:spacing w:val="0"/>
          <w:sz w:val="32"/>
          <w:szCs w:val="32"/>
          <w:shd w:val="clear" w:fill="FFFFFF"/>
        </w:rPr>
        <w:t>依申请公开情况</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eastAsia="zh-CN"/>
        </w:rPr>
        <w:t>毕家岗街道</w:t>
      </w:r>
      <w:r>
        <w:rPr>
          <w:rFonts w:hint="eastAsia" w:ascii="仿宋" w:hAnsi="仿宋" w:eastAsia="仿宋" w:cs="仿宋"/>
          <w:i w:val="0"/>
          <w:caps w:val="0"/>
          <w:color w:val="000000"/>
          <w:spacing w:val="0"/>
          <w:sz w:val="32"/>
          <w:szCs w:val="32"/>
          <w:shd w:val="clear" w:fill="FFFFFF"/>
        </w:rPr>
        <w:t>认真贯彻落实《条例》等相关</w:t>
      </w:r>
      <w:r>
        <w:rPr>
          <w:rFonts w:hint="eastAsia" w:ascii="仿宋" w:hAnsi="仿宋" w:eastAsia="仿宋" w:cs="仿宋"/>
          <w:i w:val="0"/>
          <w:caps w:val="0"/>
          <w:color w:val="000000"/>
          <w:spacing w:val="0"/>
          <w:sz w:val="32"/>
          <w:szCs w:val="32"/>
          <w:shd w:val="clear" w:fill="FFFFFF"/>
          <w:lang w:eastAsia="zh-CN"/>
        </w:rPr>
        <w:t>文件</w:t>
      </w:r>
      <w:r>
        <w:rPr>
          <w:rFonts w:hint="eastAsia" w:ascii="仿宋" w:hAnsi="仿宋" w:eastAsia="仿宋" w:cs="仿宋"/>
          <w:i w:val="0"/>
          <w:caps w:val="0"/>
          <w:color w:val="000000"/>
          <w:spacing w:val="0"/>
          <w:sz w:val="32"/>
          <w:szCs w:val="32"/>
          <w:shd w:val="clear" w:fill="FFFFFF"/>
        </w:rPr>
        <w:t>要求，积极推进政府信息公开和依申请公开工作开展。</w:t>
      </w:r>
      <w:r>
        <w:rPr>
          <w:rFonts w:hint="eastAsia" w:ascii="仿宋" w:hAnsi="仿宋" w:eastAsia="仿宋" w:cs="仿宋"/>
          <w:i w:val="0"/>
          <w:caps w:val="0"/>
          <w:color w:val="000000"/>
          <w:spacing w:val="0"/>
          <w:sz w:val="32"/>
          <w:szCs w:val="32"/>
          <w:shd w:val="clear" w:fill="FFFFFF"/>
          <w:lang w:val="en-US" w:eastAsia="zh-CN"/>
        </w:rPr>
        <w:t>2020</w:t>
      </w:r>
      <w:r>
        <w:rPr>
          <w:rFonts w:ascii="仿宋" w:hAnsi="仿宋" w:eastAsia="仿宋" w:cs="仿宋"/>
          <w:i w:val="0"/>
          <w:caps w:val="0"/>
          <w:color w:val="000000"/>
          <w:spacing w:val="0"/>
          <w:sz w:val="32"/>
          <w:szCs w:val="32"/>
        </w:rPr>
        <w:t>全年未收到政府信息公开申请，受理依申请公开</w:t>
      </w:r>
      <w:r>
        <w:rPr>
          <w:rFonts w:hint="eastAsia" w:ascii="仿宋" w:hAnsi="仿宋" w:eastAsia="仿宋" w:cs="仿宋"/>
          <w:i w:val="0"/>
          <w:caps w:val="0"/>
          <w:color w:val="000000"/>
          <w:spacing w:val="0"/>
          <w:sz w:val="32"/>
          <w:szCs w:val="32"/>
          <w:shd w:val="clear" w:fill="FFFFFF"/>
        </w:rPr>
        <w:t>0件次。</w:t>
      </w:r>
    </w:p>
    <w:p>
      <w:pPr>
        <w:widowControl/>
        <w:numPr>
          <w:ilvl w:val="0"/>
          <w:numId w:val="2"/>
        </w:numPr>
        <w:spacing w:after="240" w:line="578" w:lineRule="exact"/>
        <w:ind w:left="0" w:leftChars="0" w:firstLine="480" w:firstLineChars="0"/>
        <w:rPr>
          <w:rFonts w:hint="eastAsia" w:ascii="仿宋" w:hAnsi="仿宋" w:eastAsia="仿宋" w:cs="仿宋"/>
          <w:b/>
          <w:i w:val="0"/>
          <w:caps w:val="0"/>
          <w:color w:val="000000"/>
          <w:spacing w:val="0"/>
          <w:sz w:val="32"/>
          <w:szCs w:val="32"/>
          <w:shd w:val="clear" w:fill="FFFFFF"/>
          <w:lang w:eastAsia="zh-CN"/>
        </w:rPr>
      </w:pPr>
      <w:r>
        <w:rPr>
          <w:rFonts w:hint="eastAsia" w:ascii="仿宋" w:hAnsi="仿宋" w:eastAsia="仿宋" w:cs="仿宋"/>
          <w:b/>
          <w:i w:val="0"/>
          <w:caps w:val="0"/>
          <w:color w:val="000000"/>
          <w:spacing w:val="0"/>
          <w:sz w:val="32"/>
          <w:szCs w:val="32"/>
          <w:shd w:val="clear" w:fill="FFFFFF"/>
        </w:rPr>
        <w:t>政府信息管理</w:t>
      </w:r>
      <w:r>
        <w:rPr>
          <w:rFonts w:hint="eastAsia" w:ascii="仿宋" w:hAnsi="仿宋" w:eastAsia="仿宋" w:cs="仿宋"/>
          <w:b/>
          <w:i w:val="0"/>
          <w:caps w:val="0"/>
          <w:color w:val="000000"/>
          <w:spacing w:val="0"/>
          <w:sz w:val="32"/>
          <w:szCs w:val="32"/>
          <w:shd w:val="clear" w:fill="FFFFFF"/>
          <w:lang w:eastAsia="zh-CN"/>
        </w:rPr>
        <w:t>。</w:t>
      </w:r>
      <w:r>
        <w:rPr>
          <w:rFonts w:hint="eastAsia" w:ascii="仿宋" w:hAnsi="仿宋" w:eastAsia="仿宋" w:cs="仿宋"/>
          <w:b w:val="0"/>
          <w:bCs/>
          <w:i w:val="0"/>
          <w:caps w:val="0"/>
          <w:color w:val="000000"/>
          <w:spacing w:val="0"/>
          <w:sz w:val="32"/>
          <w:szCs w:val="32"/>
          <w:shd w:val="clear" w:fill="FFFFFF"/>
          <w:lang w:eastAsia="zh-CN"/>
        </w:rPr>
        <w:t>毕家岗街道严格</w:t>
      </w:r>
      <w:r>
        <w:rPr>
          <w:rFonts w:ascii="仿宋_GB2312" w:hAnsi="宋体" w:eastAsia="仿宋_GB2312" w:cs="仿宋_GB2312"/>
          <w:i w:val="0"/>
          <w:caps w:val="0"/>
          <w:color w:val="auto"/>
          <w:spacing w:val="0"/>
          <w:sz w:val="30"/>
          <w:szCs w:val="30"/>
          <w:shd w:val="clear" w:fill="FFFFFF"/>
        </w:rPr>
        <w:t>按照“谁公开、谁负责”的原则，建立信息发布三级审核制度和保密审查制度，对发文拟稿需标识公开形式并说明理由，同时作出保密审查。</w:t>
      </w:r>
    </w:p>
    <w:p>
      <w:pPr>
        <w:widowControl/>
        <w:numPr>
          <w:ilvl w:val="0"/>
          <w:numId w:val="0"/>
        </w:numPr>
        <w:spacing w:after="240" w:line="578" w:lineRule="exact"/>
        <w:ind w:firstLine="643" w:firstLineChars="200"/>
        <w:rPr>
          <w:rFonts w:hint="eastAsia" w:ascii="微软雅黑" w:hAnsi="微软雅黑" w:eastAsia="微软雅黑" w:cs="微软雅黑"/>
          <w:i w:val="0"/>
          <w:caps w:val="0"/>
          <w:color w:val="auto"/>
          <w:spacing w:val="0"/>
          <w:sz w:val="22"/>
          <w:szCs w:val="22"/>
        </w:rPr>
      </w:pPr>
      <w:r>
        <w:rPr>
          <w:rFonts w:hint="eastAsia" w:ascii="仿宋" w:hAnsi="仿宋" w:eastAsia="仿宋" w:cs="仿宋"/>
          <w:b/>
          <w:i w:val="0"/>
          <w:caps w:val="0"/>
          <w:color w:val="auto"/>
          <w:spacing w:val="0"/>
          <w:sz w:val="32"/>
          <w:szCs w:val="32"/>
          <w:shd w:val="clear" w:fill="FFFFFF"/>
          <w:lang w:val="en-US" w:eastAsia="zh-CN"/>
        </w:rPr>
        <w:t>（四）</w:t>
      </w:r>
      <w:r>
        <w:rPr>
          <w:rFonts w:hint="eastAsia" w:ascii="仿宋" w:hAnsi="仿宋" w:eastAsia="仿宋" w:cs="仿宋"/>
          <w:b/>
          <w:i w:val="0"/>
          <w:caps w:val="0"/>
          <w:color w:val="auto"/>
          <w:spacing w:val="0"/>
          <w:sz w:val="32"/>
          <w:szCs w:val="32"/>
          <w:shd w:val="clear" w:fill="FFFFFF"/>
        </w:rPr>
        <w:t>公开平台建设。</w:t>
      </w:r>
      <w:r>
        <w:rPr>
          <w:rFonts w:hint="eastAsia" w:ascii="仿宋_GB2312" w:hAnsi="微软雅黑" w:eastAsia="仿宋_GB2312" w:cs="仿宋_GB2312"/>
          <w:b/>
          <w:bCs/>
          <w:i w:val="0"/>
          <w:caps w:val="0"/>
          <w:color w:val="auto"/>
          <w:spacing w:val="0"/>
          <w:sz w:val="30"/>
          <w:szCs w:val="30"/>
          <w:shd w:val="clear" w:fill="FFFFFF"/>
        </w:rPr>
        <w:t>一是</w:t>
      </w:r>
      <w:r>
        <w:rPr>
          <w:rFonts w:hint="eastAsia" w:ascii="仿宋_GB2312" w:hAnsi="微软雅黑" w:eastAsia="仿宋_GB2312" w:cs="仿宋_GB2312"/>
          <w:i w:val="0"/>
          <w:caps w:val="0"/>
          <w:color w:val="auto"/>
          <w:spacing w:val="0"/>
          <w:sz w:val="30"/>
          <w:szCs w:val="30"/>
          <w:shd w:val="clear" w:fill="FFFFFF"/>
        </w:rPr>
        <w:t>门户网站建设。优化栏目版块，坚持以公开为常态、不公开为例外，深入推进决策和执行公开、深化重点领域信息公开。</w:t>
      </w:r>
      <w:r>
        <w:rPr>
          <w:rFonts w:hint="eastAsia" w:ascii="仿宋_GB2312" w:hAnsi="微软雅黑" w:eastAsia="仿宋_GB2312" w:cs="仿宋_GB2312"/>
          <w:b/>
          <w:bCs/>
          <w:i w:val="0"/>
          <w:iCs w:val="0"/>
          <w:caps w:val="0"/>
          <w:color w:val="auto"/>
          <w:spacing w:val="0"/>
          <w:sz w:val="30"/>
          <w:szCs w:val="30"/>
          <w:shd w:val="clear" w:fill="FFFFFF"/>
        </w:rPr>
        <w:t>二是</w:t>
      </w:r>
      <w:r>
        <w:rPr>
          <w:rFonts w:hint="eastAsia" w:ascii="仿宋_GB2312" w:hAnsi="微软雅黑" w:eastAsia="仿宋_GB2312" w:cs="仿宋_GB2312"/>
          <w:i w:val="0"/>
          <w:caps w:val="0"/>
          <w:color w:val="auto"/>
          <w:spacing w:val="0"/>
          <w:sz w:val="30"/>
          <w:szCs w:val="30"/>
          <w:shd w:val="clear" w:fill="FFFFFF"/>
        </w:rPr>
        <w:t>行政服务大厅建设</w:t>
      </w:r>
      <w:r>
        <w:rPr>
          <w:rFonts w:hint="eastAsia" w:ascii="仿宋_GB2312" w:hAnsi="微软雅黑" w:eastAsia="仿宋_GB2312" w:cs="仿宋_GB2312"/>
          <w:i w:val="0"/>
          <w:caps w:val="0"/>
          <w:color w:val="auto"/>
          <w:spacing w:val="0"/>
          <w:sz w:val="30"/>
          <w:szCs w:val="30"/>
          <w:shd w:val="clear" w:fill="FFFFFF"/>
          <w:lang w:eastAsia="zh-CN"/>
        </w:rPr>
        <w:t>。</w:t>
      </w:r>
      <w:r>
        <w:rPr>
          <w:rFonts w:hint="eastAsia" w:ascii="仿宋_GB2312" w:hAnsi="微软雅黑" w:eastAsia="仿宋_GB2312" w:cs="仿宋_GB2312"/>
          <w:i w:val="0"/>
          <w:caps w:val="0"/>
          <w:color w:val="auto"/>
          <w:spacing w:val="0"/>
          <w:sz w:val="30"/>
          <w:szCs w:val="30"/>
          <w:shd w:val="clear" w:fill="FFFFFF"/>
        </w:rPr>
        <w:t>加强窗口建设，做到审批服务事项、人员应进必进。按照便民开放原则，增设自助服务区，提供免费文印，免费查询，免费引导服务，开展“微笑服务、预约服务”活动，努力为企业群众提供一流服务。</w:t>
      </w:r>
      <w:r>
        <w:rPr>
          <w:rFonts w:hint="eastAsia" w:ascii="仿宋_GB2312" w:hAnsi="微软雅黑" w:eastAsia="仿宋_GB2312" w:cs="仿宋_GB2312"/>
          <w:b/>
          <w:bCs/>
          <w:i w:val="0"/>
          <w:caps w:val="0"/>
          <w:color w:val="auto"/>
          <w:spacing w:val="0"/>
          <w:sz w:val="30"/>
          <w:szCs w:val="30"/>
          <w:shd w:val="clear" w:fill="FFFFFF"/>
        </w:rPr>
        <w:t>三是</w:t>
      </w:r>
      <w:r>
        <w:rPr>
          <w:rFonts w:hint="eastAsia" w:ascii="仿宋_GB2312" w:hAnsi="微软雅黑" w:eastAsia="仿宋_GB2312" w:cs="仿宋_GB2312"/>
          <w:i w:val="0"/>
          <w:caps w:val="0"/>
          <w:color w:val="auto"/>
          <w:spacing w:val="0"/>
          <w:sz w:val="30"/>
          <w:szCs w:val="30"/>
          <w:shd w:val="clear" w:fill="FFFFFF"/>
        </w:rPr>
        <w:t>网上政务服务建设。推进实体大厅向网上延伸，</w:t>
      </w:r>
      <w:r>
        <w:rPr>
          <w:rFonts w:hint="eastAsia" w:ascii="仿宋_GB2312" w:hAnsi="微软雅黑" w:eastAsia="仿宋_GB2312" w:cs="仿宋_GB2312"/>
          <w:i w:val="0"/>
          <w:caps w:val="0"/>
          <w:color w:val="auto"/>
          <w:spacing w:val="0"/>
          <w:sz w:val="30"/>
          <w:szCs w:val="30"/>
          <w:shd w:val="clear" w:fill="FFFFFF"/>
          <w:lang w:eastAsia="zh-CN"/>
        </w:rPr>
        <w:t>坚持</w:t>
      </w:r>
      <w:r>
        <w:rPr>
          <w:rFonts w:hint="eastAsia" w:ascii="仿宋_GB2312" w:hAnsi="微软雅黑" w:eastAsia="仿宋_GB2312" w:cs="仿宋_GB2312"/>
          <w:i w:val="0"/>
          <w:caps w:val="0"/>
          <w:color w:val="auto"/>
          <w:spacing w:val="0"/>
          <w:sz w:val="30"/>
          <w:szCs w:val="30"/>
          <w:shd w:val="clear" w:fill="FFFFFF"/>
        </w:rPr>
        <w:t>持续做好</w:t>
      </w:r>
      <w:r>
        <w:rPr>
          <w:rFonts w:hint="eastAsia" w:ascii="仿宋_GB2312" w:hAnsi="微软雅黑" w:eastAsia="仿宋_GB2312" w:cs="仿宋_GB2312"/>
          <w:i w:val="0"/>
          <w:caps w:val="0"/>
          <w:color w:val="auto"/>
          <w:spacing w:val="0"/>
          <w:sz w:val="30"/>
          <w:szCs w:val="30"/>
          <w:shd w:val="clear" w:fill="FFFFFF"/>
          <w:lang w:eastAsia="zh-CN"/>
        </w:rPr>
        <w:t>“皖事通”政务服务工作。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firstLineChars="200"/>
        <w:jc w:val="left"/>
        <w:rPr>
          <w:rFonts w:hint="eastAsia" w:ascii="仿宋" w:hAnsi="仿宋" w:eastAsia="仿宋" w:cs="仿宋"/>
          <w:b/>
          <w:i w:val="0"/>
          <w:caps w:val="0"/>
          <w:color w:val="auto"/>
          <w:spacing w:val="0"/>
          <w:sz w:val="32"/>
          <w:szCs w:val="32"/>
          <w:shd w:val="clear" w:fill="FFFFFF"/>
          <w:lang w:val="en-US" w:eastAsia="zh-CN"/>
        </w:rPr>
      </w:pPr>
      <w:r>
        <w:rPr>
          <w:rFonts w:hint="eastAsia" w:ascii="仿宋" w:hAnsi="仿宋" w:eastAsia="仿宋" w:cs="仿宋"/>
          <w:b/>
          <w:bCs/>
          <w:i w:val="0"/>
          <w:caps w:val="0"/>
          <w:color w:val="auto"/>
          <w:spacing w:val="0"/>
          <w:sz w:val="30"/>
          <w:szCs w:val="30"/>
          <w:shd w:val="clear" w:fill="FFFFFF"/>
          <w:lang w:eastAsia="zh-CN"/>
        </w:rPr>
        <w:t>（五）</w:t>
      </w:r>
      <w:r>
        <w:rPr>
          <w:rFonts w:hint="eastAsia" w:ascii="仿宋" w:hAnsi="仿宋" w:eastAsia="仿宋" w:cs="仿宋"/>
          <w:b/>
          <w:bCs/>
          <w:i w:val="0"/>
          <w:caps w:val="0"/>
          <w:color w:val="auto"/>
          <w:spacing w:val="0"/>
          <w:sz w:val="30"/>
          <w:szCs w:val="30"/>
          <w:shd w:val="clear" w:fill="FFFFFF"/>
        </w:rPr>
        <w:t>监督保障</w:t>
      </w:r>
      <w:r>
        <w:rPr>
          <w:rFonts w:hint="eastAsia" w:ascii="仿宋" w:hAnsi="仿宋" w:eastAsia="仿宋" w:cs="仿宋"/>
          <w:b/>
          <w:bCs/>
          <w:i w:val="0"/>
          <w:caps w:val="0"/>
          <w:color w:val="auto"/>
          <w:spacing w:val="0"/>
          <w:sz w:val="30"/>
          <w:szCs w:val="30"/>
          <w:shd w:val="clear" w:fill="FFFFFF"/>
          <w:lang w:eastAsia="zh-CN"/>
        </w:rPr>
        <w:t>。</w:t>
      </w:r>
      <w:r>
        <w:rPr>
          <w:rFonts w:hint="eastAsia" w:ascii="仿宋_GB2312" w:hAnsi="宋体" w:eastAsia="仿宋_GB2312" w:cs="宋体"/>
          <w:color w:val="auto"/>
          <w:kern w:val="0"/>
          <w:sz w:val="32"/>
          <w:szCs w:val="32"/>
        </w:rPr>
        <w:t>为更好贯彻落实政务公开工作,</w:t>
      </w:r>
      <w:r>
        <w:rPr>
          <w:rFonts w:hint="eastAsia" w:ascii="仿宋_GB2312" w:hAnsi="宋体" w:eastAsia="仿宋_GB2312" w:cs="宋体"/>
          <w:color w:val="auto"/>
          <w:kern w:val="0"/>
          <w:sz w:val="32"/>
          <w:szCs w:val="32"/>
          <w:lang w:eastAsia="zh-CN"/>
        </w:rPr>
        <w:t>街道</w:t>
      </w:r>
      <w:r>
        <w:rPr>
          <w:rFonts w:hint="eastAsia" w:ascii="仿宋_GB2312" w:hAnsi="宋体" w:eastAsia="仿宋_GB2312" w:cs="宋体"/>
          <w:color w:val="auto"/>
          <w:kern w:val="0"/>
          <w:sz w:val="32"/>
          <w:szCs w:val="32"/>
        </w:rPr>
        <w:t>成立了政务公开领导小组</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组长由</w:t>
      </w:r>
      <w:r>
        <w:rPr>
          <w:rFonts w:hint="eastAsia" w:ascii="仿宋_GB2312" w:hAnsi="宋体" w:eastAsia="仿宋_GB2312" w:cs="宋体"/>
          <w:color w:val="auto"/>
          <w:kern w:val="0"/>
          <w:sz w:val="32"/>
          <w:szCs w:val="32"/>
          <w:lang w:eastAsia="zh-CN"/>
        </w:rPr>
        <w:t>程晋艳</w:t>
      </w:r>
      <w:r>
        <w:rPr>
          <w:rFonts w:hint="eastAsia" w:ascii="仿宋_GB2312" w:hAnsi="宋体" w:eastAsia="仿宋_GB2312" w:cs="宋体"/>
          <w:color w:val="auto"/>
          <w:kern w:val="0"/>
          <w:sz w:val="32"/>
          <w:szCs w:val="32"/>
        </w:rPr>
        <w:t>同志担任,成员由各</w:t>
      </w:r>
      <w:r>
        <w:rPr>
          <w:rFonts w:hint="eastAsia" w:ascii="仿宋_GB2312" w:hAnsi="宋体" w:eastAsia="仿宋_GB2312" w:cs="宋体"/>
          <w:color w:val="auto"/>
          <w:kern w:val="0"/>
          <w:sz w:val="32"/>
          <w:szCs w:val="32"/>
          <w:lang w:eastAsia="zh-CN"/>
        </w:rPr>
        <w:t>部门</w:t>
      </w:r>
      <w:r>
        <w:rPr>
          <w:rFonts w:hint="eastAsia" w:ascii="仿宋_GB2312" w:hAnsi="宋体" w:eastAsia="仿宋_GB2312" w:cs="宋体"/>
          <w:color w:val="auto"/>
          <w:kern w:val="0"/>
          <w:sz w:val="32"/>
          <w:szCs w:val="32"/>
        </w:rPr>
        <w:t>负责人组成。领导小组下设党政办,负责政务公开的日常工作。</w:t>
      </w:r>
      <w:r>
        <w:rPr>
          <w:rFonts w:hint="eastAsia" w:ascii="仿宋_GB2312" w:hAnsi="宋体" w:eastAsia="仿宋_GB2312" w:cs="宋体"/>
          <w:color w:val="auto"/>
          <w:kern w:val="0"/>
          <w:sz w:val="32"/>
          <w:szCs w:val="32"/>
          <w:lang w:eastAsia="zh-CN"/>
        </w:rPr>
        <w:t>要严格按照</w:t>
      </w:r>
      <w:r>
        <w:rPr>
          <w:rFonts w:hint="eastAsia" w:ascii="仿宋_GB2312" w:hAnsi="宋体" w:eastAsia="仿宋_GB2312" w:cs="宋体"/>
          <w:color w:val="auto"/>
          <w:kern w:val="0"/>
          <w:sz w:val="32"/>
          <w:szCs w:val="32"/>
        </w:rPr>
        <w:t>“谁审查、谁负责,谁发布、谁负责,先审查、后发布”和“涉密信息不上网，上网信息不涉密”的原则,确保政务公开内容无涉及国家秘密和内部敏感事项</w:t>
      </w:r>
      <w:r>
        <w:rPr>
          <w:rFonts w:hint="eastAsia" w:ascii="仿宋_GB2312" w:hAnsi="宋体" w:eastAsia="仿宋_GB2312" w:cs="宋体"/>
          <w:color w:val="auto"/>
          <w:kern w:val="0"/>
          <w:sz w:val="32"/>
          <w:szCs w:val="32"/>
          <w:lang w:eastAsia="zh-CN"/>
        </w:rPr>
        <w:t>。</w:t>
      </w:r>
      <w:r>
        <w:rPr>
          <w:rFonts w:ascii="仿宋_GB2312" w:hAnsi="微软雅黑" w:eastAsia="仿宋_GB2312" w:cs="仿宋_GB2312"/>
          <w:i w:val="0"/>
          <w:caps w:val="0"/>
          <w:color w:val="auto"/>
          <w:spacing w:val="0"/>
          <w:sz w:val="30"/>
          <w:szCs w:val="30"/>
          <w:shd w:val="clear" w:fill="FFFFFF"/>
        </w:rPr>
        <w:t>对</w:t>
      </w:r>
      <w:r>
        <w:rPr>
          <w:rFonts w:hint="eastAsia" w:ascii="仿宋_GB2312" w:hAnsi="微软雅黑" w:eastAsia="仿宋_GB2312" w:cs="仿宋_GB2312"/>
          <w:i w:val="0"/>
          <w:caps w:val="0"/>
          <w:color w:val="auto"/>
          <w:spacing w:val="0"/>
          <w:sz w:val="30"/>
          <w:szCs w:val="30"/>
          <w:shd w:val="clear" w:fill="FFFFFF"/>
          <w:lang w:eastAsia="zh-CN"/>
        </w:rPr>
        <w:t>区</w:t>
      </w:r>
      <w:r>
        <w:rPr>
          <w:rFonts w:ascii="仿宋_GB2312" w:hAnsi="微软雅黑" w:eastAsia="仿宋_GB2312" w:cs="仿宋_GB2312"/>
          <w:i w:val="0"/>
          <w:caps w:val="0"/>
          <w:color w:val="auto"/>
          <w:spacing w:val="0"/>
          <w:sz w:val="30"/>
          <w:szCs w:val="30"/>
          <w:shd w:val="clear" w:fill="FFFFFF"/>
        </w:rPr>
        <w:t>政府组织的信息公开、政务公开工作测评情况进行及时反馈，对存在问题进行马上整改落实。</w:t>
      </w:r>
      <w:bookmarkStart w:id="0" w:name="_GoBack"/>
      <w:bookmarkEnd w:id="0"/>
    </w:p>
    <w:p>
      <w:pPr>
        <w:widowControl/>
        <w:spacing w:after="240" w:line="578" w:lineRule="exact"/>
        <w:ind w:firstLine="480"/>
        <w:rPr>
          <w:rFonts w:ascii="黑体" w:hAnsi="黑体" w:eastAsia="黑体" w:cs="宋体"/>
          <w:kern w:val="0"/>
          <w:sz w:val="32"/>
          <w:szCs w:val="32"/>
        </w:rPr>
      </w:pPr>
      <w:r>
        <w:rPr>
          <w:rFonts w:hint="eastAsia" w:ascii="黑体" w:hAnsi="黑体" w:eastAsia="黑体" w:cs="宋体"/>
          <w:bCs/>
          <w:kern w:val="0"/>
          <w:sz w:val="32"/>
          <w:szCs w:val="32"/>
        </w:rPr>
        <w:t>二、主动公开政府信息情况</w:t>
      </w:r>
    </w:p>
    <w:tbl>
      <w:tblPr>
        <w:tblStyle w:val="3"/>
        <w:tblW w:w="9310" w:type="dxa"/>
        <w:tblInd w:w="132" w:type="dxa"/>
        <w:tblLayout w:type="autofit"/>
        <w:tblCellMar>
          <w:top w:w="0" w:type="dxa"/>
          <w:left w:w="0" w:type="dxa"/>
          <w:bottom w:w="0" w:type="dxa"/>
          <w:right w:w="0" w:type="dxa"/>
        </w:tblCellMar>
      </w:tblPr>
      <w:tblGrid>
        <w:gridCol w:w="3723"/>
        <w:gridCol w:w="2369"/>
        <w:gridCol w:w="1533"/>
        <w:gridCol w:w="1685"/>
      </w:tblGrid>
      <w:tr>
        <w:tblPrEx>
          <w:tblCellMar>
            <w:top w:w="0" w:type="dxa"/>
            <w:left w:w="0" w:type="dxa"/>
            <w:bottom w:w="0" w:type="dxa"/>
            <w:right w:w="0" w:type="dxa"/>
          </w:tblCellMar>
        </w:tblPrEx>
        <w:trPr>
          <w:trHeight w:val="495" w:hRule="atLeast"/>
        </w:trPr>
        <w:tc>
          <w:tcPr>
            <w:tcW w:w="931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第二十条第（一）项</w:t>
            </w:r>
          </w:p>
        </w:tc>
      </w:tr>
      <w:tr>
        <w:tblPrEx>
          <w:tblCellMar>
            <w:top w:w="0" w:type="dxa"/>
            <w:left w:w="0" w:type="dxa"/>
            <w:bottom w:w="0" w:type="dxa"/>
            <w:right w:w="0" w:type="dxa"/>
          </w:tblCellMar>
        </w:tblPrEx>
        <w:trPr>
          <w:trHeight w:val="882"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信息内容</w:t>
            </w:r>
          </w:p>
        </w:tc>
        <w:tc>
          <w:tcPr>
            <w:tcW w:w="23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本年新</w:t>
            </w:r>
            <w:r>
              <w:rPr>
                <w:rFonts w:ascii="宋体" w:cs="宋体"/>
                <w:kern w:val="0"/>
                <w:sz w:val="20"/>
                <w:szCs w:val="20"/>
              </w:rPr>
              <w:br w:type="textWrapping"/>
            </w:r>
            <w:r>
              <w:rPr>
                <w:rFonts w:hint="eastAsia" w:ascii="宋体" w:hAnsi="宋体" w:cs="宋体"/>
                <w:kern w:val="0"/>
                <w:sz w:val="20"/>
                <w:szCs w:val="20"/>
              </w:rPr>
              <w:t>制作数量</w:t>
            </w:r>
          </w:p>
        </w:tc>
        <w:tc>
          <w:tcPr>
            <w:tcW w:w="15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本年新</w:t>
            </w:r>
            <w:r>
              <w:rPr>
                <w:rFonts w:ascii="宋体" w:cs="宋体"/>
                <w:kern w:val="0"/>
                <w:sz w:val="20"/>
                <w:szCs w:val="20"/>
              </w:rPr>
              <w:br w:type="textWrapping"/>
            </w:r>
            <w:r>
              <w:rPr>
                <w:rFonts w:hint="eastAsia" w:ascii="宋体" w:hAnsi="宋体" w:cs="宋体"/>
                <w:kern w:val="0"/>
                <w:sz w:val="20"/>
                <w:szCs w:val="20"/>
              </w:rPr>
              <w:t>公开数量</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对外公开总数量</w:t>
            </w:r>
          </w:p>
        </w:tc>
      </w:tr>
      <w:tr>
        <w:tblPrEx>
          <w:tblCellMar>
            <w:top w:w="0" w:type="dxa"/>
            <w:left w:w="0" w:type="dxa"/>
            <w:bottom w:w="0" w:type="dxa"/>
            <w:right w:w="0" w:type="dxa"/>
          </w:tblCellMar>
        </w:tblPrEx>
        <w:trPr>
          <w:trHeight w:val="523"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规章</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71"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规范性文件</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80"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第二十条第（五）项</w:t>
            </w:r>
          </w:p>
        </w:tc>
      </w:tr>
      <w:tr>
        <w:tblPrEx>
          <w:tblCellMar>
            <w:top w:w="0" w:type="dxa"/>
            <w:left w:w="0" w:type="dxa"/>
            <w:bottom w:w="0" w:type="dxa"/>
            <w:right w:w="0" w:type="dxa"/>
          </w:tblCellMar>
        </w:tblPrEx>
        <w:trPr>
          <w:trHeight w:val="634"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信息内容</w:t>
            </w:r>
          </w:p>
        </w:tc>
        <w:tc>
          <w:tcPr>
            <w:tcW w:w="23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上一年项目数量</w:t>
            </w:r>
          </w:p>
        </w:tc>
        <w:tc>
          <w:tcPr>
            <w:tcW w:w="15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本年增</w:t>
            </w:r>
            <w:r>
              <w:rPr>
                <w:rFonts w:ascii="宋体" w:hAnsi="宋体" w:cs="宋体"/>
                <w:kern w:val="0"/>
                <w:sz w:val="20"/>
                <w:szCs w:val="20"/>
              </w:rPr>
              <w:t>/</w:t>
            </w:r>
            <w:r>
              <w:rPr>
                <w:rFonts w:hint="eastAsia" w:ascii="宋体" w:hAnsi="宋体" w:cs="宋体"/>
                <w:kern w:val="0"/>
                <w:sz w:val="20"/>
                <w:szCs w:val="20"/>
              </w:rPr>
              <w:t>减</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处理决定数量</w:t>
            </w:r>
          </w:p>
        </w:tc>
      </w:tr>
      <w:tr>
        <w:tblPrEx>
          <w:tblCellMar>
            <w:top w:w="0" w:type="dxa"/>
            <w:left w:w="0" w:type="dxa"/>
            <w:bottom w:w="0" w:type="dxa"/>
            <w:right w:w="0" w:type="dxa"/>
          </w:tblCellMar>
        </w:tblPrEx>
        <w:trPr>
          <w:trHeight w:val="528" w:hRule="atLeast"/>
        </w:trPr>
        <w:tc>
          <w:tcPr>
            <w:tcW w:w="3723" w:type="dxa"/>
            <w:tcBorders>
              <w:top w:val="nil"/>
              <w:left w:val="single" w:color="auto" w:sz="8" w:space="0"/>
              <w:bottom w:val="single" w:color="auto" w:sz="8" w:space="0"/>
              <w:right w:val="single" w:color="auto" w:sz="8" w:space="0"/>
            </w:tcBorders>
            <w:noWrap/>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行政许可</w:t>
            </w:r>
          </w:p>
        </w:tc>
        <w:tc>
          <w:tcPr>
            <w:tcW w:w="2369" w:type="dxa"/>
            <w:tcBorders>
              <w:top w:val="nil"/>
              <w:left w:val="nil"/>
              <w:bottom w:val="single" w:color="auto" w:sz="8" w:space="0"/>
              <w:right w:val="single" w:color="auto" w:sz="8" w:space="0"/>
            </w:tcBorders>
            <w:noWrap/>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550" w:hRule="atLeast"/>
        </w:trPr>
        <w:tc>
          <w:tcPr>
            <w:tcW w:w="3723" w:type="dxa"/>
            <w:tcBorders>
              <w:top w:val="nil"/>
              <w:left w:val="single" w:color="auto" w:sz="8" w:space="0"/>
              <w:bottom w:val="single" w:color="auto" w:sz="8" w:space="0"/>
              <w:right w:val="single" w:color="auto" w:sz="8" w:space="0"/>
            </w:tcBorders>
            <w:noWrap/>
            <w:vAlign w:val="center"/>
          </w:tcPr>
          <w:p>
            <w:pPr>
              <w:widowControl/>
              <w:spacing w:line="578" w:lineRule="exact"/>
              <w:jc w:val="center"/>
              <w:rPr>
                <w:rFonts w:ascii="宋体" w:cs="宋体"/>
                <w:kern w:val="0"/>
                <w:sz w:val="24"/>
              </w:rPr>
            </w:pPr>
            <w:r>
              <w:rPr>
                <w:rFonts w:hint="eastAsia" w:ascii="宋体" w:hAnsi="宋体" w:cs="宋体"/>
                <w:kern w:val="0"/>
                <w:sz w:val="20"/>
                <w:szCs w:val="20"/>
              </w:rPr>
              <w:t>其他对外管理服务事项</w:t>
            </w:r>
          </w:p>
        </w:tc>
        <w:tc>
          <w:tcPr>
            <w:tcW w:w="2369" w:type="dxa"/>
            <w:tcBorders>
              <w:top w:val="nil"/>
              <w:left w:val="nil"/>
              <w:bottom w:val="single" w:color="auto" w:sz="8" w:space="0"/>
              <w:right w:val="single" w:color="auto" w:sz="8" w:space="0"/>
            </w:tcBorders>
            <w:noWrap/>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06"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第二十条第（六）项</w:t>
            </w:r>
          </w:p>
        </w:tc>
      </w:tr>
      <w:tr>
        <w:tblPrEx>
          <w:tblCellMar>
            <w:top w:w="0" w:type="dxa"/>
            <w:left w:w="0" w:type="dxa"/>
            <w:bottom w:w="0" w:type="dxa"/>
            <w:right w:w="0" w:type="dxa"/>
          </w:tblCellMar>
        </w:tblPrEx>
        <w:trPr>
          <w:trHeight w:val="634"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信息内容</w:t>
            </w:r>
          </w:p>
        </w:tc>
        <w:tc>
          <w:tcPr>
            <w:tcW w:w="23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上一年项目数量</w:t>
            </w:r>
          </w:p>
        </w:tc>
        <w:tc>
          <w:tcPr>
            <w:tcW w:w="15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本年增</w:t>
            </w:r>
            <w:r>
              <w:rPr>
                <w:rFonts w:ascii="宋体" w:hAnsi="宋体" w:cs="宋体"/>
                <w:kern w:val="0"/>
                <w:sz w:val="20"/>
                <w:szCs w:val="20"/>
              </w:rPr>
              <w:t>/</w:t>
            </w:r>
            <w:r>
              <w:rPr>
                <w:rFonts w:hint="eastAsia" w:ascii="宋体" w:hAnsi="宋体" w:cs="宋体"/>
                <w:kern w:val="0"/>
                <w:sz w:val="20"/>
                <w:szCs w:val="20"/>
              </w:rPr>
              <w:t>减</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处理决定数量</w:t>
            </w:r>
          </w:p>
        </w:tc>
      </w:tr>
      <w:tr>
        <w:tblPrEx>
          <w:tblCellMar>
            <w:top w:w="0" w:type="dxa"/>
            <w:left w:w="0" w:type="dxa"/>
            <w:bottom w:w="0" w:type="dxa"/>
            <w:right w:w="0" w:type="dxa"/>
          </w:tblCellMar>
        </w:tblPrEx>
        <w:trPr>
          <w:trHeight w:val="430" w:hRule="atLeast"/>
        </w:trPr>
        <w:tc>
          <w:tcPr>
            <w:tcW w:w="3723" w:type="dxa"/>
            <w:tcBorders>
              <w:top w:val="nil"/>
              <w:left w:val="single" w:color="auto" w:sz="8" w:space="0"/>
              <w:bottom w:val="single" w:color="auto" w:sz="8" w:space="0"/>
              <w:right w:val="single" w:color="auto" w:sz="8" w:space="0"/>
            </w:tcBorders>
            <w:noWrap/>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行政处罚</w:t>
            </w:r>
          </w:p>
        </w:tc>
        <w:tc>
          <w:tcPr>
            <w:tcW w:w="2369" w:type="dxa"/>
            <w:tcBorders>
              <w:top w:val="nil"/>
              <w:left w:val="nil"/>
              <w:bottom w:val="single" w:color="auto" w:sz="8" w:space="0"/>
              <w:right w:val="single" w:color="auto" w:sz="8" w:space="0"/>
            </w:tcBorders>
            <w:noWrap/>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09" w:hRule="atLeast"/>
        </w:trPr>
        <w:tc>
          <w:tcPr>
            <w:tcW w:w="3723" w:type="dxa"/>
            <w:tcBorders>
              <w:top w:val="nil"/>
              <w:left w:val="single" w:color="auto" w:sz="8" w:space="0"/>
              <w:bottom w:val="single" w:color="auto" w:sz="8" w:space="0"/>
              <w:right w:val="single" w:color="auto" w:sz="8" w:space="0"/>
            </w:tcBorders>
            <w:noWrap/>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行政强制</w:t>
            </w:r>
          </w:p>
        </w:tc>
        <w:tc>
          <w:tcPr>
            <w:tcW w:w="2369" w:type="dxa"/>
            <w:tcBorders>
              <w:top w:val="nil"/>
              <w:left w:val="nil"/>
              <w:bottom w:val="single" w:color="auto" w:sz="8" w:space="0"/>
              <w:right w:val="single" w:color="auto" w:sz="8" w:space="0"/>
            </w:tcBorders>
            <w:noWrap/>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74"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第二十条第（八）项</w:t>
            </w:r>
          </w:p>
        </w:tc>
      </w:tr>
      <w:tr>
        <w:tblPrEx>
          <w:tblCellMar>
            <w:top w:w="0" w:type="dxa"/>
            <w:left w:w="0" w:type="dxa"/>
            <w:bottom w:w="0" w:type="dxa"/>
            <w:right w:w="0" w:type="dxa"/>
          </w:tblCellMar>
        </w:tblPrEx>
        <w:trPr>
          <w:trHeight w:val="270"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信息内容</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上一年项目数量</w:t>
            </w:r>
          </w:p>
        </w:tc>
        <w:tc>
          <w:tcPr>
            <w:tcW w:w="3218"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本年增</w:t>
            </w:r>
            <w:r>
              <w:rPr>
                <w:rFonts w:ascii="宋体" w:hAnsi="宋体" w:cs="宋体"/>
                <w:kern w:val="0"/>
                <w:sz w:val="20"/>
                <w:szCs w:val="20"/>
              </w:rPr>
              <w:t>/</w:t>
            </w:r>
            <w:r>
              <w:rPr>
                <w:rFonts w:hint="eastAsia" w:ascii="宋体" w:hAnsi="宋体" w:cs="宋体"/>
                <w:kern w:val="0"/>
                <w:sz w:val="20"/>
                <w:szCs w:val="20"/>
              </w:rPr>
              <w:t>减</w:t>
            </w:r>
          </w:p>
        </w:tc>
      </w:tr>
      <w:tr>
        <w:tblPrEx>
          <w:tblCellMar>
            <w:top w:w="0" w:type="dxa"/>
            <w:left w:w="0" w:type="dxa"/>
            <w:bottom w:w="0" w:type="dxa"/>
            <w:right w:w="0" w:type="dxa"/>
          </w:tblCellMar>
        </w:tblPrEx>
        <w:trPr>
          <w:trHeight w:val="551"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行政事业性收费</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3218"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76"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第二十条第（九）项</w:t>
            </w:r>
          </w:p>
        </w:tc>
      </w:tr>
      <w:tr>
        <w:tblPrEx>
          <w:tblCellMar>
            <w:top w:w="0" w:type="dxa"/>
            <w:left w:w="0" w:type="dxa"/>
            <w:bottom w:w="0" w:type="dxa"/>
            <w:right w:w="0" w:type="dxa"/>
          </w:tblCellMar>
        </w:tblPrEx>
        <w:trPr>
          <w:trHeight w:val="585"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信息内容</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采购项目数量</w:t>
            </w:r>
          </w:p>
        </w:tc>
        <w:tc>
          <w:tcPr>
            <w:tcW w:w="3218"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采购总金额</w:t>
            </w:r>
          </w:p>
        </w:tc>
      </w:tr>
      <w:tr>
        <w:tblPrEx>
          <w:tblCellMar>
            <w:top w:w="0" w:type="dxa"/>
            <w:left w:w="0" w:type="dxa"/>
            <w:bottom w:w="0" w:type="dxa"/>
            <w:right w:w="0" w:type="dxa"/>
          </w:tblCellMar>
        </w:tblPrEx>
        <w:trPr>
          <w:trHeight w:val="539"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政府集中采购</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3218"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r>
    </w:tbl>
    <w:p>
      <w:pPr>
        <w:widowControl/>
        <w:spacing w:after="240" w:line="578" w:lineRule="exact"/>
        <w:rPr>
          <w:rFonts w:ascii="宋体" w:cs="宋体"/>
          <w:b/>
          <w:bCs/>
          <w:kern w:val="0"/>
          <w:sz w:val="24"/>
        </w:rPr>
      </w:pPr>
    </w:p>
    <w:p>
      <w:pPr>
        <w:widowControl/>
        <w:spacing w:after="240" w:line="578"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三、收到和处理政府信息公开申请情况</w:t>
      </w:r>
    </w:p>
    <w:tbl>
      <w:tblPr>
        <w:tblStyle w:val="3"/>
        <w:tblW w:w="9356" w:type="dxa"/>
        <w:tblInd w:w="132" w:type="dxa"/>
        <w:tblLayout w:type="autofit"/>
        <w:tblCellMar>
          <w:top w:w="0" w:type="dxa"/>
          <w:left w:w="0" w:type="dxa"/>
          <w:bottom w:w="0" w:type="dxa"/>
          <w:right w:w="0" w:type="dxa"/>
        </w:tblCellMar>
      </w:tblPr>
      <w:tblGrid>
        <w:gridCol w:w="1053"/>
        <w:gridCol w:w="855"/>
        <w:gridCol w:w="1919"/>
        <w:gridCol w:w="851"/>
        <w:gridCol w:w="709"/>
        <w:gridCol w:w="850"/>
        <w:gridCol w:w="851"/>
        <w:gridCol w:w="850"/>
        <w:gridCol w:w="709"/>
        <w:gridCol w:w="709"/>
      </w:tblGrid>
      <w:tr>
        <w:tblPrEx>
          <w:tblCellMar>
            <w:top w:w="0" w:type="dxa"/>
            <w:left w:w="0" w:type="dxa"/>
            <w:bottom w:w="0" w:type="dxa"/>
            <w:right w:w="0" w:type="dxa"/>
          </w:tblCellMar>
        </w:tblPrEx>
        <w:tc>
          <w:tcPr>
            <w:tcW w:w="382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（本列数据的勾稽关系为：第一项加第二项之和，等于第三项加第四项之和）</w:t>
            </w:r>
          </w:p>
        </w:tc>
        <w:tc>
          <w:tcPr>
            <w:tcW w:w="5529"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申请人情况</w:t>
            </w:r>
          </w:p>
        </w:tc>
      </w:tr>
      <w:tr>
        <w:tblPrEx>
          <w:tblCellMar>
            <w:top w:w="0" w:type="dxa"/>
            <w:left w:w="0" w:type="dxa"/>
            <w:bottom w:w="0" w:type="dxa"/>
            <w:right w:w="0" w:type="dxa"/>
          </w:tblCellMar>
        </w:tblPrEx>
        <w:tc>
          <w:tcPr>
            <w:tcW w:w="382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自然人</w:t>
            </w:r>
          </w:p>
        </w:tc>
        <w:tc>
          <w:tcPr>
            <w:tcW w:w="396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法人或其他组织</w:t>
            </w:r>
          </w:p>
        </w:tc>
        <w:tc>
          <w:tcPr>
            <w:tcW w:w="70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总计</w:t>
            </w:r>
          </w:p>
        </w:tc>
      </w:tr>
      <w:tr>
        <w:tblPrEx>
          <w:tblCellMar>
            <w:top w:w="0" w:type="dxa"/>
            <w:left w:w="0" w:type="dxa"/>
            <w:bottom w:w="0" w:type="dxa"/>
            <w:right w:w="0" w:type="dxa"/>
          </w:tblCellMar>
        </w:tblPrEx>
        <w:tc>
          <w:tcPr>
            <w:tcW w:w="382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851" w:type="dxa"/>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商业企业</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科研机构</w:t>
            </w:r>
          </w:p>
        </w:tc>
        <w:tc>
          <w:tcPr>
            <w:tcW w:w="8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社会公益组织</w:t>
            </w:r>
          </w:p>
        </w:tc>
        <w:tc>
          <w:tcPr>
            <w:tcW w:w="8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法律服务机构</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其他</w:t>
            </w:r>
          </w:p>
        </w:tc>
        <w:tc>
          <w:tcPr>
            <w:tcW w:w="709" w:type="dxa"/>
            <w:vMerge w:val="continue"/>
            <w:tcBorders>
              <w:top w:val="single" w:color="auto" w:sz="8" w:space="0"/>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r>
      <w:tr>
        <w:tblPrEx>
          <w:tblCellMar>
            <w:top w:w="0" w:type="dxa"/>
            <w:left w:w="0" w:type="dxa"/>
            <w:bottom w:w="0" w:type="dxa"/>
            <w:right w:w="0" w:type="dxa"/>
          </w:tblCellMar>
        </w:tblPrEx>
        <w:tc>
          <w:tcPr>
            <w:tcW w:w="3827" w:type="dxa"/>
            <w:gridSpan w:val="3"/>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宋体" w:hAnsi="宋体" w:cs="宋体"/>
                <w:kern w:val="0"/>
                <w:sz w:val="20"/>
                <w:szCs w:val="20"/>
              </w:rPr>
              <w:t>一、本年新收政府信息公开申请数量</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3827" w:type="dxa"/>
            <w:gridSpan w:val="3"/>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宋体" w:hAnsi="宋体" w:cs="宋体"/>
                <w:kern w:val="0"/>
                <w:sz w:val="20"/>
                <w:szCs w:val="20"/>
              </w:rPr>
              <w:t>二、上年结转政府信息公开申请数量</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restart"/>
            <w:tcBorders>
              <w:top w:val="nil"/>
              <w:left w:val="single" w:color="auto" w:sz="8" w:space="0"/>
              <w:bottom w:val="single" w:color="auto" w:sz="8" w:space="0"/>
              <w:right w:val="single" w:color="auto" w:sz="8" w:space="0"/>
            </w:tcBorders>
            <w:vAlign w:val="center"/>
          </w:tcPr>
          <w:p>
            <w:pPr>
              <w:widowControl/>
              <w:spacing w:line="578" w:lineRule="exact"/>
              <w:jc w:val="center"/>
              <w:rPr>
                <w:rFonts w:ascii="宋体" w:cs="宋体"/>
                <w:kern w:val="0"/>
                <w:sz w:val="24"/>
              </w:rPr>
            </w:pPr>
            <w:r>
              <w:rPr>
                <w:rFonts w:hint="eastAsia" w:ascii="宋体" w:hAnsi="宋体" w:cs="宋体"/>
                <w:kern w:val="0"/>
                <w:sz w:val="20"/>
                <w:szCs w:val="20"/>
              </w:rPr>
              <w:t>三、本年度办理结果</w:t>
            </w:r>
          </w:p>
        </w:tc>
        <w:tc>
          <w:tcPr>
            <w:tcW w:w="2774" w:type="dxa"/>
            <w:gridSpan w:val="2"/>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（一）予以公开</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2774" w:type="dxa"/>
            <w:gridSpan w:val="2"/>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（二）部分公开（区分处理的，只计这一情形，不计其他情形）</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（三）不予公开</w:t>
            </w: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1.</w:t>
            </w:r>
            <w:r>
              <w:rPr>
                <w:rFonts w:hint="eastAsia" w:ascii="楷体" w:hAnsi="楷体" w:eastAsia="楷体" w:cs="宋体"/>
                <w:kern w:val="0"/>
                <w:sz w:val="20"/>
                <w:szCs w:val="20"/>
              </w:rPr>
              <w:t>属于国家秘密</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2.</w:t>
            </w:r>
            <w:r>
              <w:rPr>
                <w:rFonts w:hint="eastAsia" w:ascii="楷体" w:hAnsi="楷体" w:eastAsia="楷体" w:cs="宋体"/>
                <w:kern w:val="0"/>
                <w:sz w:val="20"/>
                <w:szCs w:val="20"/>
              </w:rPr>
              <w:t>其他法律行政法规禁止公开</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3.</w:t>
            </w:r>
            <w:r>
              <w:rPr>
                <w:rFonts w:hint="eastAsia" w:ascii="楷体" w:hAnsi="楷体" w:eastAsia="楷体" w:cs="宋体"/>
                <w:kern w:val="0"/>
                <w:sz w:val="20"/>
                <w:szCs w:val="20"/>
              </w:rPr>
              <w:t>危及“三安全一稳定”</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4.</w:t>
            </w:r>
            <w:r>
              <w:rPr>
                <w:rFonts w:hint="eastAsia" w:ascii="楷体" w:hAnsi="楷体" w:eastAsia="楷体" w:cs="宋体"/>
                <w:kern w:val="0"/>
                <w:sz w:val="20"/>
                <w:szCs w:val="20"/>
              </w:rPr>
              <w:t>保护第三方合法权益</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5.</w:t>
            </w:r>
            <w:r>
              <w:rPr>
                <w:rFonts w:hint="eastAsia" w:ascii="楷体" w:hAnsi="楷体" w:eastAsia="楷体" w:cs="宋体"/>
                <w:kern w:val="0"/>
                <w:sz w:val="20"/>
                <w:szCs w:val="20"/>
              </w:rPr>
              <w:t>属于三类内部事务信息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6.</w:t>
            </w:r>
            <w:r>
              <w:rPr>
                <w:rFonts w:hint="eastAsia" w:ascii="楷体" w:hAnsi="楷体" w:eastAsia="楷体" w:cs="宋体"/>
                <w:kern w:val="0"/>
                <w:sz w:val="20"/>
                <w:szCs w:val="20"/>
              </w:rPr>
              <w:t>属于四类过程性信息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7.</w:t>
            </w:r>
            <w:r>
              <w:rPr>
                <w:rFonts w:hint="eastAsia" w:ascii="楷体" w:hAnsi="楷体" w:eastAsia="楷体" w:cs="宋体"/>
                <w:kern w:val="0"/>
                <w:sz w:val="20"/>
                <w:szCs w:val="20"/>
              </w:rPr>
              <w:t>属于行政执法案卷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8.</w:t>
            </w:r>
            <w:r>
              <w:rPr>
                <w:rFonts w:hint="eastAsia" w:ascii="楷体" w:hAnsi="楷体" w:eastAsia="楷体" w:cs="宋体"/>
                <w:kern w:val="0"/>
                <w:sz w:val="20"/>
                <w:szCs w:val="20"/>
              </w:rPr>
              <w:t>属于行政查询事项</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（四）无法提供</w:t>
            </w: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1.</w:t>
            </w:r>
            <w:r>
              <w:rPr>
                <w:rFonts w:hint="eastAsia" w:ascii="楷体" w:hAnsi="楷体" w:eastAsia="楷体" w:cs="宋体"/>
                <w:kern w:val="0"/>
                <w:sz w:val="20"/>
                <w:szCs w:val="20"/>
              </w:rPr>
              <w:t>本机关不掌握相关政府信息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2.</w:t>
            </w:r>
            <w:r>
              <w:rPr>
                <w:rFonts w:hint="eastAsia" w:ascii="楷体" w:hAnsi="楷体" w:eastAsia="楷体" w:cs="宋体"/>
                <w:kern w:val="0"/>
                <w:sz w:val="20"/>
                <w:szCs w:val="20"/>
              </w:rPr>
              <w:t>没有现成信息需要另行制作</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3.</w:t>
            </w:r>
            <w:r>
              <w:rPr>
                <w:rFonts w:hint="eastAsia" w:ascii="楷体" w:hAnsi="楷体" w:eastAsia="楷体" w:cs="宋体"/>
                <w:kern w:val="0"/>
                <w:sz w:val="20"/>
                <w:szCs w:val="20"/>
              </w:rPr>
              <w:t>补正后申请内容仍不明确</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（五）不予处理</w:t>
            </w: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1.</w:t>
            </w:r>
            <w:r>
              <w:rPr>
                <w:rFonts w:hint="eastAsia" w:ascii="楷体" w:hAnsi="楷体" w:eastAsia="楷体" w:cs="宋体"/>
                <w:kern w:val="0"/>
                <w:sz w:val="20"/>
                <w:szCs w:val="20"/>
              </w:rPr>
              <w:t>信访举报投诉类申请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2.</w:t>
            </w:r>
            <w:r>
              <w:rPr>
                <w:rFonts w:hint="eastAsia" w:ascii="楷体" w:hAnsi="楷体" w:eastAsia="楷体" w:cs="宋体"/>
                <w:kern w:val="0"/>
                <w:sz w:val="20"/>
                <w:szCs w:val="20"/>
              </w:rPr>
              <w:t>重复申请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3.</w:t>
            </w:r>
            <w:r>
              <w:rPr>
                <w:rFonts w:hint="eastAsia" w:ascii="楷体" w:hAnsi="楷体" w:eastAsia="楷体" w:cs="宋体"/>
                <w:kern w:val="0"/>
                <w:sz w:val="20"/>
                <w:szCs w:val="20"/>
              </w:rPr>
              <w:t>要求提供公开出版物</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4.</w:t>
            </w:r>
            <w:r>
              <w:rPr>
                <w:rFonts w:hint="eastAsia" w:ascii="楷体" w:hAnsi="楷体" w:eastAsia="楷体" w:cs="宋体"/>
                <w:kern w:val="0"/>
                <w:sz w:val="20"/>
                <w:szCs w:val="20"/>
              </w:rPr>
              <w:t>无正当理由大量反复申请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left"/>
              <w:rPr>
                <w:rFonts w:ascii="宋体" w:cs="宋体"/>
                <w:kern w:val="0"/>
                <w:sz w:val="24"/>
              </w:rPr>
            </w:pPr>
            <w:r>
              <w:rPr>
                <w:rFonts w:ascii="楷体" w:hAnsi="楷体" w:eastAsia="楷体" w:cs="宋体"/>
                <w:kern w:val="0"/>
                <w:sz w:val="20"/>
                <w:szCs w:val="20"/>
              </w:rPr>
              <w:t>5.</w:t>
            </w:r>
            <w:r>
              <w:rPr>
                <w:rFonts w:hint="eastAsia" w:ascii="楷体" w:hAnsi="楷体" w:eastAsia="楷体" w:cs="宋体"/>
                <w:kern w:val="0"/>
                <w:sz w:val="20"/>
                <w:szCs w:val="20"/>
              </w:rPr>
              <w:t>要求行政机关确认或重新出具已获取信息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2774" w:type="dxa"/>
            <w:gridSpan w:val="2"/>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（六）其他处理</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2774" w:type="dxa"/>
            <w:gridSpan w:val="2"/>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楷体" w:hAnsi="楷体" w:eastAsia="楷体" w:cs="宋体"/>
                <w:kern w:val="0"/>
                <w:sz w:val="20"/>
                <w:szCs w:val="20"/>
              </w:rPr>
              <w:t>（七）总计</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r>
        <w:tblPrEx>
          <w:tblCellMar>
            <w:top w:w="0" w:type="dxa"/>
            <w:left w:w="0" w:type="dxa"/>
            <w:bottom w:w="0" w:type="dxa"/>
            <w:right w:w="0" w:type="dxa"/>
          </w:tblCellMar>
        </w:tblPrEx>
        <w:tc>
          <w:tcPr>
            <w:tcW w:w="3827" w:type="dxa"/>
            <w:gridSpan w:val="3"/>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r>
              <w:rPr>
                <w:rFonts w:hint="eastAsia" w:ascii="宋体" w:hAnsi="宋体" w:cs="宋体"/>
                <w:kern w:val="0"/>
                <w:sz w:val="20"/>
                <w:szCs w:val="20"/>
              </w:rPr>
              <w:t>四、结转下年度继续办理</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Calibri" w:hAnsi="Calibri" w:cs="宋体"/>
                <w:kern w:val="0"/>
                <w:sz w:val="20"/>
                <w:szCs w:val="20"/>
                <w:lang w:val="en-US" w:eastAsia="zh-CN"/>
              </w:rPr>
              <w:t>0</w:t>
            </w:r>
            <w:r>
              <w:rPr>
                <w:rFonts w:ascii="Calibri" w:hAnsi="Calibri" w:cs="宋体"/>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ascii="Calibri" w:hAnsi="Calibri" w:cs="宋体"/>
                <w:kern w:val="0"/>
                <w:sz w:val="20"/>
                <w:szCs w:val="20"/>
              </w:rPr>
              <w:t> </w:t>
            </w:r>
            <w:r>
              <w:rPr>
                <w:rFonts w:hint="eastAsia" w:ascii="Calibri" w:hAnsi="Calibri" w:cs="宋体"/>
                <w:kern w:val="0"/>
                <w:sz w:val="20"/>
                <w:szCs w:val="20"/>
                <w:lang w:val="en-US" w:eastAsia="zh-CN"/>
              </w:rPr>
              <w:t>0</w:t>
            </w:r>
          </w:p>
        </w:tc>
      </w:tr>
    </w:tbl>
    <w:p>
      <w:pPr>
        <w:widowControl/>
        <w:spacing w:line="578" w:lineRule="exact"/>
        <w:rPr>
          <w:rFonts w:ascii="宋体" w:cs="宋体"/>
          <w:kern w:val="0"/>
          <w:sz w:val="24"/>
        </w:rPr>
      </w:pPr>
    </w:p>
    <w:p>
      <w:pPr>
        <w:widowControl/>
        <w:spacing w:line="578"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四、政府信息公开行政复议、行政诉讼情况</w:t>
      </w:r>
    </w:p>
    <w:tbl>
      <w:tblPr>
        <w:tblStyle w:val="3"/>
        <w:tblW w:w="9214" w:type="dxa"/>
        <w:tblInd w:w="132" w:type="dxa"/>
        <w:tblLayout w:type="autofit"/>
        <w:tblCellMar>
          <w:top w:w="0" w:type="dxa"/>
          <w:left w:w="0" w:type="dxa"/>
          <w:bottom w:w="0" w:type="dxa"/>
          <w:right w:w="0" w:type="dxa"/>
        </w:tblCellMar>
      </w:tblPr>
      <w:tblGrid>
        <w:gridCol w:w="900"/>
        <w:gridCol w:w="604"/>
        <w:gridCol w:w="604"/>
        <w:gridCol w:w="604"/>
        <w:gridCol w:w="658"/>
        <w:gridCol w:w="550"/>
        <w:gridCol w:w="605"/>
        <w:gridCol w:w="605"/>
        <w:gridCol w:w="605"/>
        <w:gridCol w:w="502"/>
        <w:gridCol w:w="709"/>
        <w:gridCol w:w="604"/>
        <w:gridCol w:w="530"/>
        <w:gridCol w:w="567"/>
        <w:gridCol w:w="567"/>
      </w:tblGrid>
      <w:tr>
        <w:tblPrEx>
          <w:tblCellMar>
            <w:top w:w="0" w:type="dxa"/>
            <w:left w:w="0" w:type="dxa"/>
            <w:bottom w:w="0" w:type="dxa"/>
            <w:right w:w="0" w:type="dxa"/>
          </w:tblCellMar>
        </w:tblPrEx>
        <w:tc>
          <w:tcPr>
            <w:tcW w:w="337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行政复议</w:t>
            </w:r>
          </w:p>
        </w:tc>
        <w:tc>
          <w:tcPr>
            <w:tcW w:w="5844"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c>
          <w:tcPr>
            <w:tcW w:w="9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总计</w:t>
            </w:r>
          </w:p>
        </w:tc>
        <w:tc>
          <w:tcPr>
            <w:tcW w:w="286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未经复议直接起诉</w:t>
            </w:r>
          </w:p>
        </w:tc>
        <w:tc>
          <w:tcPr>
            <w:tcW w:w="297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复议后起诉</w:t>
            </w:r>
          </w:p>
        </w:tc>
      </w:tr>
      <w:tr>
        <w:tblPrEx>
          <w:tblCellMar>
            <w:top w:w="0" w:type="dxa"/>
            <w:left w:w="0" w:type="dxa"/>
            <w:bottom w:w="0" w:type="dxa"/>
            <w:right w:w="0" w:type="dxa"/>
          </w:tblCellMar>
        </w:tblPrEx>
        <w:tc>
          <w:tcPr>
            <w:tcW w:w="900" w:type="dxa"/>
            <w:vMerge w:val="continue"/>
            <w:tcBorders>
              <w:top w:val="nil"/>
              <w:left w:val="single" w:color="auto" w:sz="8" w:space="0"/>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spacing w:line="578" w:lineRule="exact"/>
              <w:jc w:val="left"/>
              <w:rPr>
                <w:rFonts w:ascii="宋体" w:cs="宋体"/>
                <w:kern w:val="0"/>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尚未审结</w:t>
            </w:r>
          </w:p>
        </w:tc>
        <w:tc>
          <w:tcPr>
            <w:tcW w:w="5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总计</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结果维持</w:t>
            </w:r>
          </w:p>
        </w:tc>
        <w:tc>
          <w:tcPr>
            <w:tcW w:w="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结果纠正</w:t>
            </w:r>
          </w:p>
        </w:tc>
        <w:tc>
          <w:tcPr>
            <w:tcW w:w="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其他结果</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尚未审结</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hAnsi="宋体" w:cs="宋体"/>
                <w:kern w:val="0"/>
                <w:sz w:val="20"/>
                <w:szCs w:val="20"/>
              </w:rPr>
              <w:t>总计</w:t>
            </w:r>
          </w:p>
        </w:tc>
      </w:tr>
      <w:tr>
        <w:tblPrEx>
          <w:tblCellMar>
            <w:top w:w="0" w:type="dxa"/>
            <w:left w:w="0" w:type="dxa"/>
            <w:bottom w:w="0" w:type="dxa"/>
            <w:right w:w="0" w:type="dxa"/>
          </w:tblCellMar>
        </w:tblPrEx>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Calibri" w:hAnsi="Calibri" w:cs="宋体"/>
                <w:kern w:val="0"/>
                <w:sz w:val="20"/>
                <w:szCs w:val="20"/>
              </w:rPr>
              <w:t> </w:t>
            </w:r>
            <w:r>
              <w:rPr>
                <w:rFonts w:hint="eastAsia" w:ascii="Calibri" w:hAnsi="Calibri" w:cs="宋体"/>
                <w:kern w:val="0"/>
                <w:sz w:val="20"/>
                <w:szCs w:val="20"/>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宋体" w:cs="宋体"/>
                <w:kern w:val="0"/>
                <w:sz w:val="20"/>
                <w:szCs w:val="20"/>
              </w:rPr>
              <w:t> </w:t>
            </w:r>
            <w:r>
              <w:rPr>
                <w:rFonts w:hint="eastAsia" w:ascii="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宋体" w:cs="宋体"/>
                <w:kern w:val="0"/>
                <w:sz w:val="20"/>
                <w:szCs w:val="20"/>
              </w:rPr>
              <w:t> </w:t>
            </w:r>
            <w:r>
              <w:rPr>
                <w:rFonts w:hint="eastAsia" w:ascii="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宋体" w:cs="宋体"/>
                <w:kern w:val="0"/>
                <w:sz w:val="20"/>
                <w:szCs w:val="20"/>
              </w:rPr>
              <w:t> </w:t>
            </w:r>
            <w:r>
              <w:rPr>
                <w:rFonts w:hint="eastAsia" w:ascii="宋体" w:cs="宋体"/>
                <w:kern w:val="0"/>
                <w:sz w:val="20"/>
                <w:szCs w:val="20"/>
                <w:lang w:val="en-US" w:eastAsia="zh-CN"/>
              </w:rPr>
              <w:t>0</w:t>
            </w:r>
          </w:p>
        </w:tc>
        <w:tc>
          <w:tcPr>
            <w:tcW w:w="5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宋体" w:cs="宋体"/>
                <w:kern w:val="0"/>
                <w:sz w:val="20"/>
                <w:szCs w:val="20"/>
              </w:rPr>
              <w:t> </w:t>
            </w:r>
            <w:r>
              <w:rPr>
                <w:rFonts w:hint="eastAsia" w:ascii="宋体"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宋体" w:cs="宋体"/>
                <w:kern w:val="0"/>
                <w:sz w:val="20"/>
                <w:szCs w:val="20"/>
              </w:rPr>
              <w:t> </w:t>
            </w:r>
            <w:r>
              <w:rPr>
                <w:rFonts w:hint="eastAsia" w:ascii="宋体"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5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ascii="宋体" w:cs="宋体"/>
                <w:kern w:val="0"/>
                <w:sz w:val="20"/>
                <w:szCs w:val="20"/>
              </w:rPr>
              <w:t> </w:t>
            </w:r>
            <w:r>
              <w:rPr>
                <w:rFonts w:hint="eastAsia" w:ascii="宋体" w:cs="宋体"/>
                <w:kern w:val="0"/>
                <w:sz w:val="20"/>
                <w:szCs w:val="20"/>
                <w:lang w:val="en-US" w:eastAsia="zh-CN"/>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ascii="宋体" w:cs="宋体"/>
                <w:kern w:val="0"/>
                <w:sz w:val="24"/>
              </w:rPr>
            </w:pPr>
            <w:r>
              <w:rPr>
                <w:rFonts w:hint="eastAsia" w:ascii="宋体" w:cs="宋体"/>
                <w:kern w:val="0"/>
                <w:sz w:val="20"/>
                <w:szCs w:val="20"/>
                <w:lang w:val="en-US" w:eastAsia="zh-CN"/>
              </w:rPr>
              <w:t>0</w:t>
            </w:r>
            <w:r>
              <w:rPr>
                <w:rFonts w:ascii="宋体" w:cs="宋体"/>
                <w:kern w:val="0"/>
                <w:sz w:val="20"/>
                <w:szCs w:val="20"/>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78" w:lineRule="exact"/>
              <w:jc w:val="center"/>
              <w:rPr>
                <w:rFonts w:hint="eastAsia" w:ascii="宋体" w:eastAsia="宋体" w:cs="宋体"/>
                <w:kern w:val="0"/>
                <w:sz w:val="24"/>
                <w:lang w:val="en-US" w:eastAsia="zh-CN"/>
              </w:rPr>
            </w:pPr>
            <w:r>
              <w:rPr>
                <w:rFonts w:hint="eastAsia" w:ascii="宋体" w:cs="宋体"/>
                <w:kern w:val="0"/>
                <w:sz w:val="24"/>
                <w:lang w:val="en-US" w:eastAsia="zh-CN"/>
              </w:rPr>
              <w:t>0</w:t>
            </w:r>
          </w:p>
        </w:tc>
      </w:tr>
    </w:tbl>
    <w:p>
      <w:pPr>
        <w:widowControl/>
        <w:spacing w:line="578" w:lineRule="exact"/>
        <w:rPr>
          <w:rFonts w:ascii="宋体" w:cs="宋体"/>
          <w:b/>
          <w:bCs/>
          <w:kern w:val="0"/>
          <w:sz w:val="24"/>
        </w:rPr>
      </w:pPr>
    </w:p>
    <w:p>
      <w:pPr>
        <w:widowControl/>
        <w:spacing w:line="578"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五、存在的主要问题及改进情况</w:t>
      </w:r>
    </w:p>
    <w:p>
      <w:pPr>
        <w:widowControl/>
        <w:spacing w:line="578"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lang w:eastAsia="zh-CN"/>
        </w:rPr>
        <w:t>2020年，毕家岗街道按照党中央、国务院有关决策部署和《条例》要求，坚持以公开为常态、不公开为例外，但实际工作过程中还存在以下不足：（</w:t>
      </w:r>
      <w:r>
        <w:rPr>
          <w:rFonts w:hint="eastAsia" w:ascii="仿宋" w:hAnsi="仿宋" w:eastAsia="仿宋" w:cs="仿宋"/>
          <w:bCs/>
          <w:kern w:val="0"/>
          <w:sz w:val="32"/>
          <w:szCs w:val="32"/>
        </w:rPr>
        <w:t>一）信息公开的工作制度和程序有待进一步细化</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（二）信息公开侧重点有待进一步明确，信息公开的及时性有待进一步加强</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（三）信息化管理人员业务水平有待提高。</w:t>
      </w:r>
    </w:p>
    <w:p>
      <w:pPr>
        <w:widowControl/>
        <w:spacing w:line="578" w:lineRule="exact"/>
        <w:ind w:firstLine="640" w:firstLineChars="200"/>
        <w:rPr>
          <w:rFonts w:hint="eastAsia" w:ascii="仿宋" w:hAnsi="仿宋" w:eastAsia="仿宋" w:cs="仿宋"/>
          <w:bCs/>
          <w:kern w:val="0"/>
          <w:sz w:val="32"/>
          <w:szCs w:val="32"/>
          <w:lang w:eastAsia="zh-CN"/>
        </w:rPr>
      </w:pPr>
      <w:r>
        <w:rPr>
          <w:rFonts w:hint="eastAsia" w:ascii="仿宋" w:hAnsi="仿宋" w:eastAsia="仿宋" w:cs="仿宋"/>
          <w:bCs/>
          <w:kern w:val="0"/>
          <w:sz w:val="32"/>
          <w:szCs w:val="32"/>
          <w:lang w:eastAsia="zh-CN"/>
        </w:rPr>
        <w:t>毕家岗街道下一步将不断加强学习，积极开展学习培训活动，提高全街道各部门对政府信息公开工作的认识；加强横向交流学习，借鉴先进经验，提高政府信息公开工作的水平和能力；不断完善门户网站的栏目和内容，使公众能够方便、快捷地获取所需信息。</w:t>
      </w:r>
    </w:p>
    <w:p>
      <w:pPr>
        <w:widowControl/>
        <w:spacing w:line="578"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六、其他需要报告的事项</w:t>
      </w:r>
    </w:p>
    <w:p>
      <w:pPr>
        <w:ind w:firstLine="640" w:firstLineChars="200"/>
        <w:rPr>
          <w:rFonts w:hint="eastAsia" w:eastAsia="仿宋_GB2312"/>
          <w:sz w:val="32"/>
          <w:szCs w:val="32"/>
          <w:lang w:eastAsia="zh-CN"/>
        </w:rPr>
      </w:pPr>
      <w:r>
        <w:rPr>
          <w:rFonts w:hint="eastAsia" w:eastAsia="仿宋_GB2312"/>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537BC"/>
    <w:multiLevelType w:val="singleLevel"/>
    <w:tmpl w:val="14E537BC"/>
    <w:lvl w:ilvl="0" w:tentative="0">
      <w:start w:val="1"/>
      <w:numFmt w:val="chineseCounting"/>
      <w:suff w:val="nothing"/>
      <w:lvlText w:val="（%1）"/>
      <w:lvlJc w:val="left"/>
      <w:rPr>
        <w:rFonts w:hint="eastAsia"/>
      </w:rPr>
    </w:lvl>
  </w:abstractNum>
  <w:abstractNum w:abstractNumId="1">
    <w:nsid w:val="4F36CEDE"/>
    <w:multiLevelType w:val="singleLevel"/>
    <w:tmpl w:val="4F36CED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3031D"/>
    <w:rsid w:val="0BDF4191"/>
    <w:rsid w:val="0CFD1EF2"/>
    <w:rsid w:val="0E2209DF"/>
    <w:rsid w:val="36723FE3"/>
    <w:rsid w:val="469456EF"/>
    <w:rsid w:val="46E57E55"/>
    <w:rsid w:val="53111CDC"/>
    <w:rsid w:val="58A3031D"/>
    <w:rsid w:val="5A14172F"/>
    <w:rsid w:val="5FF47F0B"/>
    <w:rsid w:val="6079168B"/>
    <w:rsid w:val="6C17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2021-01-25T00:58:00Z</dcterms:created>
  <dc:creator>暖,</dc:creator>
  <cp:lastModifiedBy>暖,</cp:lastModifiedBy>
  <dcterms:modified xsi:type="dcterms:W3CDTF">2021-01-26T04:15:45Z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