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8" w:lineRule="exact"/>
        <w:rPr>
          <w:rFonts w:ascii="宋体" w:cs="宋体"/>
          <w:b/>
          <w:bCs/>
          <w:kern w:val="0"/>
          <w:sz w:val="24"/>
        </w:rPr>
      </w:pPr>
    </w:p>
    <w:p>
      <w:pPr>
        <w:widowControl/>
        <w:spacing w:line="578" w:lineRule="exact"/>
        <w:jc w:val="center"/>
        <w:rPr>
          <w:rFonts w:ascii="方正小标宋简体" w:eastAsia="方正小标宋简体" w:cs="宋体"/>
          <w:kern w:val="0"/>
          <w:sz w:val="44"/>
          <w:szCs w:val="44"/>
        </w:rPr>
      </w:pPr>
      <w:r>
        <w:rPr>
          <w:rFonts w:ascii="方正小标宋简体" w:cs="宋体"/>
          <w:kern w:val="0"/>
          <w:sz w:val="44"/>
          <w:szCs w:val="44"/>
          <w:lang w:val="en-US"/>
        </w:rPr>
        <w:t>八公山区人力资源和社会保障局2019年政府信息公开工作年度报告</w:t>
      </w:r>
    </w:p>
    <w:p>
      <w:pPr>
        <w:keepNext w:val="0"/>
        <w:keepLines w:val="0"/>
        <w:pageBreakBefore w:val="0"/>
        <w:widowControl/>
        <w:kinsoku/>
        <w:wordWrap/>
        <w:overflowPunct/>
        <w:topLinePunct w:val="0"/>
        <w:autoSpaceDE/>
        <w:autoSpaceDN/>
        <w:bidi w:val="0"/>
        <w:adjustRightInd/>
        <w:snapToGrid/>
        <w:spacing w:after="333" w:afterLines="100" w:line="240" w:lineRule="auto"/>
        <w:ind w:left="0" w:leftChars="0" w:firstLine="482"/>
        <w:jc w:val="left"/>
        <w:textAlignment w:val="auto"/>
        <w:rPr>
          <w:rFonts w:ascii="宋体" w:cs="宋体"/>
          <w:snapToGrid w:val="0"/>
          <w:kern w:val="0"/>
          <w:sz w:val="24"/>
        </w:rPr>
      </w:pPr>
      <w:r>
        <w:rPr>
          <w:rFonts w:ascii="宋体" w:cs="宋体"/>
          <w:kern w:val="0"/>
          <w:sz w:val="24"/>
          <w:lang w:val="en-US"/>
        </w:rPr>
        <w:t>本报告依据《中华人民共和国政府信息公开条例》（国务院令第711号）、《国务院办公厅政府信息与政务公开办公室关于政府信息公开工作年度报告有关事项的通知》（国办公开办函〔2019〕60号）及《安徽省人民政府办公厅关于做好2019年度政府信息公开工作年度报告及统计数据报送有关工作的通知》（皖政务办秘〔2019〕43号）要求，结合我单位政府信息公开工作有关统计数据撰写。报告主要包括：总体情况、主动公开政府信息情况、收到和处理政府信息公开申请情况、因政府信息公开被申请行政复议和提起行政诉讼情况、政府信息公开工作存在主要问题及改进情况和其他需要报告事项。本报告中使用数据统计期限为2019年1月1日至12月31日</w:t>
      </w:r>
      <w:r>
        <w:rPr>
          <w:rFonts w:hint="eastAsia" w:ascii="宋体" w:cs="宋体"/>
          <w:kern w:val="0"/>
          <w:sz w:val="24"/>
          <w:lang w:val="en-US" w:eastAsia="zh-CN"/>
        </w:rPr>
        <w:t>。</w:t>
      </w:r>
      <w:r>
        <w:rPr>
          <w:rFonts w:ascii="宋体" w:cs="宋体"/>
          <w:kern w:val="0"/>
          <w:sz w:val="24"/>
          <w:lang w:val="en-US"/>
        </w:rPr>
        <w:t>报告电子版可在</w:t>
      </w:r>
      <w:r>
        <w:rPr>
          <w:rFonts w:hint="eastAsia" w:ascii="宋体" w:cs="宋体"/>
          <w:kern w:val="0"/>
          <w:sz w:val="24"/>
          <w:lang w:val="en-US" w:eastAsia="zh-CN"/>
        </w:rPr>
        <w:t>淮南市人民政府</w:t>
      </w:r>
      <w:r>
        <w:rPr>
          <w:rFonts w:hint="eastAsia" w:ascii="宋体" w:cs="宋体"/>
          <w:bCs/>
          <w:iCs/>
          <w:snapToGrid w:val="0"/>
          <w:spacing w:val="0"/>
          <w:w w:val="100"/>
          <w:kern w:val="0"/>
          <w:sz w:val="24"/>
          <w:lang w:val="en-US" w:eastAsia="zh-CN"/>
        </w:rPr>
        <w:t>信息</w:t>
      </w:r>
      <w:r>
        <w:rPr>
          <w:rFonts w:hint="eastAsia" w:ascii="宋体" w:cs="宋体"/>
          <w:bCs/>
          <w:iCs/>
          <w:snapToGrid w:val="0"/>
          <w:spacing w:val="-20"/>
          <w:w w:val="100"/>
          <w:kern w:val="0"/>
          <w:sz w:val="24"/>
          <w:lang w:val="en-US" w:eastAsia="zh-CN"/>
        </w:rPr>
        <w:t>公开网下载  http://www.bagongshan.gov.cn/zwgkzt/2019nzfxxgkgzndbg/index.html</w:t>
      </w:r>
      <w:r>
        <w:rPr>
          <w:rFonts w:ascii="宋体" w:cs="宋体"/>
          <w:snapToGrid w:val="0"/>
          <w:spacing w:val="-20"/>
          <w:kern w:val="0"/>
          <w:sz w:val="24"/>
          <w:lang w:val="en-US"/>
        </w:rPr>
        <w:t>如对</w:t>
      </w:r>
      <w:r>
        <w:rPr>
          <w:rFonts w:ascii="宋体" w:cs="宋体"/>
          <w:snapToGrid w:val="0"/>
          <w:spacing w:val="0"/>
          <w:kern w:val="0"/>
          <w:sz w:val="24"/>
          <w:lang w:val="en-US"/>
        </w:rPr>
        <w:t>本报告有任何疑问，请与淮南市八公山区人力资源和社会保障局联系（电话：0554-56</w:t>
      </w:r>
      <w:r>
        <w:rPr>
          <w:rFonts w:hint="eastAsia" w:ascii="宋体" w:cs="宋体"/>
          <w:snapToGrid w:val="0"/>
          <w:spacing w:val="0"/>
          <w:kern w:val="0"/>
          <w:sz w:val="24"/>
          <w:lang w:val="en-US" w:eastAsia="zh-CN"/>
        </w:rPr>
        <w:t>2</w:t>
      </w:r>
      <w:r>
        <w:rPr>
          <w:rFonts w:ascii="宋体" w:cs="宋体"/>
          <w:snapToGrid w:val="0"/>
          <w:spacing w:val="0"/>
          <w:kern w:val="0"/>
          <w:sz w:val="24"/>
          <w:lang w:val="en-US"/>
        </w:rPr>
        <w:t>7408，邮编：232072）。</w:t>
      </w:r>
    </w:p>
    <w:p>
      <w:pPr>
        <w:widowControl/>
        <w:spacing w:line="578" w:lineRule="exact"/>
        <w:ind w:firstLine="480"/>
        <w:rPr>
          <w:rFonts w:ascii="黑体" w:hAnsi="黑体" w:eastAsia="黑体" w:cs="宋体"/>
          <w:kern w:val="0"/>
          <w:sz w:val="32"/>
          <w:szCs w:val="32"/>
        </w:rPr>
      </w:pPr>
      <w:r>
        <w:rPr>
          <w:rFonts w:hint="eastAsia" w:ascii="黑体" w:hAnsi="黑体" w:eastAsia="黑体" w:cs="宋体"/>
          <w:bCs/>
          <w:kern w:val="0"/>
          <w:sz w:val="32"/>
          <w:szCs w:val="32"/>
        </w:rPr>
        <w:t>一、总体情况</w:t>
      </w:r>
    </w:p>
    <w:p>
      <w:pPr>
        <w:bidi w:val="0"/>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本年度我局坚持 "以公开为常态、不公开为例外"，认真贯彻落实新修订的《政府信息公开条例》，全面推进决策、执行、结果、管理和服务五公开，深化三大攻坚战等重点领域信息公开，切实加强政策解读，积极回应社会关切，充分发挥政务公开人社部门的重要作用。</w:t>
      </w:r>
    </w:p>
    <w:p>
      <w:pPr>
        <w:bidi w:val="0"/>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 </w:t>
      </w:r>
    </w:p>
    <w:p>
      <w:pPr>
        <w:bidi w:val="0"/>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（一）  主动公开情况</w:t>
      </w:r>
    </w:p>
    <w:p>
      <w:pPr>
        <w:bidi w:val="0"/>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一年来共公开信息154条，其中日常工作情况7条，人事信息14条，社会保险类信息55条，就业创业信息22条，转发上级政策及解读4条等等，扎实做好有关人事信息、社保信息公开工作。本年度我局尚未收到依申请公开事项；</w:t>
      </w:r>
    </w:p>
    <w:p>
      <w:pPr>
        <w:bidi w:val="0"/>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（二）   </w:t>
      </w:r>
      <w:bookmarkStart w:id="0" w:name="_GoBack"/>
      <w:bookmarkEnd w:id="0"/>
      <w:r>
        <w:rPr>
          <w:rFonts w:hint="eastAsia" w:ascii="宋体" w:hAnsi="宋体" w:eastAsia="宋体" w:cs="宋体"/>
          <w:sz w:val="24"/>
          <w:szCs w:val="24"/>
          <w:lang w:val="en-US"/>
        </w:rPr>
        <w:t>监督保障</w:t>
      </w:r>
    </w:p>
    <w:p>
      <w:pPr>
        <w:bidi w:val="0"/>
        <w:ind w:firstLine="480" w:firstLineChars="200"/>
        <w:rPr>
          <w:rFonts w:hint="eastAsia" w:ascii="宋体" w:hAnsi="宋体" w:eastAsia="宋体" w:cs="宋体"/>
          <w:sz w:val="24"/>
          <w:szCs w:val="24"/>
          <w:lang w:val="en-US"/>
        </w:rPr>
      </w:pPr>
      <w:r>
        <w:rPr>
          <w:rFonts w:hint="eastAsia" w:ascii="宋体" w:hAnsi="宋体" w:eastAsia="宋体" w:cs="宋体"/>
          <w:sz w:val="24"/>
          <w:szCs w:val="24"/>
          <w:lang w:val="en-US"/>
        </w:rPr>
        <w:t>另一方面加强领导，提升协作。八公山区人社局高度重视政务公开工作，设置了一名专职人员负责统筹信息、发布信息。其他工作人员协作配合上报信息。此外负责发布信息的工作人员积极参与培训、不断更新知识。我局工作人员积极参与区政府、区信息中心举办的相关培训，与区信息中心人员联系紧密，沟通及时,确保了第一时间掌握网站发布技能。</w:t>
      </w:r>
    </w:p>
    <w:p>
      <w:pPr>
        <w:bidi w:val="0"/>
        <w:ind w:firstLine="480" w:firstLineChars="200"/>
        <w:rPr>
          <w:rFonts w:hint="eastAsia" w:ascii="宋体" w:hAnsi="宋体" w:eastAsia="宋体" w:cs="宋体"/>
          <w:sz w:val="24"/>
          <w:szCs w:val="24"/>
          <w:lang w:val="en-US"/>
        </w:rPr>
      </w:pPr>
    </w:p>
    <w:p>
      <w:pPr>
        <w:widowControl/>
        <w:spacing w:line="578" w:lineRule="exact"/>
        <w:rPr>
          <w:rFonts w:ascii="仿宋_GB2312" w:eastAsia="仿宋_GB2312" w:cs="宋体"/>
          <w:kern w:val="0"/>
          <w:sz w:val="32"/>
          <w:szCs w:val="32"/>
        </w:rPr>
      </w:pPr>
    </w:p>
    <w:p>
      <w:pPr>
        <w:widowControl/>
        <w:spacing w:line="578" w:lineRule="exact"/>
        <w:rPr>
          <w:rFonts w:ascii="仿宋_GB2312" w:eastAsia="仿宋_GB2312" w:cs="宋体"/>
          <w:kern w:val="0"/>
          <w:sz w:val="32"/>
          <w:szCs w:val="32"/>
        </w:rPr>
      </w:pPr>
    </w:p>
    <w:p>
      <w:pPr>
        <w:widowControl/>
        <w:spacing w:after="240" w:line="578" w:lineRule="exact"/>
        <w:ind w:firstLine="480"/>
        <w:rPr>
          <w:rFonts w:ascii="黑体" w:hAnsi="黑体" w:eastAsia="黑体" w:cs="宋体"/>
          <w:kern w:val="0"/>
          <w:sz w:val="32"/>
          <w:szCs w:val="32"/>
        </w:rPr>
      </w:pPr>
      <w:r>
        <w:rPr>
          <w:rFonts w:hint="eastAsia" w:ascii="黑体" w:hAnsi="黑体" w:eastAsia="黑体" w:cs="宋体"/>
          <w:bCs/>
          <w:kern w:val="0"/>
          <w:sz w:val="32"/>
          <w:szCs w:val="32"/>
        </w:rPr>
        <w:t>二、主动公开政府信息情况</w:t>
      </w:r>
    </w:p>
    <w:tbl>
      <w:tblPr>
        <w:tblStyle w:val="4"/>
        <w:tblW w:w="9310" w:type="dxa"/>
        <w:tblInd w:w="132" w:type="dxa"/>
        <w:tblLayout w:type="autofit"/>
        <w:tblCellMar>
          <w:top w:w="0" w:type="dxa"/>
          <w:left w:w="0" w:type="dxa"/>
          <w:bottom w:w="0" w:type="dxa"/>
          <w:right w:w="0" w:type="dxa"/>
        </w:tblCellMar>
      </w:tblPr>
      <w:tblGrid>
        <w:gridCol w:w="3723"/>
        <w:gridCol w:w="2369"/>
        <w:gridCol w:w="1533"/>
        <w:gridCol w:w="1685"/>
      </w:tblGrid>
      <w:tr>
        <w:tblPrEx>
          <w:tblCellMar>
            <w:top w:w="0" w:type="dxa"/>
            <w:left w:w="0" w:type="dxa"/>
            <w:bottom w:w="0" w:type="dxa"/>
            <w:right w:w="0" w:type="dxa"/>
          </w:tblCellMar>
        </w:tblPrEx>
        <w:trPr>
          <w:trHeight w:val="495" w:hRule="atLeast"/>
        </w:trPr>
        <w:tc>
          <w:tcPr>
            <w:tcW w:w="931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第二十条第（一）项</w:t>
            </w:r>
          </w:p>
        </w:tc>
      </w:tr>
      <w:tr>
        <w:tblPrEx>
          <w:tblCellMar>
            <w:top w:w="0" w:type="dxa"/>
            <w:left w:w="0" w:type="dxa"/>
            <w:bottom w:w="0" w:type="dxa"/>
            <w:right w:w="0" w:type="dxa"/>
          </w:tblCellMar>
        </w:tblPrEx>
        <w:trPr>
          <w:trHeight w:val="882"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信息内容</w:t>
            </w:r>
          </w:p>
        </w:tc>
        <w:tc>
          <w:tcPr>
            <w:tcW w:w="236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本年新</w:t>
            </w:r>
            <w:r>
              <w:rPr>
                <w:rFonts w:hint="default" w:ascii="宋体" w:cs="宋体"/>
                <w:kern w:val="0"/>
                <w:sz w:val="20"/>
                <w:szCs w:val="20"/>
              </w:rPr>
              <w:br w:type="textWrapping"/>
            </w:r>
            <w:r>
              <w:rPr>
                <w:rFonts w:hint="eastAsia" w:ascii="宋体" w:hAnsi="宋体" w:cs="宋体"/>
                <w:kern w:val="0"/>
                <w:sz w:val="20"/>
                <w:szCs w:val="20"/>
              </w:rPr>
              <w:t>制作数量</w:t>
            </w:r>
          </w:p>
        </w:tc>
        <w:tc>
          <w:tcPr>
            <w:tcW w:w="15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本年新</w:t>
            </w:r>
            <w:r>
              <w:rPr>
                <w:rFonts w:hint="default" w:ascii="宋体" w:cs="宋体"/>
                <w:kern w:val="0"/>
                <w:sz w:val="20"/>
                <w:szCs w:val="20"/>
              </w:rPr>
              <w:br w:type="textWrapping"/>
            </w:r>
            <w:r>
              <w:rPr>
                <w:rFonts w:hint="eastAsia" w:ascii="宋体" w:hAnsi="宋体" w:cs="宋体"/>
                <w:kern w:val="0"/>
                <w:sz w:val="20"/>
                <w:szCs w:val="20"/>
              </w:rPr>
              <w:t>公开数量</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对外公开总数量</w:t>
            </w:r>
          </w:p>
        </w:tc>
      </w:tr>
      <w:tr>
        <w:tblPrEx>
          <w:tblCellMar>
            <w:top w:w="0" w:type="dxa"/>
            <w:left w:w="0" w:type="dxa"/>
            <w:bottom w:w="0" w:type="dxa"/>
            <w:right w:w="0" w:type="dxa"/>
          </w:tblCellMar>
        </w:tblPrEx>
        <w:trPr>
          <w:trHeight w:val="523"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规章</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53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rPr>
          <w:trHeight w:val="471"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规范性文件</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533"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rPr>
          <w:trHeight w:val="480"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第二十条第（五）项</w:t>
            </w:r>
          </w:p>
        </w:tc>
      </w:tr>
      <w:tr>
        <w:tblPrEx>
          <w:tblCellMar>
            <w:top w:w="0" w:type="dxa"/>
            <w:left w:w="0" w:type="dxa"/>
            <w:bottom w:w="0" w:type="dxa"/>
            <w:right w:w="0" w:type="dxa"/>
          </w:tblCellMar>
        </w:tblPrEx>
        <w:trPr>
          <w:trHeight w:val="634"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信息内容</w:t>
            </w:r>
          </w:p>
        </w:tc>
        <w:tc>
          <w:tcPr>
            <w:tcW w:w="236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上一年项目数量</w:t>
            </w:r>
          </w:p>
        </w:tc>
        <w:tc>
          <w:tcPr>
            <w:tcW w:w="15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本年增</w:t>
            </w:r>
            <w:r>
              <w:rPr>
                <w:rFonts w:hint="default" w:ascii="宋体" w:hAnsi="宋体" w:cs="宋体"/>
                <w:kern w:val="0"/>
                <w:sz w:val="20"/>
                <w:szCs w:val="20"/>
              </w:rPr>
              <w:t>/</w:t>
            </w:r>
            <w:r>
              <w:rPr>
                <w:rFonts w:hint="eastAsia" w:ascii="宋体" w:hAnsi="宋体" w:cs="宋体"/>
                <w:kern w:val="0"/>
                <w:sz w:val="20"/>
                <w:szCs w:val="20"/>
              </w:rPr>
              <w:t>减</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处理决定数量</w:t>
            </w:r>
          </w:p>
        </w:tc>
      </w:tr>
      <w:tr>
        <w:tblPrEx>
          <w:tblCellMar>
            <w:top w:w="0" w:type="dxa"/>
            <w:left w:w="0" w:type="dxa"/>
            <w:bottom w:w="0" w:type="dxa"/>
            <w:right w:w="0" w:type="dxa"/>
          </w:tblCellMar>
        </w:tblPrEx>
        <w:trPr>
          <w:trHeight w:val="528" w:hRule="atLeast"/>
        </w:trPr>
        <w:tc>
          <w:tcPr>
            <w:tcW w:w="3723" w:type="dxa"/>
            <w:tcBorders>
              <w:top w:val="nil"/>
              <w:left w:val="single" w:color="auto" w:sz="8" w:space="0"/>
              <w:bottom w:val="single" w:color="auto" w:sz="8" w:space="0"/>
              <w:right w:val="single" w:color="auto" w:sz="8" w:space="0"/>
            </w:tcBorders>
            <w:noWrap/>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行政许可</w:t>
            </w:r>
          </w:p>
        </w:tc>
        <w:tc>
          <w:tcPr>
            <w:tcW w:w="2369" w:type="dxa"/>
            <w:tcBorders>
              <w:top w:val="nil"/>
              <w:left w:val="nil"/>
              <w:bottom w:val="single" w:color="auto" w:sz="8" w:space="0"/>
              <w:right w:val="single" w:color="auto" w:sz="8" w:space="0"/>
            </w:tcBorders>
            <w:noWrap/>
            <w:vAlign w:val="center"/>
          </w:tcPr>
          <w:p>
            <w:pPr>
              <w:keepNext w:val="0"/>
              <w:keepLines w:val="0"/>
              <w:widowControl/>
              <w:suppressLineNumbers w:val="0"/>
              <w:spacing w:before="0" w:beforeAutospacing="0" w:after="0" w:afterAutospacing="0" w:line="578" w:lineRule="exact"/>
              <w:ind w:left="0" w:right="0"/>
              <w:jc w:val="left"/>
              <w:rPr>
                <w:rFonts w:hint="default" w:ascii="宋体" w:eastAsia="宋体" w:cs="宋体"/>
                <w:kern w:val="0"/>
                <w:sz w:val="24"/>
                <w:lang w:val="en-US" w:eastAsia="zh-CN"/>
              </w:rPr>
            </w:pPr>
            <w:r>
              <w:rPr>
                <w:rFonts w:hint="eastAsia" w:ascii="宋体" w:cs="宋体"/>
                <w:kern w:val="0"/>
                <w:sz w:val="24"/>
                <w:lang w:val="en-US" w:eastAsia="zh-CN"/>
              </w:rPr>
              <w:t>2</w:t>
            </w:r>
          </w:p>
        </w:tc>
        <w:tc>
          <w:tcPr>
            <w:tcW w:w="153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eastAsia" w:ascii="宋体" w:eastAsia="宋体" w:cs="宋体"/>
                <w:kern w:val="0"/>
                <w:sz w:val="24"/>
                <w:lang w:eastAsia="zh-CN"/>
              </w:rPr>
            </w:pPr>
            <w:r>
              <w:rPr>
                <w:rFonts w:hint="eastAsia" w:ascii="宋体" w:cs="宋体"/>
                <w:kern w:val="0"/>
                <w:sz w:val="24"/>
                <w:lang w:eastAsia="zh-CN"/>
              </w:rPr>
              <w:t>无</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eastAsia="宋体" w:cs="宋体"/>
                <w:kern w:val="0"/>
                <w:sz w:val="24"/>
                <w:lang w:val="en-US" w:eastAsia="zh-CN"/>
              </w:rPr>
            </w:pPr>
            <w:r>
              <w:rPr>
                <w:rFonts w:hint="eastAsia" w:ascii="宋体" w:cs="宋体"/>
                <w:kern w:val="0"/>
                <w:sz w:val="24"/>
                <w:lang w:val="en-US" w:eastAsia="zh-CN"/>
              </w:rPr>
              <w:t>2</w:t>
            </w:r>
          </w:p>
        </w:tc>
      </w:tr>
      <w:tr>
        <w:tblPrEx>
          <w:tblCellMar>
            <w:top w:w="0" w:type="dxa"/>
            <w:left w:w="0" w:type="dxa"/>
            <w:bottom w:w="0" w:type="dxa"/>
            <w:right w:w="0" w:type="dxa"/>
          </w:tblCellMar>
        </w:tblPrEx>
        <w:trPr>
          <w:trHeight w:val="550" w:hRule="atLeast"/>
        </w:trPr>
        <w:tc>
          <w:tcPr>
            <w:tcW w:w="3723" w:type="dxa"/>
            <w:tcBorders>
              <w:top w:val="nil"/>
              <w:left w:val="single" w:color="auto" w:sz="8" w:space="0"/>
              <w:bottom w:val="single" w:color="auto" w:sz="8" w:space="0"/>
              <w:right w:val="single" w:color="auto" w:sz="8" w:space="0"/>
            </w:tcBorders>
            <w:noWrap/>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其他对外管理服务事项（除行政许可外的其他行政权力）</w:t>
            </w:r>
          </w:p>
        </w:tc>
        <w:tc>
          <w:tcPr>
            <w:tcW w:w="2369" w:type="dxa"/>
            <w:tcBorders>
              <w:top w:val="nil"/>
              <w:left w:val="nil"/>
              <w:bottom w:val="single" w:color="auto" w:sz="8" w:space="0"/>
              <w:right w:val="single" w:color="auto" w:sz="8" w:space="0"/>
            </w:tcBorders>
            <w:noWrap/>
            <w:vAlign w:val="center"/>
          </w:tcPr>
          <w:p>
            <w:pPr>
              <w:keepNext w:val="0"/>
              <w:keepLines w:val="0"/>
              <w:widowControl/>
              <w:suppressLineNumbers w:val="0"/>
              <w:spacing w:before="0" w:beforeAutospacing="0" w:after="0" w:afterAutospacing="0" w:line="578" w:lineRule="exact"/>
              <w:ind w:left="0" w:right="0"/>
              <w:jc w:val="left"/>
              <w:rPr>
                <w:rFonts w:hint="default" w:ascii="宋体" w:eastAsia="宋体" w:cs="宋体"/>
                <w:kern w:val="0"/>
                <w:sz w:val="24"/>
                <w:lang w:val="en-US" w:eastAsia="zh-CN"/>
              </w:rPr>
            </w:pPr>
            <w:r>
              <w:rPr>
                <w:rFonts w:hint="eastAsia" w:ascii="宋体" w:cs="宋体"/>
                <w:kern w:val="0"/>
                <w:sz w:val="24"/>
                <w:lang w:val="en-US" w:eastAsia="zh-CN"/>
              </w:rPr>
              <w:t>44</w:t>
            </w:r>
          </w:p>
        </w:tc>
        <w:tc>
          <w:tcPr>
            <w:tcW w:w="153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eastAsia" w:ascii="宋体" w:eastAsia="宋体" w:cs="宋体"/>
                <w:kern w:val="0"/>
                <w:sz w:val="24"/>
                <w:lang w:eastAsia="zh-CN"/>
              </w:rPr>
            </w:pPr>
            <w:r>
              <w:rPr>
                <w:rFonts w:hint="eastAsia" w:ascii="宋体" w:cs="宋体"/>
                <w:kern w:val="0"/>
                <w:sz w:val="24"/>
                <w:lang w:eastAsia="zh-CN"/>
              </w:rPr>
              <w:t>无</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eastAsia="宋体" w:cs="宋体"/>
                <w:kern w:val="0"/>
                <w:sz w:val="24"/>
                <w:lang w:val="en-US" w:eastAsia="zh-CN"/>
              </w:rPr>
            </w:pPr>
            <w:r>
              <w:rPr>
                <w:rFonts w:hint="eastAsia" w:ascii="宋体" w:cs="宋体"/>
                <w:kern w:val="0"/>
                <w:sz w:val="24"/>
                <w:lang w:val="en-US" w:eastAsia="zh-CN"/>
              </w:rPr>
              <w:t>44</w:t>
            </w:r>
          </w:p>
        </w:tc>
      </w:tr>
      <w:tr>
        <w:tblPrEx>
          <w:tblCellMar>
            <w:top w:w="0" w:type="dxa"/>
            <w:left w:w="0" w:type="dxa"/>
            <w:bottom w:w="0" w:type="dxa"/>
            <w:right w:w="0" w:type="dxa"/>
          </w:tblCellMar>
        </w:tblPrEx>
        <w:trPr>
          <w:trHeight w:val="406"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第二十条第（六）项</w:t>
            </w:r>
          </w:p>
        </w:tc>
      </w:tr>
      <w:tr>
        <w:tblPrEx>
          <w:tblCellMar>
            <w:top w:w="0" w:type="dxa"/>
            <w:left w:w="0" w:type="dxa"/>
            <w:bottom w:w="0" w:type="dxa"/>
            <w:right w:w="0" w:type="dxa"/>
          </w:tblCellMar>
        </w:tblPrEx>
        <w:trPr>
          <w:trHeight w:val="634"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信息内容</w:t>
            </w:r>
          </w:p>
        </w:tc>
        <w:tc>
          <w:tcPr>
            <w:tcW w:w="236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上一年项目数量</w:t>
            </w:r>
          </w:p>
        </w:tc>
        <w:tc>
          <w:tcPr>
            <w:tcW w:w="153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本年增</w:t>
            </w:r>
            <w:r>
              <w:rPr>
                <w:rFonts w:hint="default" w:ascii="宋体" w:hAnsi="宋体" w:cs="宋体"/>
                <w:kern w:val="0"/>
                <w:sz w:val="20"/>
                <w:szCs w:val="20"/>
              </w:rPr>
              <w:t>/</w:t>
            </w:r>
            <w:r>
              <w:rPr>
                <w:rFonts w:hint="eastAsia" w:ascii="宋体" w:hAnsi="宋体" w:cs="宋体"/>
                <w:kern w:val="0"/>
                <w:sz w:val="20"/>
                <w:szCs w:val="20"/>
              </w:rPr>
              <w:t>减</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处理决定数量</w:t>
            </w:r>
          </w:p>
        </w:tc>
      </w:tr>
      <w:tr>
        <w:tblPrEx>
          <w:tblCellMar>
            <w:top w:w="0" w:type="dxa"/>
            <w:left w:w="0" w:type="dxa"/>
            <w:bottom w:w="0" w:type="dxa"/>
            <w:right w:w="0" w:type="dxa"/>
          </w:tblCellMar>
        </w:tblPrEx>
        <w:trPr>
          <w:trHeight w:val="430" w:hRule="atLeast"/>
        </w:trPr>
        <w:tc>
          <w:tcPr>
            <w:tcW w:w="3723" w:type="dxa"/>
            <w:tcBorders>
              <w:top w:val="nil"/>
              <w:left w:val="single" w:color="auto" w:sz="8" w:space="0"/>
              <w:bottom w:val="single" w:color="auto" w:sz="8" w:space="0"/>
              <w:right w:val="single" w:color="auto" w:sz="8" w:space="0"/>
            </w:tcBorders>
            <w:noWrap/>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行政处罚</w:t>
            </w:r>
          </w:p>
        </w:tc>
        <w:tc>
          <w:tcPr>
            <w:tcW w:w="2369" w:type="dxa"/>
            <w:tcBorders>
              <w:top w:val="nil"/>
              <w:left w:val="nil"/>
              <w:bottom w:val="single" w:color="auto" w:sz="8" w:space="0"/>
              <w:right w:val="single" w:color="auto" w:sz="8" w:space="0"/>
            </w:tcBorders>
            <w:noWrap/>
            <w:vAlign w:val="center"/>
          </w:tcPr>
          <w:p>
            <w:pPr>
              <w:keepNext w:val="0"/>
              <w:keepLines w:val="0"/>
              <w:widowControl/>
              <w:suppressLineNumbers w:val="0"/>
              <w:spacing w:before="0" w:beforeAutospacing="0" w:after="0" w:afterAutospacing="0" w:line="578" w:lineRule="exact"/>
              <w:ind w:left="0" w:right="0"/>
              <w:jc w:val="left"/>
              <w:rPr>
                <w:rFonts w:hint="default" w:ascii="宋体" w:eastAsia="宋体" w:cs="宋体"/>
                <w:kern w:val="0"/>
                <w:sz w:val="24"/>
                <w:lang w:val="en-US" w:eastAsia="zh-CN"/>
              </w:rPr>
            </w:pPr>
            <w:r>
              <w:rPr>
                <w:rFonts w:hint="eastAsia" w:ascii="宋体" w:cs="宋体"/>
                <w:kern w:val="0"/>
                <w:sz w:val="24"/>
                <w:lang w:val="en-US" w:eastAsia="zh-CN"/>
              </w:rPr>
              <w:t>39</w:t>
            </w:r>
          </w:p>
        </w:tc>
        <w:tc>
          <w:tcPr>
            <w:tcW w:w="153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eastAsia" w:ascii="宋体" w:eastAsia="宋体" w:cs="宋体"/>
                <w:kern w:val="0"/>
                <w:sz w:val="24"/>
                <w:lang w:eastAsia="zh-CN"/>
              </w:rPr>
            </w:pPr>
            <w:r>
              <w:rPr>
                <w:rFonts w:hint="eastAsia" w:ascii="宋体" w:cs="宋体"/>
                <w:kern w:val="0"/>
                <w:sz w:val="24"/>
                <w:lang w:eastAsia="zh-CN"/>
              </w:rPr>
              <w:t>无</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eastAsia="宋体" w:cs="宋体"/>
                <w:kern w:val="0"/>
                <w:sz w:val="24"/>
                <w:lang w:val="en-US" w:eastAsia="zh-CN"/>
              </w:rPr>
            </w:pPr>
            <w:r>
              <w:rPr>
                <w:rFonts w:hint="eastAsia" w:ascii="宋体" w:cs="宋体"/>
                <w:kern w:val="0"/>
                <w:sz w:val="24"/>
                <w:lang w:val="en-US" w:eastAsia="zh-CN"/>
              </w:rPr>
              <w:t>39</w:t>
            </w:r>
          </w:p>
        </w:tc>
      </w:tr>
      <w:tr>
        <w:tblPrEx>
          <w:tblCellMar>
            <w:top w:w="0" w:type="dxa"/>
            <w:left w:w="0" w:type="dxa"/>
            <w:bottom w:w="0" w:type="dxa"/>
            <w:right w:w="0" w:type="dxa"/>
          </w:tblCellMar>
        </w:tblPrEx>
        <w:trPr>
          <w:trHeight w:val="409" w:hRule="atLeast"/>
        </w:trPr>
        <w:tc>
          <w:tcPr>
            <w:tcW w:w="3723" w:type="dxa"/>
            <w:tcBorders>
              <w:top w:val="nil"/>
              <w:left w:val="single" w:color="auto" w:sz="8" w:space="0"/>
              <w:bottom w:val="single" w:color="auto" w:sz="8" w:space="0"/>
              <w:right w:val="single" w:color="auto" w:sz="8" w:space="0"/>
            </w:tcBorders>
            <w:noWrap/>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行政强制</w:t>
            </w:r>
          </w:p>
        </w:tc>
        <w:tc>
          <w:tcPr>
            <w:tcW w:w="2369" w:type="dxa"/>
            <w:tcBorders>
              <w:top w:val="nil"/>
              <w:left w:val="nil"/>
              <w:bottom w:val="single" w:color="auto" w:sz="8" w:space="0"/>
              <w:right w:val="single" w:color="auto" w:sz="8" w:space="0"/>
            </w:tcBorders>
            <w:noWrap/>
            <w:vAlign w:val="center"/>
          </w:tcPr>
          <w:p>
            <w:pPr>
              <w:keepNext w:val="0"/>
              <w:keepLines w:val="0"/>
              <w:widowControl/>
              <w:suppressLineNumbers w:val="0"/>
              <w:spacing w:before="0" w:beforeAutospacing="0" w:after="0" w:afterAutospacing="0" w:line="578" w:lineRule="exact"/>
              <w:ind w:left="0" w:right="0"/>
              <w:jc w:val="left"/>
              <w:rPr>
                <w:rFonts w:hint="eastAsia" w:ascii="宋体" w:eastAsia="宋体" w:cs="宋体"/>
                <w:kern w:val="0"/>
                <w:sz w:val="24"/>
                <w:lang w:eastAsia="zh-CN"/>
              </w:rPr>
            </w:pPr>
            <w:r>
              <w:rPr>
                <w:rFonts w:hint="eastAsia" w:ascii="宋体" w:cs="宋体"/>
                <w:kern w:val="0"/>
                <w:sz w:val="24"/>
                <w:lang w:eastAsia="zh-CN"/>
              </w:rPr>
              <w:t>无</w:t>
            </w:r>
          </w:p>
        </w:tc>
        <w:tc>
          <w:tcPr>
            <w:tcW w:w="153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eastAsia" w:ascii="宋体" w:eastAsia="宋体" w:cs="宋体"/>
                <w:kern w:val="0"/>
                <w:sz w:val="24"/>
                <w:lang w:eastAsia="zh-CN"/>
              </w:rPr>
            </w:pPr>
            <w:r>
              <w:rPr>
                <w:rFonts w:hint="eastAsia" w:ascii="宋体" w:cs="宋体"/>
                <w:kern w:val="0"/>
                <w:sz w:val="24"/>
                <w:lang w:eastAsia="zh-CN"/>
              </w:rPr>
              <w:t>无</w:t>
            </w:r>
          </w:p>
        </w:tc>
        <w:tc>
          <w:tcPr>
            <w:tcW w:w="16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eastAsia" w:ascii="宋体" w:eastAsia="宋体" w:cs="宋体"/>
                <w:kern w:val="0"/>
                <w:sz w:val="24"/>
                <w:lang w:eastAsia="zh-CN"/>
              </w:rPr>
            </w:pPr>
            <w:r>
              <w:rPr>
                <w:rFonts w:hint="eastAsia" w:ascii="宋体" w:cs="宋体"/>
                <w:kern w:val="0"/>
                <w:sz w:val="24"/>
                <w:lang w:eastAsia="zh-CN"/>
              </w:rPr>
              <w:t>无</w:t>
            </w:r>
          </w:p>
        </w:tc>
      </w:tr>
      <w:tr>
        <w:tblPrEx>
          <w:tblCellMar>
            <w:top w:w="0" w:type="dxa"/>
            <w:left w:w="0" w:type="dxa"/>
            <w:bottom w:w="0" w:type="dxa"/>
            <w:right w:w="0" w:type="dxa"/>
          </w:tblCellMar>
        </w:tblPrEx>
        <w:trPr>
          <w:trHeight w:val="474"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第二十条第（八）项</w:t>
            </w:r>
          </w:p>
        </w:tc>
      </w:tr>
      <w:tr>
        <w:tblPrEx>
          <w:tblCellMar>
            <w:top w:w="0" w:type="dxa"/>
            <w:left w:w="0" w:type="dxa"/>
            <w:bottom w:w="0" w:type="dxa"/>
            <w:right w:w="0" w:type="dxa"/>
          </w:tblCellMar>
        </w:tblPrEx>
        <w:trPr>
          <w:trHeight w:val="270"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信息内容</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上一年项目数量</w:t>
            </w:r>
          </w:p>
        </w:tc>
        <w:tc>
          <w:tcPr>
            <w:tcW w:w="3218"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本年增</w:t>
            </w:r>
            <w:r>
              <w:rPr>
                <w:rFonts w:hint="default" w:ascii="宋体" w:hAnsi="宋体" w:cs="宋体"/>
                <w:kern w:val="0"/>
                <w:sz w:val="20"/>
                <w:szCs w:val="20"/>
              </w:rPr>
              <w:t>/</w:t>
            </w:r>
            <w:r>
              <w:rPr>
                <w:rFonts w:hint="eastAsia" w:ascii="宋体" w:hAnsi="宋体" w:cs="宋体"/>
                <w:kern w:val="0"/>
                <w:sz w:val="20"/>
                <w:szCs w:val="20"/>
              </w:rPr>
              <w:t>减</w:t>
            </w:r>
          </w:p>
        </w:tc>
      </w:tr>
      <w:tr>
        <w:tblPrEx>
          <w:tblCellMar>
            <w:top w:w="0" w:type="dxa"/>
            <w:left w:w="0" w:type="dxa"/>
            <w:bottom w:w="0" w:type="dxa"/>
            <w:right w:w="0" w:type="dxa"/>
          </w:tblCellMar>
        </w:tblPrEx>
        <w:trPr>
          <w:trHeight w:val="551"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行政事业性收费</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eastAsia" w:ascii="宋体" w:eastAsia="宋体" w:cs="宋体"/>
                <w:kern w:val="0"/>
                <w:sz w:val="24"/>
                <w:lang w:eastAsia="zh-CN"/>
              </w:rPr>
            </w:pPr>
            <w:r>
              <w:rPr>
                <w:rFonts w:hint="eastAsia" w:ascii="宋体" w:cs="宋体"/>
                <w:kern w:val="0"/>
                <w:sz w:val="24"/>
                <w:lang w:eastAsia="zh-CN"/>
              </w:rPr>
              <w:t>无</w:t>
            </w:r>
          </w:p>
        </w:tc>
        <w:tc>
          <w:tcPr>
            <w:tcW w:w="3218"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eastAsia" w:ascii="宋体" w:eastAsia="宋体" w:cs="宋体"/>
                <w:kern w:val="0"/>
                <w:sz w:val="24"/>
                <w:lang w:eastAsia="zh-CN"/>
              </w:rPr>
            </w:pPr>
            <w:r>
              <w:rPr>
                <w:rFonts w:hint="eastAsia" w:ascii="宋体" w:cs="宋体"/>
                <w:kern w:val="0"/>
                <w:sz w:val="24"/>
                <w:lang w:eastAsia="zh-CN"/>
              </w:rPr>
              <w:t>无</w:t>
            </w:r>
          </w:p>
        </w:tc>
      </w:tr>
      <w:tr>
        <w:tblPrEx>
          <w:tblCellMar>
            <w:top w:w="0" w:type="dxa"/>
            <w:left w:w="0" w:type="dxa"/>
            <w:bottom w:w="0" w:type="dxa"/>
            <w:right w:w="0" w:type="dxa"/>
          </w:tblCellMar>
        </w:tblPrEx>
        <w:trPr>
          <w:trHeight w:val="476" w:hRule="atLeast"/>
        </w:trPr>
        <w:tc>
          <w:tcPr>
            <w:tcW w:w="931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第二十条第（九）项</w:t>
            </w:r>
          </w:p>
        </w:tc>
      </w:tr>
      <w:tr>
        <w:tblPrEx>
          <w:tblCellMar>
            <w:top w:w="0" w:type="dxa"/>
            <w:left w:w="0" w:type="dxa"/>
            <w:bottom w:w="0" w:type="dxa"/>
            <w:right w:w="0" w:type="dxa"/>
          </w:tblCellMar>
        </w:tblPrEx>
        <w:trPr>
          <w:trHeight w:val="585"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信息内容</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采购项目数量</w:t>
            </w:r>
          </w:p>
        </w:tc>
        <w:tc>
          <w:tcPr>
            <w:tcW w:w="3218" w:type="dxa"/>
            <w:gridSpan w:val="2"/>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采购总金额</w:t>
            </w:r>
          </w:p>
        </w:tc>
      </w:tr>
      <w:tr>
        <w:tblPrEx>
          <w:tblCellMar>
            <w:top w:w="0" w:type="dxa"/>
            <w:left w:w="0" w:type="dxa"/>
            <w:bottom w:w="0" w:type="dxa"/>
            <w:right w:w="0" w:type="dxa"/>
          </w:tblCellMar>
        </w:tblPrEx>
        <w:trPr>
          <w:trHeight w:val="539" w:hRule="atLeast"/>
        </w:trPr>
        <w:tc>
          <w:tcPr>
            <w:tcW w:w="372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政府集中采购</w:t>
            </w:r>
          </w:p>
        </w:tc>
        <w:tc>
          <w:tcPr>
            <w:tcW w:w="236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eastAsia="宋体" w:cs="宋体"/>
                <w:kern w:val="0"/>
                <w:sz w:val="24"/>
                <w:lang w:val="en-US" w:eastAsia="zh-CN"/>
              </w:rPr>
            </w:pPr>
            <w:r>
              <w:rPr>
                <w:rFonts w:hint="eastAsia" w:ascii="宋体" w:cs="宋体"/>
                <w:kern w:val="0"/>
                <w:sz w:val="24"/>
                <w:lang w:val="en-US" w:eastAsia="zh-CN"/>
              </w:rPr>
              <w:t>1</w:t>
            </w:r>
          </w:p>
        </w:tc>
        <w:tc>
          <w:tcPr>
            <w:tcW w:w="3218" w:type="dxa"/>
            <w:gridSpan w:val="2"/>
            <w:tcBorders>
              <w:top w:val="nil"/>
              <w:left w:val="nil"/>
              <w:bottom w:val="single" w:color="auto" w:sz="8" w:space="0"/>
              <w:right w:val="single" w:color="000000" w:sz="8" w:space="0"/>
            </w:tcBorders>
            <w:noWrap/>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eastAsia="宋体" w:cs="宋体"/>
                <w:kern w:val="0"/>
                <w:sz w:val="24"/>
                <w:lang w:val="en-US" w:eastAsia="zh-CN"/>
              </w:rPr>
            </w:pPr>
            <w:r>
              <w:rPr>
                <w:rFonts w:hint="eastAsia" w:ascii="宋体" w:cs="宋体"/>
                <w:kern w:val="0"/>
                <w:sz w:val="24"/>
                <w:lang w:val="en-US" w:eastAsia="zh-CN"/>
              </w:rPr>
              <w:t>8639元</w:t>
            </w:r>
          </w:p>
        </w:tc>
      </w:tr>
    </w:tbl>
    <w:p>
      <w:pPr>
        <w:widowControl/>
        <w:spacing w:after="240" w:line="578" w:lineRule="exact"/>
        <w:jc w:val="left"/>
        <w:rPr>
          <w:rFonts w:ascii="宋体" w:cs="宋体"/>
          <w:b/>
          <w:bCs/>
          <w:kern w:val="0"/>
          <w:sz w:val="24"/>
        </w:rPr>
      </w:pPr>
    </w:p>
    <w:p>
      <w:pPr>
        <w:widowControl/>
        <w:spacing w:after="240" w:line="578" w:lineRule="exact"/>
        <w:rPr>
          <w:rFonts w:ascii="黑体" w:hAnsi="黑体" w:eastAsia="黑体" w:cs="宋体"/>
          <w:kern w:val="0"/>
          <w:sz w:val="32"/>
          <w:szCs w:val="32"/>
        </w:rPr>
      </w:pPr>
      <w:r>
        <w:rPr>
          <w:rFonts w:hint="eastAsia" w:ascii="黑体" w:hAnsi="黑体" w:eastAsia="黑体" w:cs="宋体"/>
          <w:bCs/>
          <w:kern w:val="0"/>
          <w:sz w:val="32"/>
          <w:szCs w:val="32"/>
        </w:rPr>
        <w:t>三、收到和处理政府信息公开申请情况</w:t>
      </w:r>
    </w:p>
    <w:tbl>
      <w:tblPr>
        <w:tblStyle w:val="4"/>
        <w:tblW w:w="9356" w:type="dxa"/>
        <w:tblInd w:w="132" w:type="dxa"/>
        <w:tblLayout w:type="autofit"/>
        <w:tblCellMar>
          <w:top w:w="0" w:type="dxa"/>
          <w:left w:w="0" w:type="dxa"/>
          <w:bottom w:w="0" w:type="dxa"/>
          <w:right w:w="0" w:type="dxa"/>
        </w:tblCellMar>
      </w:tblPr>
      <w:tblGrid>
        <w:gridCol w:w="1053"/>
        <w:gridCol w:w="855"/>
        <w:gridCol w:w="1919"/>
        <w:gridCol w:w="851"/>
        <w:gridCol w:w="709"/>
        <w:gridCol w:w="850"/>
        <w:gridCol w:w="851"/>
        <w:gridCol w:w="850"/>
        <w:gridCol w:w="709"/>
        <w:gridCol w:w="709"/>
      </w:tblGrid>
      <w:tr>
        <w:tblPrEx>
          <w:tblCellMar>
            <w:top w:w="0" w:type="dxa"/>
            <w:left w:w="0" w:type="dxa"/>
            <w:bottom w:w="0" w:type="dxa"/>
            <w:right w:w="0" w:type="dxa"/>
          </w:tblCellMar>
        </w:tblPrEx>
        <w:tc>
          <w:tcPr>
            <w:tcW w:w="382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（本列数据的勾稽关系为：第一项加第二项之和，等于第三项加第四项之和）</w:t>
            </w:r>
          </w:p>
        </w:tc>
        <w:tc>
          <w:tcPr>
            <w:tcW w:w="5529"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申请人情况</w:t>
            </w:r>
          </w:p>
        </w:tc>
      </w:tr>
      <w:tr>
        <w:tblPrEx>
          <w:tblCellMar>
            <w:top w:w="0" w:type="dxa"/>
            <w:left w:w="0" w:type="dxa"/>
            <w:bottom w:w="0" w:type="dxa"/>
            <w:right w:w="0" w:type="dxa"/>
          </w:tblCellMar>
        </w:tblPrEx>
        <w:tc>
          <w:tcPr>
            <w:tcW w:w="3827" w:type="dxa"/>
            <w:gridSpan w:val="3"/>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851"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自然人</w:t>
            </w:r>
          </w:p>
        </w:tc>
        <w:tc>
          <w:tcPr>
            <w:tcW w:w="3969"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法人或其他组织</w:t>
            </w:r>
          </w:p>
        </w:tc>
        <w:tc>
          <w:tcPr>
            <w:tcW w:w="709"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总计</w:t>
            </w:r>
          </w:p>
        </w:tc>
      </w:tr>
      <w:tr>
        <w:tblPrEx>
          <w:tblCellMar>
            <w:top w:w="0" w:type="dxa"/>
            <w:left w:w="0" w:type="dxa"/>
            <w:bottom w:w="0" w:type="dxa"/>
            <w:right w:w="0" w:type="dxa"/>
          </w:tblCellMar>
        </w:tblPrEx>
        <w:tc>
          <w:tcPr>
            <w:tcW w:w="3827" w:type="dxa"/>
            <w:gridSpan w:val="3"/>
            <w:vMerge w:val="continue"/>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851" w:type="dxa"/>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商业企业</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科研机构</w:t>
            </w:r>
          </w:p>
        </w:tc>
        <w:tc>
          <w:tcPr>
            <w:tcW w:w="85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社会公益组织</w:t>
            </w:r>
          </w:p>
        </w:tc>
        <w:tc>
          <w:tcPr>
            <w:tcW w:w="8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法律服务机构</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其他</w:t>
            </w:r>
          </w:p>
        </w:tc>
        <w:tc>
          <w:tcPr>
            <w:tcW w:w="709" w:type="dxa"/>
            <w:vMerge w:val="continue"/>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r>
      <w:tr>
        <w:tblPrEx>
          <w:tblCellMar>
            <w:top w:w="0" w:type="dxa"/>
            <w:left w:w="0" w:type="dxa"/>
            <w:bottom w:w="0" w:type="dxa"/>
            <w:right w:w="0" w:type="dxa"/>
          </w:tblCellMar>
        </w:tblPrEx>
        <w:tc>
          <w:tcPr>
            <w:tcW w:w="3827" w:type="dxa"/>
            <w:gridSpan w:val="3"/>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一、本年新收政府信息公开申请数量</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eastAsia="宋体" w:cs="宋体"/>
                <w:kern w:val="0"/>
                <w:sz w:val="24"/>
                <w:lang w:val="en-US" w:eastAsia="zh-CN"/>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3827" w:type="dxa"/>
            <w:gridSpan w:val="3"/>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二、上年结转政府信息公开申请数量</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eastAsia="宋体" w:cs="宋体"/>
                <w:kern w:val="0"/>
                <w:sz w:val="24"/>
                <w:lang w:val="en-US" w:eastAsia="zh-CN"/>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1053" w:type="dxa"/>
            <w:vMerge w:val="restart"/>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三、本年度办理结果</w:t>
            </w:r>
          </w:p>
        </w:tc>
        <w:tc>
          <w:tcPr>
            <w:tcW w:w="2774" w:type="dxa"/>
            <w:gridSpan w:val="2"/>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楷体" w:hAnsi="楷体" w:eastAsia="楷体" w:cs="宋体"/>
                <w:kern w:val="0"/>
                <w:sz w:val="20"/>
                <w:szCs w:val="20"/>
              </w:rPr>
              <w:t>（一）予以公开</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2774" w:type="dxa"/>
            <w:gridSpan w:val="2"/>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楷体" w:hAnsi="楷体" w:eastAsia="楷体" w:cs="宋体"/>
                <w:kern w:val="0"/>
                <w:sz w:val="20"/>
                <w:szCs w:val="20"/>
              </w:rPr>
              <w:t>（二）部分公开（区分处理的，只计这一情形，不计其他情形）</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楷体" w:hAnsi="楷体" w:eastAsia="楷体" w:cs="宋体"/>
                <w:kern w:val="0"/>
                <w:sz w:val="20"/>
                <w:szCs w:val="20"/>
              </w:rPr>
              <w:t>（三）不予公开</w:t>
            </w: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r>
              <w:rPr>
                <w:rFonts w:hint="default" w:ascii="Calibri" w:hAnsi="Calibri" w:cs="宋体"/>
                <w:kern w:val="0"/>
                <w:sz w:val="20"/>
                <w:szCs w:val="20"/>
              </w:rPr>
              <w:t> </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r>
              <w:rPr>
                <w:rFonts w:hint="default" w:ascii="Calibri" w:hAnsi="Calibri" w:cs="宋体"/>
                <w:kern w:val="0"/>
                <w:sz w:val="20"/>
                <w:szCs w:val="20"/>
              </w:rPr>
              <w:t> </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eastAsia" w:ascii="宋体" w:eastAsia="楷体" w:cs="宋体"/>
                <w:kern w:val="0"/>
                <w:sz w:val="24"/>
                <w:lang w:val="en-US" w:eastAsia="zh-CN"/>
              </w:rPr>
            </w:pPr>
            <w:r>
              <w:rPr>
                <w:rFonts w:hint="default" w:ascii="楷体" w:hAnsi="楷体" w:eastAsia="楷体" w:cs="宋体"/>
                <w:kern w:val="0"/>
                <w:sz w:val="20"/>
                <w:szCs w:val="20"/>
              </w:rPr>
              <w:t>3.</w:t>
            </w:r>
            <w:r>
              <w:rPr>
                <w:rFonts w:hint="eastAsia" w:ascii="楷体" w:hAnsi="楷体" w:eastAsia="楷体" w:cs="宋体"/>
                <w:kern w:val="0"/>
                <w:sz w:val="20"/>
                <w:szCs w:val="20"/>
              </w:rPr>
              <w:t>危及“三安全一稳定”</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Calibri" w:hAnsi="Calibri" w:cs="宋体"/>
                <w:kern w:val="0"/>
                <w:sz w:val="20"/>
                <w:szCs w:val="20"/>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eastAsia="宋体" w:cs="宋体"/>
                <w:kern w:val="0"/>
                <w:sz w:val="24"/>
                <w:lang w:val="en-US" w:eastAsia="zh-CN"/>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default" w:ascii="楷体" w:hAnsi="楷体" w:eastAsia="楷体" w:cs="宋体"/>
                <w:kern w:val="0"/>
                <w:sz w:val="20"/>
                <w:szCs w:val="20"/>
              </w:rPr>
              <w:t>4.</w:t>
            </w:r>
            <w:r>
              <w:rPr>
                <w:rFonts w:hint="eastAsia" w:ascii="楷体" w:hAnsi="楷体" w:eastAsia="楷体" w:cs="宋体"/>
                <w:kern w:val="0"/>
                <w:sz w:val="20"/>
                <w:szCs w:val="20"/>
              </w:rPr>
              <w:t>保护第三方合法权益</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default" w:ascii="楷体" w:hAnsi="楷体" w:eastAsia="楷体" w:cs="宋体"/>
                <w:kern w:val="0"/>
                <w:sz w:val="20"/>
                <w:szCs w:val="20"/>
              </w:rPr>
              <w:t>5.</w:t>
            </w:r>
            <w:r>
              <w:rPr>
                <w:rFonts w:hint="eastAsia" w:ascii="楷体" w:hAnsi="楷体" w:eastAsia="楷体" w:cs="宋体"/>
                <w:kern w:val="0"/>
                <w:sz w:val="20"/>
                <w:szCs w:val="20"/>
              </w:rPr>
              <w:t>属于三类内部事务信息</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default" w:ascii="楷体" w:hAnsi="楷体" w:eastAsia="楷体" w:cs="宋体"/>
                <w:kern w:val="0"/>
                <w:sz w:val="20"/>
                <w:szCs w:val="20"/>
              </w:rPr>
              <w:t>6.</w:t>
            </w:r>
            <w:r>
              <w:rPr>
                <w:rFonts w:hint="eastAsia" w:ascii="楷体" w:hAnsi="楷体" w:eastAsia="楷体" w:cs="宋体"/>
                <w:kern w:val="0"/>
                <w:sz w:val="20"/>
                <w:szCs w:val="20"/>
              </w:rPr>
              <w:t>属于四类过程性信息</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default" w:ascii="楷体" w:hAnsi="楷体" w:eastAsia="楷体" w:cs="宋体"/>
                <w:kern w:val="0"/>
                <w:sz w:val="20"/>
                <w:szCs w:val="20"/>
              </w:rPr>
              <w:t>7.</w:t>
            </w:r>
            <w:r>
              <w:rPr>
                <w:rFonts w:hint="eastAsia" w:ascii="楷体" w:hAnsi="楷体" w:eastAsia="楷体" w:cs="宋体"/>
                <w:kern w:val="0"/>
                <w:sz w:val="20"/>
                <w:szCs w:val="20"/>
              </w:rPr>
              <w:t>属于行政执法案卷</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default" w:ascii="楷体" w:hAnsi="楷体" w:eastAsia="楷体" w:cs="宋体"/>
                <w:kern w:val="0"/>
                <w:sz w:val="20"/>
                <w:szCs w:val="20"/>
              </w:rPr>
              <w:t>8.</w:t>
            </w:r>
            <w:r>
              <w:rPr>
                <w:rFonts w:hint="eastAsia" w:ascii="楷体" w:hAnsi="楷体" w:eastAsia="楷体" w:cs="宋体"/>
                <w:kern w:val="0"/>
                <w:sz w:val="20"/>
                <w:szCs w:val="20"/>
              </w:rPr>
              <w:t>属于行政查询事项</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楷体" w:hAnsi="楷体" w:eastAsia="楷体" w:cs="宋体"/>
                <w:kern w:val="0"/>
                <w:sz w:val="20"/>
                <w:szCs w:val="20"/>
              </w:rPr>
              <w:t>（四）无法提供</w:t>
            </w: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default" w:ascii="楷体" w:hAnsi="楷体" w:eastAsia="楷体" w:cs="宋体"/>
                <w:kern w:val="0"/>
                <w:sz w:val="20"/>
                <w:szCs w:val="20"/>
              </w:rPr>
              <w:t>1.</w:t>
            </w:r>
            <w:r>
              <w:rPr>
                <w:rFonts w:hint="eastAsia" w:ascii="楷体" w:hAnsi="楷体" w:eastAsia="楷体" w:cs="宋体"/>
                <w:kern w:val="0"/>
                <w:sz w:val="20"/>
                <w:szCs w:val="20"/>
              </w:rPr>
              <w:t>本机关不掌握相关政府信息</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default" w:ascii="楷体" w:hAnsi="楷体" w:eastAsia="楷体" w:cs="宋体"/>
                <w:kern w:val="0"/>
                <w:sz w:val="20"/>
                <w:szCs w:val="20"/>
              </w:rPr>
              <w:t>2.</w:t>
            </w:r>
            <w:r>
              <w:rPr>
                <w:rFonts w:hint="eastAsia" w:ascii="楷体" w:hAnsi="楷体" w:eastAsia="楷体" w:cs="宋体"/>
                <w:kern w:val="0"/>
                <w:sz w:val="20"/>
                <w:szCs w:val="20"/>
              </w:rPr>
              <w:t>没有现成信息需要另行制作</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default" w:ascii="楷体" w:hAnsi="楷体" w:eastAsia="楷体" w:cs="宋体"/>
                <w:kern w:val="0"/>
                <w:sz w:val="20"/>
                <w:szCs w:val="20"/>
              </w:rPr>
              <w:t>3.</w:t>
            </w:r>
            <w:r>
              <w:rPr>
                <w:rFonts w:hint="eastAsia" w:ascii="楷体" w:hAnsi="楷体" w:eastAsia="楷体" w:cs="宋体"/>
                <w:kern w:val="0"/>
                <w:sz w:val="20"/>
                <w:szCs w:val="20"/>
              </w:rPr>
              <w:t>补正后申请内容仍不明确</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855"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楷体" w:hAnsi="楷体" w:eastAsia="楷体" w:cs="宋体"/>
                <w:kern w:val="0"/>
                <w:sz w:val="20"/>
                <w:szCs w:val="20"/>
              </w:rPr>
              <w:t>（五）不予处理</w:t>
            </w: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default" w:ascii="楷体" w:hAnsi="楷体" w:eastAsia="楷体" w:cs="宋体"/>
                <w:kern w:val="0"/>
                <w:sz w:val="20"/>
                <w:szCs w:val="20"/>
              </w:rPr>
              <w:t>1.</w:t>
            </w:r>
            <w:r>
              <w:rPr>
                <w:rFonts w:hint="eastAsia" w:ascii="楷体" w:hAnsi="楷体" w:eastAsia="楷体" w:cs="宋体"/>
                <w:kern w:val="0"/>
                <w:sz w:val="20"/>
                <w:szCs w:val="20"/>
              </w:rPr>
              <w:t>信访举报投诉类申请</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default" w:ascii="楷体" w:hAnsi="楷体" w:eastAsia="楷体" w:cs="宋体"/>
                <w:kern w:val="0"/>
                <w:sz w:val="20"/>
                <w:szCs w:val="20"/>
              </w:rPr>
              <w:t>2.</w:t>
            </w:r>
            <w:r>
              <w:rPr>
                <w:rFonts w:hint="eastAsia" w:ascii="楷体" w:hAnsi="楷体" w:eastAsia="楷体" w:cs="宋体"/>
                <w:kern w:val="0"/>
                <w:sz w:val="20"/>
                <w:szCs w:val="20"/>
              </w:rPr>
              <w:t>重复申请</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default" w:ascii="楷体" w:hAnsi="楷体" w:eastAsia="楷体" w:cs="宋体"/>
                <w:kern w:val="0"/>
                <w:sz w:val="20"/>
                <w:szCs w:val="20"/>
              </w:rPr>
              <w:t>3.</w:t>
            </w:r>
            <w:r>
              <w:rPr>
                <w:rFonts w:hint="eastAsia" w:ascii="楷体" w:hAnsi="楷体" w:eastAsia="楷体" w:cs="宋体"/>
                <w:kern w:val="0"/>
                <w:sz w:val="20"/>
                <w:szCs w:val="20"/>
              </w:rPr>
              <w:t>要求提供公开出版物</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default" w:ascii="楷体" w:hAnsi="楷体" w:eastAsia="楷体" w:cs="宋体"/>
                <w:kern w:val="0"/>
                <w:sz w:val="20"/>
                <w:szCs w:val="20"/>
              </w:rPr>
              <w:t>4.</w:t>
            </w:r>
            <w:r>
              <w:rPr>
                <w:rFonts w:hint="eastAsia" w:ascii="楷体" w:hAnsi="楷体" w:eastAsia="楷体" w:cs="宋体"/>
                <w:kern w:val="0"/>
                <w:sz w:val="20"/>
                <w:szCs w:val="20"/>
              </w:rPr>
              <w:t>无正当理由大量反复申请</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191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default" w:ascii="楷体" w:hAnsi="楷体" w:eastAsia="楷体" w:cs="宋体"/>
                <w:kern w:val="0"/>
                <w:sz w:val="20"/>
                <w:szCs w:val="20"/>
              </w:rPr>
              <w:t>5.</w:t>
            </w:r>
            <w:r>
              <w:rPr>
                <w:rFonts w:hint="eastAsia" w:ascii="楷体" w:hAnsi="楷体" w:eastAsia="楷体" w:cs="宋体"/>
                <w:kern w:val="0"/>
                <w:sz w:val="20"/>
                <w:szCs w:val="20"/>
              </w:rPr>
              <w:t>要求行政机关确认或重新出具已获取信息</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2774" w:type="dxa"/>
            <w:gridSpan w:val="2"/>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楷体" w:hAnsi="楷体" w:eastAsia="楷体" w:cs="宋体"/>
                <w:kern w:val="0"/>
                <w:sz w:val="20"/>
                <w:szCs w:val="20"/>
              </w:rPr>
              <w:t>（六）其他处理</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1053"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2774" w:type="dxa"/>
            <w:gridSpan w:val="2"/>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楷体" w:hAnsi="楷体" w:eastAsia="楷体" w:cs="宋体"/>
                <w:kern w:val="0"/>
                <w:sz w:val="20"/>
                <w:szCs w:val="20"/>
              </w:rPr>
              <w:t>（七）总计</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cs="宋体"/>
                <w:kern w:val="0"/>
                <w:sz w:val="24"/>
                <w:lang w:val="en-US" w:eastAsia="zh-CN"/>
              </w:rPr>
              <w:t>0</w:t>
            </w:r>
          </w:p>
        </w:tc>
      </w:tr>
      <w:tr>
        <w:tblPrEx>
          <w:tblCellMar>
            <w:top w:w="0" w:type="dxa"/>
            <w:left w:w="0" w:type="dxa"/>
            <w:bottom w:w="0" w:type="dxa"/>
            <w:right w:w="0" w:type="dxa"/>
          </w:tblCellMar>
        </w:tblPrEx>
        <w:tc>
          <w:tcPr>
            <w:tcW w:w="3827" w:type="dxa"/>
            <w:gridSpan w:val="3"/>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r>
              <w:rPr>
                <w:rFonts w:hint="eastAsia" w:ascii="宋体" w:hAnsi="宋体" w:cs="宋体"/>
                <w:kern w:val="0"/>
                <w:sz w:val="20"/>
                <w:szCs w:val="20"/>
              </w:rPr>
              <w:t>四、结转下年度继续办理</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r>
    </w:tbl>
    <w:p>
      <w:pPr>
        <w:widowControl/>
        <w:spacing w:line="578" w:lineRule="exact"/>
        <w:rPr>
          <w:rFonts w:ascii="宋体" w:cs="宋体"/>
          <w:kern w:val="0"/>
          <w:sz w:val="24"/>
        </w:rPr>
      </w:pPr>
    </w:p>
    <w:p>
      <w:pPr>
        <w:widowControl/>
        <w:spacing w:line="578" w:lineRule="exact"/>
        <w:rPr>
          <w:rFonts w:ascii="黑体" w:hAnsi="黑体" w:eastAsia="黑体" w:cs="宋体"/>
          <w:kern w:val="0"/>
          <w:sz w:val="32"/>
          <w:szCs w:val="32"/>
        </w:rPr>
      </w:pPr>
      <w:r>
        <w:rPr>
          <w:rFonts w:hint="eastAsia" w:ascii="黑体" w:hAnsi="黑体" w:eastAsia="黑体" w:cs="宋体"/>
          <w:bCs/>
          <w:kern w:val="0"/>
          <w:sz w:val="32"/>
          <w:szCs w:val="32"/>
        </w:rPr>
        <w:t>四、政府信息公开行政复议、行政诉讼情况</w:t>
      </w:r>
    </w:p>
    <w:tbl>
      <w:tblPr>
        <w:tblStyle w:val="4"/>
        <w:tblW w:w="9214" w:type="dxa"/>
        <w:tblInd w:w="132" w:type="dxa"/>
        <w:tblLayout w:type="autofit"/>
        <w:tblCellMar>
          <w:top w:w="0" w:type="dxa"/>
          <w:left w:w="0" w:type="dxa"/>
          <w:bottom w:w="0" w:type="dxa"/>
          <w:right w:w="0" w:type="dxa"/>
        </w:tblCellMar>
      </w:tblPr>
      <w:tblGrid>
        <w:gridCol w:w="900"/>
        <w:gridCol w:w="604"/>
        <w:gridCol w:w="604"/>
        <w:gridCol w:w="604"/>
        <w:gridCol w:w="658"/>
        <w:gridCol w:w="550"/>
        <w:gridCol w:w="605"/>
        <w:gridCol w:w="605"/>
        <w:gridCol w:w="605"/>
        <w:gridCol w:w="502"/>
        <w:gridCol w:w="709"/>
        <w:gridCol w:w="604"/>
        <w:gridCol w:w="530"/>
        <w:gridCol w:w="567"/>
        <w:gridCol w:w="567"/>
      </w:tblGrid>
      <w:tr>
        <w:tblPrEx>
          <w:tblCellMar>
            <w:top w:w="0" w:type="dxa"/>
            <w:left w:w="0" w:type="dxa"/>
            <w:bottom w:w="0" w:type="dxa"/>
            <w:right w:w="0" w:type="dxa"/>
          </w:tblCellMar>
        </w:tblPrEx>
        <w:tc>
          <w:tcPr>
            <w:tcW w:w="337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行政复议</w:t>
            </w:r>
          </w:p>
        </w:tc>
        <w:tc>
          <w:tcPr>
            <w:tcW w:w="5844"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行政诉讼</w:t>
            </w:r>
          </w:p>
        </w:tc>
      </w:tr>
      <w:tr>
        <w:tblPrEx>
          <w:tblCellMar>
            <w:top w:w="0" w:type="dxa"/>
            <w:left w:w="0" w:type="dxa"/>
            <w:bottom w:w="0" w:type="dxa"/>
            <w:right w:w="0" w:type="dxa"/>
          </w:tblCellMar>
        </w:tblPrEx>
        <w:tc>
          <w:tcPr>
            <w:tcW w:w="90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总计</w:t>
            </w:r>
          </w:p>
        </w:tc>
        <w:tc>
          <w:tcPr>
            <w:tcW w:w="286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未经复议直接起诉</w:t>
            </w:r>
          </w:p>
        </w:tc>
        <w:tc>
          <w:tcPr>
            <w:tcW w:w="297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复议后起诉</w:t>
            </w:r>
          </w:p>
        </w:tc>
      </w:tr>
      <w:tr>
        <w:tblPrEx>
          <w:tblCellMar>
            <w:top w:w="0" w:type="dxa"/>
            <w:left w:w="0" w:type="dxa"/>
            <w:bottom w:w="0" w:type="dxa"/>
            <w:right w:w="0" w:type="dxa"/>
          </w:tblCellMar>
        </w:tblPrEx>
        <w:tc>
          <w:tcPr>
            <w:tcW w:w="900" w:type="dxa"/>
            <w:vMerge w:val="continue"/>
            <w:tcBorders>
              <w:top w:val="nil"/>
              <w:left w:val="single" w:color="auto" w:sz="8" w:space="0"/>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0" w:type="auto"/>
            <w:vMerge w:val="continue"/>
            <w:tcBorders>
              <w:top w:val="nil"/>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pPr>
              <w:keepNext w:val="0"/>
              <w:keepLines w:val="0"/>
              <w:widowControl/>
              <w:suppressLineNumbers w:val="0"/>
              <w:spacing w:before="0" w:beforeAutospacing="0" w:after="0" w:afterAutospacing="0" w:line="578" w:lineRule="exact"/>
              <w:ind w:left="0" w:right="0"/>
              <w:jc w:val="left"/>
              <w:rPr>
                <w:rFonts w:hint="default" w:ascii="宋体" w:cs="宋体"/>
                <w:kern w:val="0"/>
                <w:sz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尚未审结</w:t>
            </w:r>
          </w:p>
        </w:tc>
        <w:tc>
          <w:tcPr>
            <w:tcW w:w="50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总计</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结果维持</w:t>
            </w:r>
          </w:p>
        </w:tc>
        <w:tc>
          <w:tcPr>
            <w:tcW w:w="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结果纠正</w:t>
            </w:r>
          </w:p>
        </w:tc>
        <w:tc>
          <w:tcPr>
            <w:tcW w:w="5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其他结果</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尚未审结</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default" w:ascii="宋体" w:cs="宋体"/>
                <w:kern w:val="0"/>
                <w:sz w:val="24"/>
              </w:rPr>
            </w:pPr>
            <w:r>
              <w:rPr>
                <w:rFonts w:hint="eastAsia" w:ascii="宋体" w:hAnsi="宋体" w:cs="宋体"/>
                <w:kern w:val="0"/>
                <w:sz w:val="20"/>
                <w:szCs w:val="20"/>
              </w:rPr>
              <w:t>总计</w:t>
            </w:r>
          </w:p>
        </w:tc>
      </w:tr>
      <w:tr>
        <w:tblPrEx>
          <w:tblCellMar>
            <w:top w:w="0" w:type="dxa"/>
            <w:left w:w="0" w:type="dxa"/>
            <w:bottom w:w="0" w:type="dxa"/>
            <w:right w:w="0" w:type="dxa"/>
          </w:tblCellMar>
        </w:tblPrEx>
        <w:tc>
          <w:tcPr>
            <w:tcW w:w="90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502"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c>
          <w:tcPr>
            <w:tcW w:w="530"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578" w:lineRule="exact"/>
              <w:ind w:left="0" w:right="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widowControl/>
        <w:spacing w:line="578" w:lineRule="exact"/>
        <w:rPr>
          <w:rFonts w:ascii="宋体" w:cs="宋体"/>
          <w:b/>
          <w:bCs/>
          <w:kern w:val="0"/>
          <w:sz w:val="24"/>
        </w:rPr>
      </w:pPr>
    </w:p>
    <w:p>
      <w:pPr>
        <w:widowControl/>
        <w:spacing w:line="578" w:lineRule="exact"/>
        <w:rPr>
          <w:rFonts w:ascii="黑体" w:hAnsi="黑体" w:eastAsia="黑体" w:cs="宋体"/>
          <w:kern w:val="0"/>
          <w:sz w:val="32"/>
          <w:szCs w:val="32"/>
        </w:rPr>
      </w:pPr>
      <w:r>
        <w:rPr>
          <w:rFonts w:hint="eastAsia" w:ascii="黑体" w:hAnsi="黑体" w:eastAsia="黑体" w:cs="宋体"/>
          <w:bCs/>
          <w:kern w:val="0"/>
          <w:sz w:val="32"/>
          <w:szCs w:val="32"/>
        </w:rPr>
        <w:t>五、存在的主要问题及改进情况</w:t>
      </w:r>
    </w:p>
    <w:p>
      <w:pPr>
        <w:snapToGrid w:val="0"/>
        <w:spacing w:line="500" w:lineRule="atLeast"/>
        <w:ind w:firstLine="480" w:firstLineChars="200"/>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z w:val="24"/>
          <w:szCs w:val="24"/>
        </w:rPr>
        <w:t>（一）工作中存在的主要问题</w:t>
      </w:r>
    </w:p>
    <w:p>
      <w:pPr>
        <w:snapToGrid w:val="0"/>
        <w:spacing w:line="500" w:lineRule="atLeast"/>
        <w:ind w:firstLine="480" w:firstLineChars="200"/>
        <w:rPr>
          <w:rFonts w:hint="eastAsia" w:asciiTheme="minorEastAsia" w:hAnsiTheme="minorEastAsia" w:eastAsiaTheme="minorEastAsia" w:cstheme="minorEastAsia"/>
          <w:b w:val="0"/>
          <w:color w:val="F9F9F9"/>
          <w:spacing w:val="4"/>
          <w:sz w:val="24"/>
          <w:szCs w:val="24"/>
        </w:rPr>
      </w:pPr>
      <w:r>
        <w:rPr>
          <w:rFonts w:hint="eastAsia" w:asciiTheme="minorEastAsia" w:hAnsiTheme="minorEastAsia" w:eastAsiaTheme="minorEastAsia" w:cstheme="minorEastAsia"/>
          <w:sz w:val="24"/>
          <w:szCs w:val="24"/>
        </w:rPr>
        <w:t>这一年来，我局政府信息公开工作虽然取得了一定进步，但在具体工作实施过程中，仍存在相关问题和不足。首先，对</w:t>
      </w:r>
      <w:r>
        <w:rPr>
          <w:rFonts w:hint="eastAsia" w:asciiTheme="minorEastAsia" w:hAnsiTheme="minorEastAsia" w:eastAsiaTheme="minorEastAsia" w:cstheme="minorEastAsia"/>
          <w:sz w:val="24"/>
          <w:szCs w:val="24"/>
          <w:lang w:val="en-US"/>
        </w:rPr>
        <w:t>政务</w:t>
      </w:r>
      <w:r>
        <w:rPr>
          <w:rFonts w:hint="eastAsia" w:asciiTheme="minorEastAsia" w:hAnsiTheme="minorEastAsia" w:eastAsiaTheme="minorEastAsia" w:cstheme="minorEastAsia"/>
          <w:sz w:val="24"/>
          <w:szCs w:val="24"/>
        </w:rPr>
        <w:t>信息公开工作的重要性认识不足，重视不够，积极性有待进一步提高。其次，公开内容存在不够全面和及时之处，</w:t>
      </w:r>
      <w:r>
        <w:rPr>
          <w:rFonts w:hint="eastAsia" w:asciiTheme="minorEastAsia" w:hAnsiTheme="minorEastAsia" w:eastAsiaTheme="minorEastAsia" w:cstheme="minorEastAsia"/>
          <w:sz w:val="24"/>
          <w:szCs w:val="24"/>
          <w:lang w:val="en-US"/>
        </w:rPr>
        <w:t>并未</w:t>
      </w:r>
      <w:r>
        <w:rPr>
          <w:rFonts w:hint="eastAsia" w:asciiTheme="minorEastAsia" w:hAnsiTheme="minorEastAsia" w:eastAsiaTheme="minorEastAsia" w:cstheme="minorEastAsia"/>
          <w:sz w:val="24"/>
          <w:szCs w:val="24"/>
        </w:rPr>
        <w:t>没有结合自己的工作实际制定出相应的公开内容，或者没有及时公开群众所需要的内容。</w:t>
      </w:r>
    </w:p>
    <w:p>
      <w:pPr>
        <w:snapToGrid w:val="0"/>
        <w:spacing w:line="500" w:lineRule="atLeast"/>
        <w:ind w:firstLine="480" w:firstLineChars="200"/>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z w:val="24"/>
          <w:szCs w:val="24"/>
        </w:rPr>
        <w:t>（二）具体的解决办法和改进措施</w:t>
      </w:r>
    </w:p>
    <w:p>
      <w:pPr>
        <w:spacing w:line="500" w:lineRule="exact"/>
        <w:ind w:firstLine="555"/>
        <w:rPr>
          <w:rFonts w:hint="eastAsia" w:asciiTheme="minorEastAsia" w:hAnsiTheme="minorEastAsia" w:eastAsiaTheme="minorEastAsia" w:cstheme="minorEastAsia"/>
          <w:b w:val="0"/>
          <w:color w:val="F9F9F9"/>
          <w:spacing w:val="4"/>
          <w:sz w:val="24"/>
          <w:szCs w:val="24"/>
        </w:rPr>
      </w:pP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年，我局将重点做好政</w:t>
      </w:r>
      <w:r>
        <w:rPr>
          <w:rFonts w:hint="eastAsia" w:asciiTheme="minorEastAsia" w:hAnsiTheme="minorEastAsia" w:eastAsiaTheme="minorEastAsia" w:cstheme="minorEastAsia"/>
          <w:sz w:val="24"/>
          <w:szCs w:val="24"/>
          <w:lang w:val="en-US"/>
        </w:rPr>
        <w:t>务信息</w:t>
      </w:r>
      <w:r>
        <w:rPr>
          <w:rFonts w:hint="eastAsia" w:asciiTheme="minorEastAsia" w:hAnsiTheme="minorEastAsia" w:eastAsiaTheme="minorEastAsia" w:cstheme="minorEastAsia"/>
          <w:sz w:val="24"/>
          <w:szCs w:val="24"/>
        </w:rPr>
        <w:t>公开工作</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rPr>
        <w:t>进一步规范和完善政务公开的内容、形式，对涉及人民群众关心的重大问题、重大决策应及时公开，同时</w:t>
      </w:r>
      <w:r>
        <w:rPr>
          <w:rFonts w:hint="eastAsia" w:asciiTheme="minorEastAsia" w:hAnsiTheme="minorEastAsia" w:eastAsiaTheme="minorEastAsia" w:cstheme="minorEastAsia"/>
          <w:sz w:val="24"/>
          <w:szCs w:val="24"/>
          <w:lang w:val="en-US"/>
        </w:rPr>
        <w:t>需要加强负责政务公开工作人员对于该项工作的重要性认识，做到规范化发布每一条信息，健全信息的各个要素不仅追求信息发布数量，更要注重信息发布质量。</w:t>
      </w:r>
    </w:p>
    <w:p>
      <w:pPr>
        <w:widowControl/>
        <w:spacing w:line="578" w:lineRule="exact"/>
        <w:ind w:firstLine="480"/>
        <w:rPr>
          <w:rFonts w:hint="eastAsia" w:asciiTheme="minorEastAsia" w:hAnsiTheme="minorEastAsia" w:eastAsiaTheme="minorEastAsia" w:cstheme="minorEastAsia"/>
          <w:kern w:val="0"/>
          <w:sz w:val="24"/>
          <w:szCs w:val="24"/>
        </w:rPr>
      </w:pPr>
    </w:p>
    <w:p>
      <w:pPr>
        <w:widowControl/>
        <w:spacing w:line="578" w:lineRule="exact"/>
        <w:rPr>
          <w:rFonts w:ascii="黑体" w:hAnsi="黑体" w:eastAsia="黑体" w:cs="宋体"/>
          <w:kern w:val="0"/>
          <w:sz w:val="32"/>
          <w:szCs w:val="32"/>
        </w:rPr>
      </w:pPr>
      <w:r>
        <w:rPr>
          <w:rFonts w:hint="eastAsia" w:ascii="黑体" w:hAnsi="黑体" w:eastAsia="黑体" w:cs="宋体"/>
          <w:bCs/>
          <w:kern w:val="0"/>
          <w:sz w:val="32"/>
          <w:szCs w:val="32"/>
        </w:rPr>
        <w:t>六、其他需要报告的事项</w:t>
      </w:r>
    </w:p>
    <w:p>
      <w:pPr>
        <w:rPr>
          <w:rFonts w:hint="eastAsia" w:asciiTheme="minorEastAsia" w:hAnsiTheme="minorEastAsia" w:eastAsiaTheme="minorEastAsia" w:cstheme="minorEastAsia"/>
          <w:sz w:val="24"/>
          <w:szCs w:val="24"/>
          <w:lang w:val="en-US" w:eastAsia="zh-CN"/>
        </w:rPr>
      </w:pPr>
      <w:r>
        <w:rPr>
          <w:rFonts w:hint="eastAsia"/>
          <w:lang w:val="en-US" w:eastAsia="zh-CN"/>
        </w:rPr>
        <w:t xml:space="preserve">      </w:t>
      </w:r>
      <w:r>
        <w:rPr>
          <w:rFonts w:hint="eastAsia" w:asciiTheme="minorEastAsia" w:hAnsiTheme="minorEastAsia" w:eastAsiaTheme="minorEastAsia" w:cstheme="minorEastAsia"/>
          <w:sz w:val="24"/>
          <w:szCs w:val="24"/>
          <w:lang w:val="en-US" w:eastAsia="zh-CN"/>
        </w:rPr>
        <w:t>2019年度我局公开信息共计154条。但由于先前开展政务信息公开工作时只追求信息数量，忽略了信息本来具有的时效性，经常造成信息发布不及时的问题。同时，对于群众关心的社会保险等栏目版块更新力度不够，导致信息发布迟缓且质量无保证等问题。在本年度我局更新信息时，一定会加强对于群众关心栏目的更新力度。</w:t>
      </w:r>
    </w:p>
    <w:sectPr>
      <w:pgSz w:w="11906" w:h="16838"/>
      <w:pgMar w:top="1440" w:right="1800" w:bottom="1440" w:left="1800"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embedRegular r:id="rId1" w:fontKey="{3A88B84D-5D43-45BC-A14F-BCC1B1BC9E57}"/>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embedRegular r:id="rId2" w:fontKey="{2769D901-3508-45C9-9C1D-4DA1DDC39E27}"/>
  </w:font>
  <w:font w:name="monospace">
    <w:altName w:val="Courier New"/>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3" w:fontKey="{8D92A09F-4F90-4054-8BAB-CF986CA12B62}"/>
  </w:font>
  <w:font w:name="仿宋_GB2312">
    <w:panose1 w:val="02010609030101010101"/>
    <w:charset w:val="86"/>
    <w:family w:val="modern"/>
    <w:pitch w:val="default"/>
    <w:sig w:usb0="00000001" w:usb1="080E0000" w:usb2="00000000" w:usb3="00000000" w:csb0="00040000" w:csb1="00000000"/>
    <w:embedRegular r:id="rId4" w:fontKey="{DE3B0A0E-6977-4E77-8613-71B25442A2BB}"/>
  </w:font>
  <w:font w:name="楷体">
    <w:altName w:val="楷体_GB2312"/>
    <w:panose1 w:val="02010609060101010101"/>
    <w:charset w:val="86"/>
    <w:family w:val="modern"/>
    <w:pitch w:val="default"/>
    <w:sig w:usb0="00000000" w:usb1="00000000" w:usb2="00000016" w:usb3="00000000" w:csb0="00040001" w:csb1="00000000"/>
    <w:embedRegular r:id="rId5" w:fontKey="{C7314580-818E-49FF-9C1E-58828231E5F4}"/>
  </w:font>
  <w:font w:name="楷体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 w:name="Courier New">
    <w:panose1 w:val="020703090202050204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AAD4F4A"/>
    <w:rsid w:val="1B5D7217"/>
    <w:rsid w:val="3CD54E11"/>
    <w:rsid w:val="527B66B5"/>
    <w:rsid w:val="58C741D1"/>
    <w:rsid w:val="5FC12AC6"/>
    <w:rsid w:val="624E65A0"/>
    <w:rsid w:val="6CDE1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uiPriority w:val="0"/>
  </w:style>
  <w:style w:type="table" w:default="1" w:styleId="4">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Emphasis"/>
    <w:basedOn w:val="5"/>
    <w:qFormat/>
    <w:uiPriority w:val="0"/>
    <w:rPr>
      <w:i/>
    </w:rPr>
  </w:style>
  <w:style w:type="character" w:styleId="9">
    <w:name w:val="HTML Definition"/>
    <w:basedOn w:val="5"/>
    <w:qFormat/>
    <w:uiPriority w:val="0"/>
    <w:rPr>
      <w:i/>
    </w:rPr>
  </w:style>
  <w:style w:type="character" w:styleId="10">
    <w:name w:val="HTML Acronym"/>
    <w:basedOn w:val="5"/>
    <w:qFormat/>
    <w:uiPriority w:val="0"/>
  </w:style>
  <w:style w:type="character" w:styleId="11">
    <w:name w:val="Hyperlink"/>
    <w:basedOn w:val="5"/>
    <w:qFormat/>
    <w:uiPriority w:val="0"/>
    <w:rPr>
      <w:color w:val="333333"/>
      <w:u w:val="none"/>
    </w:rPr>
  </w:style>
  <w:style w:type="character" w:styleId="12">
    <w:name w:val="HTML Code"/>
    <w:basedOn w:val="5"/>
    <w:qFormat/>
    <w:uiPriority w:val="0"/>
    <w:rPr>
      <w:rFonts w:ascii="monospace" w:hAnsi="monospace" w:eastAsia="monospace" w:cs="monospace"/>
      <w:sz w:val="21"/>
      <w:szCs w:val="21"/>
    </w:rPr>
  </w:style>
  <w:style w:type="character" w:styleId="13">
    <w:name w:val="HTML Keyboard"/>
    <w:basedOn w:val="5"/>
    <w:qFormat/>
    <w:uiPriority w:val="0"/>
    <w:rPr>
      <w:rFonts w:hint="default" w:ascii="monospace" w:hAnsi="monospace" w:eastAsia="monospace" w:cs="monospace"/>
      <w:sz w:val="21"/>
      <w:szCs w:val="21"/>
    </w:rPr>
  </w:style>
  <w:style w:type="character" w:styleId="14">
    <w:name w:val="HTML Sample"/>
    <w:basedOn w:val="5"/>
    <w:qFormat/>
    <w:uiPriority w:val="0"/>
    <w:rPr>
      <w:rFonts w:hint="default" w:ascii="monospace" w:hAnsi="monospace" w:eastAsia="monospace" w:cs="monospace"/>
      <w:color w:val="333333"/>
      <w:sz w:val="21"/>
      <w:szCs w:val="21"/>
      <w:bdr w:val="single" w:color="999999" w:sz="6" w:space="0"/>
      <w:shd w:val="clear" w:fill="FFFFFF"/>
    </w:rPr>
  </w:style>
  <w:style w:type="character" w:customStyle="1" w:styleId="15">
    <w:name w:val="tit15"/>
    <w:basedOn w:val="5"/>
    <w:qFormat/>
    <w:uiPriority w:val="0"/>
  </w:style>
  <w:style w:type="character" w:customStyle="1" w:styleId="16">
    <w:name w:val="spl"/>
    <w:basedOn w:val="5"/>
    <w:qFormat/>
    <w:uiPriority w:val="0"/>
  </w:style>
  <w:style w:type="character" w:customStyle="1" w:styleId="17">
    <w:name w:val="spr"/>
    <w:basedOn w:val="5"/>
    <w:qFormat/>
    <w:uiPriority w:val="0"/>
  </w:style>
  <w:style w:type="character" w:customStyle="1" w:styleId="18">
    <w:name w:val="tit14"/>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1792</Words>
  <Characters>1853</Characters>
  <Paragraphs>393</Paragraphs>
  <TotalTime>77</TotalTime>
  <ScaleCrop>false</ScaleCrop>
  <LinksUpToDate>false</LinksUpToDate>
  <CharactersWithSpaces>1869</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2020-01-20T07:23:00Z</dcterms:created>
  <dc:creator>Administrator</dc:creator>
  <cp:lastModifiedBy>Administrator</cp:lastModifiedBy>
  <dcterms:modified xsi:type="dcterms:W3CDTF">2020-02-17T02:04:01Z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